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mbeddings/Microsoft_Visio_2003-2010___1.vsd" ContentType="application/vnd.visio"/>
  <Override PartName="/word/embeddings/Microsoft_Visio___2.vsdx" ContentType="application/vnd.ms-visio.drawing"/>
  <Override PartName="/word/embeddings/Microsoft_Visio___3.vsdx" ContentType="application/vnd.ms-visio.drawing"/>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2D22B5">
      <w:pPr>
        <w:pStyle w:val="16"/>
        <w:spacing w:before="240" w:beforeLines="100" w:beforeAutospacing="0"/>
        <w:jc w:val="center"/>
        <w:rPr>
          <w:rFonts w:hint="eastAsia" w:ascii="黑体" w:hAnsi="黑体" w:eastAsia="黑体"/>
          <w:snapToGrid w:val="0"/>
          <w:sz w:val="30"/>
          <w:szCs w:val="30"/>
        </w:rPr>
      </w:pPr>
    </w:p>
    <w:p w14:paraId="41E92BB7">
      <w:pPr>
        <w:pStyle w:val="16"/>
        <w:spacing w:before="240" w:beforeLines="100" w:beforeAutospacing="0"/>
        <w:jc w:val="center"/>
        <w:rPr>
          <w:rFonts w:hint="eastAsia" w:ascii="黑体" w:hAnsi="黑体" w:eastAsia="黑体"/>
          <w:snapToGrid w:val="0"/>
          <w:sz w:val="30"/>
          <w:szCs w:val="30"/>
        </w:rPr>
      </w:pPr>
    </w:p>
    <w:p w14:paraId="79B0B629">
      <w:pPr>
        <w:pStyle w:val="16"/>
        <w:spacing w:before="240" w:beforeLines="100" w:beforeAutospacing="0"/>
        <w:jc w:val="center"/>
        <w:rPr>
          <w:rFonts w:hint="eastAsia" w:ascii="黑体" w:hAnsi="黑体" w:eastAsia="黑体"/>
          <w:snapToGrid w:val="0"/>
          <w:sz w:val="30"/>
          <w:szCs w:val="30"/>
        </w:rPr>
      </w:pPr>
      <w:r>
        <w:drawing>
          <wp:inline distT="0" distB="0" distL="0" distR="0">
            <wp:extent cx="5615940" cy="7038975"/>
            <wp:effectExtent l="0" t="0" r="3810" b="9525"/>
            <wp:docPr id="414941860" name="图片 1"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941860" name="图片 1" descr="文本, 信件&#10;&#10;AI 生成的内容可能不正确。"/>
                    <pic:cNvPicPr>
                      <a:picLocks noChangeAspect="1"/>
                    </pic:cNvPicPr>
                  </pic:nvPicPr>
                  <pic:blipFill>
                    <a:blip r:embed="rId6"/>
                    <a:stretch>
                      <a:fillRect/>
                    </a:stretch>
                  </pic:blipFill>
                  <pic:spPr>
                    <a:xfrm>
                      <a:off x="0" y="0"/>
                      <a:ext cx="5615940" cy="7038975"/>
                    </a:xfrm>
                    <a:prstGeom prst="rect">
                      <a:avLst/>
                    </a:prstGeom>
                  </pic:spPr>
                </pic:pic>
              </a:graphicData>
            </a:graphic>
          </wp:inline>
        </w:drawing>
      </w:r>
    </w:p>
    <w:p w14:paraId="2356A02E">
      <w:pPr>
        <w:pStyle w:val="16"/>
        <w:spacing w:before="240" w:beforeLines="100" w:beforeAutospacing="0"/>
        <w:jc w:val="center"/>
        <w:rPr>
          <w:rFonts w:hint="eastAsia" w:ascii="黑体" w:hAnsi="黑体" w:eastAsia="黑体"/>
          <w:snapToGrid w:val="0"/>
          <w:sz w:val="30"/>
          <w:szCs w:val="30"/>
        </w:rPr>
        <w:sectPr>
          <w:footerReference r:id="rId3" w:type="default"/>
          <w:pgSz w:w="11906" w:h="16838"/>
          <w:pgMar w:top="1701" w:right="1531" w:bottom="1701" w:left="1531" w:header="851" w:footer="1077" w:gutter="0"/>
          <w:pgNumType w:start="1"/>
          <w:cols w:space="720" w:num="1"/>
          <w:docGrid w:linePitch="312" w:charSpace="0"/>
        </w:sectPr>
      </w:pPr>
    </w:p>
    <w:p w14:paraId="35949546">
      <w:pPr>
        <w:pStyle w:val="16"/>
        <w:spacing w:before="240" w:beforeLines="100" w:beforeAutospacing="0"/>
        <w:jc w:val="center"/>
        <w:rPr>
          <w:rFonts w:hint="eastAsia" w:ascii="黑体" w:hAnsi="黑体" w:eastAsia="黑体"/>
          <w:snapToGrid w:val="0"/>
          <w:sz w:val="30"/>
          <w:szCs w:val="30"/>
        </w:rPr>
      </w:pPr>
      <w:r>
        <w:rPr>
          <w:rFonts w:ascii="黑体" w:hAnsi="黑体" w:eastAsia="黑体"/>
          <w:snapToGrid w:val="0"/>
          <w:sz w:val="30"/>
          <w:szCs w:val="30"/>
        </w:rPr>
        <w:drawing>
          <wp:inline distT="0" distB="0" distL="0" distR="0">
            <wp:extent cx="4524375" cy="5562600"/>
            <wp:effectExtent l="0" t="0" r="9525" b="0"/>
            <wp:docPr id="1940109429" name="图片 1"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109429" name="图片 1" descr="图示&#10;&#10;AI 生成的内容可能不正确。"/>
                    <pic:cNvPicPr>
                      <a:picLocks noChangeAspect="1" noChangeArrowheads="1"/>
                    </pic:cNvPicPr>
                  </pic:nvPicPr>
                  <pic:blipFill>
                    <a:blip r:embed="rId7"/>
                    <a:stretch>
                      <a:fillRect/>
                    </a:stretch>
                  </pic:blipFill>
                  <pic:spPr>
                    <a:xfrm>
                      <a:off x="0" y="0"/>
                      <a:ext cx="4524375" cy="5562600"/>
                    </a:xfrm>
                    <a:prstGeom prst="rect">
                      <a:avLst/>
                    </a:prstGeom>
                  </pic:spPr>
                </pic:pic>
              </a:graphicData>
            </a:graphic>
          </wp:inline>
        </w:drawing>
      </w:r>
    </w:p>
    <w:p w14:paraId="60AA4155">
      <w:pPr>
        <w:pStyle w:val="16"/>
        <w:spacing w:before="240" w:beforeLines="100" w:beforeAutospacing="0"/>
        <w:jc w:val="center"/>
        <w:rPr>
          <w:rFonts w:hint="eastAsia" w:ascii="黑体" w:hAnsi="黑体" w:eastAsia="黑体"/>
          <w:snapToGrid w:val="0"/>
          <w:sz w:val="30"/>
          <w:szCs w:val="30"/>
        </w:rPr>
      </w:pPr>
    </w:p>
    <w:p w14:paraId="7FB9FB56">
      <w:pPr>
        <w:pStyle w:val="16"/>
        <w:spacing w:before="240" w:beforeLines="100" w:beforeAutospacing="0"/>
        <w:jc w:val="center"/>
        <w:rPr>
          <w:rFonts w:hint="eastAsia" w:ascii="黑体" w:hAnsi="黑体" w:eastAsia="黑体"/>
          <w:snapToGrid w:val="0"/>
          <w:sz w:val="30"/>
          <w:szCs w:val="30"/>
          <w:lang w:val="en-US"/>
        </w:rPr>
      </w:pPr>
    </w:p>
    <w:p w14:paraId="40183801">
      <w:pPr>
        <w:pStyle w:val="16"/>
        <w:spacing w:before="240" w:beforeLines="100" w:beforeAutospacing="0"/>
        <w:jc w:val="center"/>
        <w:rPr>
          <w:rFonts w:hint="eastAsia" w:ascii="黑体" w:hAnsi="黑体" w:eastAsia="黑体"/>
          <w:snapToGrid w:val="0"/>
          <w:sz w:val="30"/>
          <w:szCs w:val="30"/>
        </w:rPr>
      </w:pPr>
    </w:p>
    <w:p w14:paraId="441E18E8">
      <w:pPr>
        <w:pStyle w:val="16"/>
        <w:spacing w:before="240" w:beforeLines="100" w:beforeAutospacing="0"/>
        <w:jc w:val="center"/>
        <w:rPr>
          <w:rFonts w:hint="eastAsia" w:ascii="黑体" w:hAnsi="黑体" w:eastAsia="黑体"/>
          <w:snapToGrid w:val="0"/>
          <w:sz w:val="30"/>
          <w:szCs w:val="30"/>
        </w:rPr>
      </w:pPr>
      <w:r>
        <w:drawing>
          <wp:inline distT="0" distB="0" distL="0" distR="0">
            <wp:extent cx="5615940" cy="7531100"/>
            <wp:effectExtent l="0" t="0" r="3810" b="12700"/>
            <wp:docPr id="1755793193" name="图片 1" descr="图示, 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793193" name="图片 1" descr="图示, 表格&#10;&#10;AI 生成的内容可能不正确。"/>
                    <pic:cNvPicPr>
                      <a:picLocks noChangeAspect="1"/>
                    </pic:cNvPicPr>
                  </pic:nvPicPr>
                  <pic:blipFill>
                    <a:blip r:embed="rId8"/>
                    <a:stretch>
                      <a:fillRect/>
                    </a:stretch>
                  </pic:blipFill>
                  <pic:spPr>
                    <a:xfrm>
                      <a:off x="0" y="0"/>
                      <a:ext cx="5615940" cy="7531100"/>
                    </a:xfrm>
                    <a:prstGeom prst="rect">
                      <a:avLst/>
                    </a:prstGeom>
                  </pic:spPr>
                </pic:pic>
              </a:graphicData>
            </a:graphic>
          </wp:inline>
        </w:drawing>
      </w:r>
    </w:p>
    <w:p w14:paraId="2D8AA34C">
      <w:pPr>
        <w:pStyle w:val="16"/>
        <w:spacing w:before="240" w:beforeLines="100" w:beforeAutospacing="0"/>
        <w:jc w:val="center"/>
        <w:rPr>
          <w:rFonts w:hint="eastAsia" w:ascii="黑体" w:hAnsi="黑体" w:eastAsia="黑体"/>
          <w:snapToGrid w:val="0"/>
          <w:sz w:val="30"/>
          <w:szCs w:val="30"/>
        </w:rPr>
      </w:pPr>
    </w:p>
    <w:p w14:paraId="4D4BC3E0">
      <w:pPr>
        <w:pStyle w:val="16"/>
        <w:spacing w:before="240" w:beforeLines="100" w:beforeAutospacing="0"/>
        <w:jc w:val="center"/>
        <w:rPr>
          <w:rFonts w:hint="eastAsia" w:ascii="黑体" w:hAnsi="黑体" w:eastAsia="黑体"/>
          <w:snapToGrid w:val="0"/>
          <w:sz w:val="30"/>
          <w:szCs w:val="30"/>
        </w:rPr>
        <w:sectPr>
          <w:pgSz w:w="11906" w:h="16838"/>
          <w:pgMar w:top="1701" w:right="1531" w:bottom="1701" w:left="1531" w:header="851" w:footer="1077" w:gutter="0"/>
          <w:pgNumType w:start="1"/>
          <w:cols w:space="720" w:num="1"/>
          <w:docGrid w:linePitch="312" w:charSpace="0"/>
        </w:sectPr>
      </w:pPr>
    </w:p>
    <w:p w14:paraId="58E937F1">
      <w:pPr>
        <w:pStyle w:val="16"/>
        <w:spacing w:before="240" w:beforeLines="100" w:beforeAutospacing="0"/>
        <w:jc w:val="center"/>
        <w:rPr>
          <w:rFonts w:hint="eastAsia" w:ascii="黑体" w:hAnsi="黑体" w:eastAsia="黑体"/>
          <w:snapToGrid w:val="0"/>
          <w:sz w:val="30"/>
          <w:szCs w:val="30"/>
        </w:rPr>
      </w:pPr>
    </w:p>
    <w:p w14:paraId="0F71CE3D">
      <w:pPr>
        <w:pStyle w:val="16"/>
        <w:spacing w:before="240" w:beforeLines="100" w:beforeAutospacing="0"/>
        <w:jc w:val="center"/>
        <w:rPr>
          <w:rFonts w:hint="eastAsia" w:ascii="黑体" w:hAnsi="黑体" w:eastAsia="黑体"/>
          <w:snapToGrid w:val="0"/>
          <w:sz w:val="30"/>
          <w:szCs w:val="30"/>
        </w:rPr>
      </w:pPr>
      <w:r>
        <w:drawing>
          <wp:inline distT="0" distB="0" distL="0" distR="0">
            <wp:extent cx="5615940" cy="7309485"/>
            <wp:effectExtent l="0" t="0" r="3810" b="5715"/>
            <wp:docPr id="1513429663" name="图片 1"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429663" name="图片 1" descr="文本, 信件&#10;&#10;AI 生成的内容可能不正确。"/>
                    <pic:cNvPicPr>
                      <a:picLocks noChangeAspect="1"/>
                    </pic:cNvPicPr>
                  </pic:nvPicPr>
                  <pic:blipFill>
                    <a:blip r:embed="rId9"/>
                    <a:stretch>
                      <a:fillRect/>
                    </a:stretch>
                  </pic:blipFill>
                  <pic:spPr>
                    <a:xfrm>
                      <a:off x="0" y="0"/>
                      <a:ext cx="5615940" cy="7309485"/>
                    </a:xfrm>
                    <a:prstGeom prst="rect">
                      <a:avLst/>
                    </a:prstGeom>
                  </pic:spPr>
                </pic:pic>
              </a:graphicData>
            </a:graphic>
          </wp:inline>
        </w:drawing>
      </w:r>
    </w:p>
    <w:p w14:paraId="6EA646EF">
      <w:pPr>
        <w:pStyle w:val="16"/>
        <w:spacing w:before="240" w:beforeLines="100" w:beforeAutospacing="0"/>
        <w:jc w:val="center"/>
        <w:rPr>
          <w:rFonts w:hint="eastAsia" w:ascii="黑体" w:hAnsi="黑体" w:eastAsia="黑体"/>
          <w:snapToGrid w:val="0"/>
          <w:sz w:val="30"/>
          <w:szCs w:val="30"/>
        </w:rPr>
        <w:sectPr>
          <w:pgSz w:w="11906" w:h="16838"/>
          <w:pgMar w:top="1701" w:right="1531" w:bottom="1701" w:left="1531" w:header="851" w:footer="1077" w:gutter="0"/>
          <w:pgNumType w:start="1"/>
          <w:cols w:space="720" w:num="1"/>
          <w:docGrid w:linePitch="312" w:charSpace="0"/>
        </w:sectPr>
      </w:pPr>
    </w:p>
    <w:p w14:paraId="4A34CABC">
      <w:pPr>
        <w:pStyle w:val="16"/>
        <w:spacing w:before="240" w:beforeLines="100" w:beforeAutospacing="0"/>
        <w:jc w:val="center"/>
        <w:rPr>
          <w:rFonts w:hint="eastAsia" w:ascii="黑体" w:hAnsi="黑体" w:eastAsia="黑体"/>
          <w:snapToGrid w:val="0"/>
          <w:sz w:val="30"/>
          <w:szCs w:val="30"/>
        </w:rPr>
      </w:pPr>
      <w:r>
        <w:drawing>
          <wp:inline distT="0" distB="0" distL="0" distR="0">
            <wp:extent cx="7952105" cy="5513705"/>
            <wp:effectExtent l="0" t="0" r="10795" b="10795"/>
            <wp:docPr id="191531435" name="图片 1" descr="文本&#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31435" name="图片 1" descr="文本&#10;&#10;AI 生成的内容可能不正确。"/>
                    <pic:cNvPicPr>
                      <a:picLocks noChangeAspect="1"/>
                    </pic:cNvPicPr>
                  </pic:nvPicPr>
                  <pic:blipFill>
                    <a:blip r:embed="rId10"/>
                    <a:stretch>
                      <a:fillRect/>
                    </a:stretch>
                  </pic:blipFill>
                  <pic:spPr>
                    <a:xfrm>
                      <a:off x="0" y="0"/>
                      <a:ext cx="7952105" cy="5514286"/>
                    </a:xfrm>
                    <a:prstGeom prst="rect">
                      <a:avLst/>
                    </a:prstGeom>
                  </pic:spPr>
                </pic:pic>
              </a:graphicData>
            </a:graphic>
          </wp:inline>
        </w:drawing>
      </w:r>
    </w:p>
    <w:p w14:paraId="63FF2927">
      <w:pPr>
        <w:pStyle w:val="16"/>
        <w:spacing w:before="240" w:beforeLines="100" w:beforeAutospacing="0"/>
        <w:jc w:val="center"/>
        <w:rPr>
          <w:rFonts w:hint="eastAsia" w:ascii="黑体" w:hAnsi="黑体" w:eastAsia="黑体"/>
          <w:snapToGrid w:val="0"/>
          <w:sz w:val="30"/>
          <w:szCs w:val="30"/>
        </w:rPr>
        <w:sectPr>
          <w:pgSz w:w="16838" w:h="11906" w:orient="landscape"/>
          <w:pgMar w:top="1531" w:right="1701" w:bottom="1531" w:left="1701" w:header="851" w:footer="1077" w:gutter="0"/>
          <w:pgNumType w:start="1"/>
          <w:cols w:space="720" w:num="1"/>
          <w:docGrid w:linePitch="312" w:charSpace="0"/>
        </w:sectPr>
      </w:pPr>
    </w:p>
    <w:p w14:paraId="6B3A68F2">
      <w:pPr>
        <w:pStyle w:val="16"/>
        <w:spacing w:before="240" w:beforeLines="100" w:beforeAutospacing="0"/>
        <w:jc w:val="center"/>
        <w:rPr>
          <w:rFonts w:hint="eastAsia" w:ascii="黑体" w:hAnsi="黑体" w:eastAsia="黑体"/>
          <w:snapToGrid w:val="0"/>
          <w:sz w:val="30"/>
          <w:szCs w:val="30"/>
        </w:rPr>
        <w:sectPr>
          <w:pgSz w:w="11906" w:h="16838"/>
          <w:pgMar w:top="1701" w:right="1531" w:bottom="1701" w:left="1531" w:header="851" w:footer="1077" w:gutter="0"/>
          <w:pgNumType w:start="1"/>
          <w:cols w:space="720" w:num="1"/>
          <w:docGrid w:linePitch="312" w:charSpace="0"/>
        </w:sectPr>
      </w:pPr>
      <w:r>
        <w:drawing>
          <wp:inline distT="0" distB="0" distL="0" distR="0">
            <wp:extent cx="4330700" cy="8531860"/>
            <wp:effectExtent l="0" t="0" r="12700" b="2540"/>
            <wp:docPr id="1364137531"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137531" name="图片 1" descr="表格&#10;&#10;AI 生成的内容可能不正确。"/>
                    <pic:cNvPicPr>
                      <a:picLocks noChangeAspect="1"/>
                    </pic:cNvPicPr>
                  </pic:nvPicPr>
                  <pic:blipFill>
                    <a:blip r:embed="rId11"/>
                    <a:stretch>
                      <a:fillRect/>
                    </a:stretch>
                  </pic:blipFill>
                  <pic:spPr>
                    <a:xfrm>
                      <a:off x="0" y="0"/>
                      <a:ext cx="4330700" cy="8531860"/>
                    </a:xfrm>
                    <a:prstGeom prst="rect">
                      <a:avLst/>
                    </a:prstGeom>
                  </pic:spPr>
                </pic:pic>
              </a:graphicData>
            </a:graphic>
          </wp:inline>
        </w:drawing>
      </w:r>
      <w:r>
        <mc:AlternateContent>
          <mc:Choice Requires="wps">
            <w:drawing>
              <wp:anchor distT="0" distB="0" distL="114300" distR="114300" simplePos="0" relativeHeight="251660288" behindDoc="0" locked="0" layoutInCell="1" allowOverlap="1">
                <wp:simplePos x="0" y="0"/>
                <wp:positionH relativeFrom="column">
                  <wp:posOffset>3634105</wp:posOffset>
                </wp:positionH>
                <wp:positionV relativeFrom="paragraph">
                  <wp:posOffset>844550</wp:posOffset>
                </wp:positionV>
                <wp:extent cx="935355" cy="97155"/>
                <wp:effectExtent l="0" t="0" r="17780" b="17780"/>
                <wp:wrapNone/>
                <wp:docPr id="1871196549" name="矩形 2"/>
                <wp:cNvGraphicFramePr/>
                <a:graphic xmlns:a="http://schemas.openxmlformats.org/drawingml/2006/main">
                  <a:graphicData uri="http://schemas.microsoft.com/office/word/2010/wordprocessingShape">
                    <wps:wsp>
                      <wps:cNvSpPr/>
                      <wps:spPr>
                        <a:xfrm>
                          <a:off x="0" y="0"/>
                          <a:ext cx="935182" cy="96982"/>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2" o:spid="_x0000_s1026" o:spt="1" style="position:absolute;left:0pt;margin-left:286.15pt;margin-top:66.5pt;height:7.65pt;width:73.65pt;z-index:251660288;v-text-anchor:middle;mso-width-relative:page;mso-height-relative:page;" fillcolor="#FFFFFF [3212]" filled="t" stroked="t" coordsize="21600,21600" o:gfxdata="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B0AxTs2QAAAAsBAAAPAAAAAAAAAAEAIAAAACIAAABkcnMvZG93&#10;bnJldi54bWxQSwECFAAUAAAACACHTuJAMinRCHECAAD7BAAADgAAAAAAAAABACAAAAAoAQAAZHJz&#10;L2Uyb0RvYy54bWxQSwUGAAAAAAYABgBZAQAACwYAAAAA&#10;">
                <v:fill on="t" focussize="0,0"/>
                <v:stroke weight="1pt" color="#FFFFFF [3212]" miterlimit="8" joinstyle="miter"/>
                <v:imagedata o:title=""/>
                <o:lock v:ext="edit" aspectratio="f"/>
              </v:rect>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4866640</wp:posOffset>
                </wp:positionH>
                <wp:positionV relativeFrom="paragraph">
                  <wp:posOffset>710565</wp:posOffset>
                </wp:positionV>
                <wp:extent cx="1428750" cy="200025"/>
                <wp:effectExtent l="0" t="0" r="19050" b="28575"/>
                <wp:wrapNone/>
                <wp:docPr id="703882786" name="矩形 1"/>
                <wp:cNvGraphicFramePr/>
                <a:graphic xmlns:a="http://schemas.openxmlformats.org/drawingml/2006/main">
                  <a:graphicData uri="http://schemas.microsoft.com/office/word/2010/wordprocessingShape">
                    <wps:wsp>
                      <wps:cNvSpPr/>
                      <wps:spPr>
                        <a:xfrm>
                          <a:off x="0" y="0"/>
                          <a:ext cx="1428750" cy="20002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1" o:spid="_x0000_s1026" o:spt="1" style="position:absolute;left:0pt;margin-left:383.2pt;margin-top:55.95pt;height:15.75pt;width:112.5pt;z-index:251659264;v-text-anchor:middle;mso-width-relative:page;mso-height-relative:page;" fillcolor="#FFFFFF [3212]" filled="t" stroked="t" coordsize="21600,21600" o:gfxdata="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0A06c9kAAAALAQAADwAAAAAAAAABACAAAAAiAAAAZHJzL2Rv&#10;d25yZXYueG1sUEsBAhQAFAAAAAgAh07iQBi4ImdyAgAA/AQAAA4AAAAAAAAAAQAgAAAAKAEAAGRy&#10;cy9lMm9Eb2MueG1sUEsFBgAAAAAGAAYAWQEAAAwGAAAAAA==&#10;">
                <v:fill on="t" focussize="0,0"/>
                <v:stroke weight="1pt" color="#FFFFFF [3212]" miterlimit="8" joinstyle="miter"/>
                <v:imagedata o:title=""/>
                <o:lock v:ext="edit" aspectratio="f"/>
              </v:rect>
            </w:pict>
          </mc:Fallback>
        </mc:AlternateContent>
      </w:r>
    </w:p>
    <w:p w14:paraId="0A1A3624">
      <w:pPr>
        <w:pStyle w:val="16"/>
        <w:spacing w:before="240" w:beforeLines="100" w:beforeAutospacing="0"/>
        <w:jc w:val="center"/>
        <w:rPr>
          <w:rFonts w:hint="eastAsia" w:ascii="黑体" w:hAnsi="黑体" w:eastAsia="黑体"/>
          <w:snapToGrid w:val="0"/>
          <w:sz w:val="30"/>
          <w:szCs w:val="30"/>
        </w:rPr>
      </w:pPr>
      <w:r>
        <w:drawing>
          <wp:inline distT="0" distB="0" distL="0" distR="0">
            <wp:extent cx="7893050" cy="5615940"/>
            <wp:effectExtent l="0" t="0" r="12700" b="3810"/>
            <wp:docPr id="696997875" name="图片 1" descr="图片包含 文本&#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997875" name="图片 1" descr="图片包含 文本&#10;&#10;AI 生成的内容可能不正确。"/>
                    <pic:cNvPicPr>
                      <a:picLocks noChangeAspect="1"/>
                    </pic:cNvPicPr>
                  </pic:nvPicPr>
                  <pic:blipFill>
                    <a:blip r:embed="rId12"/>
                    <a:stretch>
                      <a:fillRect/>
                    </a:stretch>
                  </pic:blipFill>
                  <pic:spPr>
                    <a:xfrm>
                      <a:off x="0" y="0"/>
                      <a:ext cx="7893050" cy="5615940"/>
                    </a:xfrm>
                    <a:prstGeom prst="rect">
                      <a:avLst/>
                    </a:prstGeom>
                  </pic:spPr>
                </pic:pic>
              </a:graphicData>
            </a:graphic>
          </wp:inline>
        </w:drawing>
      </w:r>
    </w:p>
    <w:p w14:paraId="29DDE937">
      <w:pPr>
        <w:pStyle w:val="16"/>
        <w:spacing w:before="240" w:beforeLines="100" w:beforeAutospacing="0"/>
        <w:jc w:val="center"/>
        <w:rPr>
          <w:rFonts w:hint="eastAsia" w:ascii="黑体" w:hAnsi="黑体" w:eastAsia="黑体"/>
          <w:snapToGrid w:val="0"/>
          <w:sz w:val="30"/>
          <w:szCs w:val="30"/>
        </w:rPr>
        <w:sectPr>
          <w:pgSz w:w="16838" w:h="11906" w:orient="landscape"/>
          <w:pgMar w:top="1531" w:right="1701" w:bottom="1531" w:left="1701" w:header="851" w:footer="1077" w:gutter="0"/>
          <w:pgNumType w:start="1"/>
          <w:cols w:space="720" w:num="1"/>
          <w:docGrid w:linePitch="312" w:charSpace="0"/>
        </w:sectPr>
      </w:pPr>
    </w:p>
    <w:p w14:paraId="520AAE04">
      <w:pPr>
        <w:pStyle w:val="16"/>
        <w:spacing w:before="240" w:beforeLines="100" w:beforeAutospacing="0"/>
        <w:jc w:val="center"/>
        <w:outlineLvl w:val="0"/>
        <w:rPr>
          <w:rFonts w:hint="eastAsia" w:ascii="黑体" w:hAnsi="黑体" w:eastAsia="黑体"/>
          <w:snapToGrid w:val="0"/>
          <w:sz w:val="30"/>
          <w:szCs w:val="30"/>
        </w:rPr>
      </w:pPr>
      <w:r>
        <w:rPr>
          <w:rFonts w:hint="eastAsia" w:ascii="黑体" w:hAnsi="黑体" w:eastAsia="黑体"/>
          <w:snapToGrid w:val="0"/>
          <w:sz w:val="30"/>
          <w:szCs w:val="30"/>
        </w:rPr>
        <w:t>一、建设项目基本情况</w:t>
      </w:r>
    </w:p>
    <w:tbl>
      <w:tblPr>
        <w:tblStyle w:val="18"/>
        <w:tblW w:w="887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408"/>
        <w:gridCol w:w="2611"/>
        <w:gridCol w:w="1806"/>
        <w:gridCol w:w="3045"/>
      </w:tblGrid>
      <w:tr w14:paraId="520AAE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497" w:hRule="atLeast"/>
          <w:jc w:val="center"/>
        </w:trPr>
        <w:tc>
          <w:tcPr>
            <w:tcW w:w="1408" w:type="dxa"/>
            <w:tcMar>
              <w:top w:w="16" w:type="dxa"/>
              <w:left w:w="28" w:type="dxa"/>
              <w:right w:w="28" w:type="dxa"/>
            </w:tcMar>
            <w:vAlign w:val="center"/>
          </w:tcPr>
          <w:p w14:paraId="520AAE05">
            <w:pPr>
              <w:adjustRightInd w:val="0"/>
              <w:snapToGrid w:val="0"/>
              <w:jc w:val="center"/>
              <w:rPr>
                <w:rFonts w:cs="宋体"/>
                <w:szCs w:val="21"/>
              </w:rPr>
            </w:pPr>
            <w:r>
              <w:rPr>
                <w:rFonts w:hint="eastAsia" w:cs="宋体"/>
                <w:szCs w:val="21"/>
              </w:rPr>
              <w:t>建设项目名称</w:t>
            </w:r>
          </w:p>
        </w:tc>
        <w:tc>
          <w:tcPr>
            <w:tcW w:w="7462" w:type="dxa"/>
            <w:gridSpan w:val="3"/>
            <w:tcMar>
              <w:left w:w="28" w:type="dxa"/>
              <w:right w:w="28" w:type="dxa"/>
            </w:tcMar>
            <w:vAlign w:val="center"/>
          </w:tcPr>
          <w:p w14:paraId="520AAE06">
            <w:pPr>
              <w:adjustRightInd w:val="0"/>
              <w:snapToGrid w:val="0"/>
              <w:jc w:val="center"/>
              <w:rPr>
                <w:rFonts w:cs="宋体"/>
                <w:szCs w:val="21"/>
              </w:rPr>
            </w:pPr>
            <w:r>
              <w:rPr>
                <w:rFonts w:hint="eastAsia" w:cs="宋体"/>
                <w:szCs w:val="21"/>
              </w:rPr>
              <w:t>数字化转型项目</w:t>
            </w:r>
          </w:p>
        </w:tc>
      </w:tr>
      <w:tr w14:paraId="520AAE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408" w:type="dxa"/>
            <w:tcMar>
              <w:top w:w="16" w:type="dxa"/>
              <w:left w:w="28" w:type="dxa"/>
              <w:right w:w="28" w:type="dxa"/>
            </w:tcMar>
            <w:vAlign w:val="center"/>
          </w:tcPr>
          <w:p w14:paraId="520AAE08">
            <w:pPr>
              <w:adjustRightInd w:val="0"/>
              <w:snapToGrid w:val="0"/>
              <w:jc w:val="center"/>
              <w:rPr>
                <w:rFonts w:cs="宋体"/>
                <w:szCs w:val="21"/>
              </w:rPr>
            </w:pPr>
            <w:r>
              <w:rPr>
                <w:rFonts w:hint="eastAsia" w:cs="宋体"/>
                <w:szCs w:val="21"/>
              </w:rPr>
              <w:t>项目代码</w:t>
            </w:r>
          </w:p>
        </w:tc>
        <w:tc>
          <w:tcPr>
            <w:tcW w:w="7462" w:type="dxa"/>
            <w:gridSpan w:val="3"/>
            <w:tcMar>
              <w:left w:w="28" w:type="dxa"/>
              <w:right w:w="28" w:type="dxa"/>
            </w:tcMar>
            <w:vAlign w:val="center"/>
          </w:tcPr>
          <w:p w14:paraId="520AAE09">
            <w:pPr>
              <w:adjustRightInd w:val="0"/>
              <w:snapToGrid w:val="0"/>
              <w:jc w:val="center"/>
              <w:rPr>
                <w:rFonts w:cs="宋体"/>
                <w:szCs w:val="21"/>
              </w:rPr>
            </w:pPr>
            <w:r>
              <w:rPr>
                <w:rFonts w:hint="eastAsia" w:cs="宋体"/>
                <w:szCs w:val="21"/>
              </w:rPr>
              <w:t>2503-410711-04-02-231387</w:t>
            </w:r>
          </w:p>
        </w:tc>
      </w:tr>
      <w:tr w14:paraId="520AAE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408" w:type="dxa"/>
            <w:tcMar>
              <w:top w:w="16" w:type="dxa"/>
              <w:left w:w="28" w:type="dxa"/>
              <w:right w:w="28" w:type="dxa"/>
            </w:tcMar>
            <w:vAlign w:val="center"/>
          </w:tcPr>
          <w:p w14:paraId="520AAE0B">
            <w:pPr>
              <w:adjustRightInd w:val="0"/>
              <w:snapToGrid w:val="0"/>
              <w:jc w:val="center"/>
              <w:rPr>
                <w:rFonts w:cs="宋体"/>
                <w:szCs w:val="21"/>
              </w:rPr>
            </w:pPr>
            <w:r>
              <w:rPr>
                <w:rFonts w:hint="eastAsia" w:cs="宋体"/>
                <w:szCs w:val="21"/>
              </w:rPr>
              <w:t>建设单位联系人</w:t>
            </w:r>
          </w:p>
        </w:tc>
        <w:tc>
          <w:tcPr>
            <w:tcW w:w="2611" w:type="dxa"/>
            <w:tcMar>
              <w:left w:w="28" w:type="dxa"/>
              <w:right w:w="28" w:type="dxa"/>
            </w:tcMar>
            <w:vAlign w:val="center"/>
          </w:tcPr>
          <w:p w14:paraId="520AAE0C">
            <w:pPr>
              <w:adjustRightInd w:val="0"/>
              <w:snapToGrid w:val="0"/>
              <w:jc w:val="center"/>
              <w:rPr>
                <w:rFonts w:cs="宋体"/>
                <w:szCs w:val="21"/>
              </w:rPr>
            </w:pPr>
            <w:bookmarkStart w:id="0" w:name="_Hlk167454940"/>
            <w:r>
              <w:rPr>
                <w:rFonts w:hint="eastAsia" w:cs="宋体"/>
                <w:szCs w:val="21"/>
              </w:rPr>
              <w:t>李明</w:t>
            </w:r>
            <w:bookmarkEnd w:id="0"/>
          </w:p>
        </w:tc>
        <w:tc>
          <w:tcPr>
            <w:tcW w:w="1806" w:type="dxa"/>
            <w:tcMar>
              <w:left w:w="28" w:type="dxa"/>
              <w:right w:w="28" w:type="dxa"/>
            </w:tcMar>
            <w:vAlign w:val="center"/>
          </w:tcPr>
          <w:p w14:paraId="520AAE0D">
            <w:pPr>
              <w:adjustRightInd w:val="0"/>
              <w:snapToGrid w:val="0"/>
              <w:jc w:val="center"/>
              <w:rPr>
                <w:rFonts w:cs="宋体"/>
                <w:szCs w:val="21"/>
              </w:rPr>
            </w:pPr>
            <w:r>
              <w:rPr>
                <w:rFonts w:hint="eastAsia" w:cs="宋体"/>
                <w:szCs w:val="21"/>
              </w:rPr>
              <w:t>联系方式</w:t>
            </w:r>
          </w:p>
        </w:tc>
        <w:tc>
          <w:tcPr>
            <w:tcW w:w="3045" w:type="dxa"/>
            <w:tcMar>
              <w:left w:w="28" w:type="dxa"/>
              <w:right w:w="28" w:type="dxa"/>
            </w:tcMar>
            <w:vAlign w:val="center"/>
          </w:tcPr>
          <w:p w14:paraId="520AAE0E">
            <w:pPr>
              <w:adjustRightInd w:val="0"/>
              <w:snapToGrid w:val="0"/>
              <w:jc w:val="center"/>
              <w:rPr>
                <w:rFonts w:cs="宋体"/>
                <w:szCs w:val="21"/>
              </w:rPr>
            </w:pPr>
            <w:r>
              <w:rPr>
                <w:rFonts w:hint="eastAsia" w:cs="宋体"/>
                <w:szCs w:val="21"/>
              </w:rPr>
              <w:t>***********</w:t>
            </w:r>
          </w:p>
        </w:tc>
      </w:tr>
      <w:tr w14:paraId="520AAE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408" w:type="dxa"/>
            <w:tcMar>
              <w:top w:w="16" w:type="dxa"/>
              <w:left w:w="28" w:type="dxa"/>
              <w:right w:w="28" w:type="dxa"/>
            </w:tcMar>
            <w:vAlign w:val="center"/>
          </w:tcPr>
          <w:p w14:paraId="520AAE10">
            <w:pPr>
              <w:adjustRightInd w:val="0"/>
              <w:snapToGrid w:val="0"/>
              <w:jc w:val="center"/>
              <w:rPr>
                <w:rFonts w:cs="宋体"/>
                <w:szCs w:val="21"/>
              </w:rPr>
            </w:pPr>
            <w:r>
              <w:rPr>
                <w:rFonts w:hint="eastAsia" w:cs="宋体"/>
                <w:szCs w:val="21"/>
              </w:rPr>
              <w:t>法人代表</w:t>
            </w:r>
          </w:p>
        </w:tc>
        <w:tc>
          <w:tcPr>
            <w:tcW w:w="7462" w:type="dxa"/>
            <w:gridSpan w:val="3"/>
            <w:tcMar>
              <w:left w:w="28" w:type="dxa"/>
              <w:right w:w="28" w:type="dxa"/>
            </w:tcMar>
            <w:vAlign w:val="center"/>
          </w:tcPr>
          <w:p w14:paraId="520AAE11">
            <w:pPr>
              <w:adjustRightInd w:val="0"/>
              <w:snapToGrid w:val="0"/>
              <w:jc w:val="center"/>
              <w:rPr>
                <w:rFonts w:cs="宋体"/>
                <w:szCs w:val="21"/>
              </w:rPr>
            </w:pPr>
            <w:r>
              <w:rPr>
                <w:rFonts w:hint="eastAsia" w:cs="宋体"/>
                <w:szCs w:val="21"/>
              </w:rPr>
              <w:t>张耀军（******************）</w:t>
            </w:r>
          </w:p>
        </w:tc>
      </w:tr>
      <w:tr w14:paraId="520AAE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408" w:type="dxa"/>
            <w:tcMar>
              <w:top w:w="16" w:type="dxa"/>
              <w:left w:w="28" w:type="dxa"/>
              <w:right w:w="28" w:type="dxa"/>
            </w:tcMar>
            <w:vAlign w:val="center"/>
          </w:tcPr>
          <w:p w14:paraId="520AAE13">
            <w:pPr>
              <w:adjustRightInd w:val="0"/>
              <w:snapToGrid w:val="0"/>
              <w:jc w:val="center"/>
              <w:rPr>
                <w:rFonts w:cs="宋体"/>
                <w:szCs w:val="21"/>
              </w:rPr>
            </w:pPr>
            <w:r>
              <w:rPr>
                <w:rFonts w:hint="eastAsia" w:cs="宋体"/>
                <w:szCs w:val="21"/>
              </w:rPr>
              <w:t>建设地点</w:t>
            </w:r>
          </w:p>
        </w:tc>
        <w:tc>
          <w:tcPr>
            <w:tcW w:w="7462" w:type="dxa"/>
            <w:gridSpan w:val="3"/>
            <w:tcMar>
              <w:left w:w="28" w:type="dxa"/>
              <w:right w:w="28" w:type="dxa"/>
            </w:tcMar>
            <w:vAlign w:val="center"/>
          </w:tcPr>
          <w:p w14:paraId="520AAE14">
            <w:pPr>
              <w:adjustRightInd w:val="0"/>
              <w:snapToGrid w:val="0"/>
              <w:jc w:val="center"/>
              <w:rPr>
                <w:rFonts w:cs="宋体"/>
                <w:szCs w:val="21"/>
              </w:rPr>
            </w:pPr>
            <w:r>
              <w:rPr>
                <w:rFonts w:hint="eastAsia" w:cs="宋体"/>
                <w:szCs w:val="21"/>
              </w:rPr>
              <w:t>新乡市牧野区建设中路168号（建设路厂区）、</w:t>
            </w:r>
          </w:p>
          <w:p w14:paraId="520AAE15">
            <w:pPr>
              <w:adjustRightInd w:val="0"/>
              <w:snapToGrid w:val="0"/>
              <w:jc w:val="center"/>
              <w:rPr>
                <w:rFonts w:cs="宋体"/>
                <w:szCs w:val="21"/>
              </w:rPr>
            </w:pPr>
            <w:r>
              <w:rPr>
                <w:rFonts w:hint="eastAsia" w:cs="宋体"/>
                <w:szCs w:val="21"/>
              </w:rPr>
              <w:t>新乡市解放大道（中）1号（解放路厂区）</w:t>
            </w:r>
          </w:p>
        </w:tc>
      </w:tr>
      <w:tr w14:paraId="520AAE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408" w:type="dxa"/>
            <w:tcMar>
              <w:top w:w="16" w:type="dxa"/>
              <w:left w:w="28" w:type="dxa"/>
              <w:right w:w="28" w:type="dxa"/>
            </w:tcMar>
            <w:vAlign w:val="center"/>
          </w:tcPr>
          <w:p w14:paraId="520AAE17">
            <w:pPr>
              <w:adjustRightInd w:val="0"/>
              <w:snapToGrid w:val="0"/>
              <w:jc w:val="center"/>
              <w:rPr>
                <w:rFonts w:cs="宋体"/>
                <w:szCs w:val="21"/>
              </w:rPr>
            </w:pPr>
            <w:r>
              <w:rPr>
                <w:rFonts w:hint="eastAsia" w:cs="宋体"/>
                <w:szCs w:val="21"/>
              </w:rPr>
              <w:t>地理坐标</w:t>
            </w:r>
          </w:p>
        </w:tc>
        <w:tc>
          <w:tcPr>
            <w:tcW w:w="7462" w:type="dxa"/>
            <w:gridSpan w:val="3"/>
            <w:tcMar>
              <w:left w:w="28" w:type="dxa"/>
              <w:right w:w="28" w:type="dxa"/>
            </w:tcMar>
            <w:vAlign w:val="center"/>
          </w:tcPr>
          <w:p w14:paraId="520AAE18">
            <w:pPr>
              <w:jc w:val="center"/>
              <w:rPr>
                <w:rFonts w:cs="宋体"/>
                <w:szCs w:val="21"/>
              </w:rPr>
            </w:pPr>
            <w:r>
              <w:rPr>
                <w:rFonts w:hint="eastAsia" w:cs="宋体"/>
                <w:szCs w:val="21"/>
              </w:rPr>
              <w:t>建设路厂区（</w:t>
            </w:r>
            <w:r>
              <w:rPr>
                <w:rFonts w:hint="eastAsia" w:cs="宋体"/>
                <w:szCs w:val="21"/>
                <w:u w:val="single"/>
              </w:rPr>
              <w:t xml:space="preserve">经度 113 </w:t>
            </w:r>
            <w:r>
              <w:rPr>
                <w:rFonts w:hint="eastAsia" w:cs="宋体"/>
                <w:szCs w:val="21"/>
              </w:rPr>
              <w:t>度</w:t>
            </w:r>
            <w:r>
              <w:rPr>
                <w:rFonts w:hint="eastAsia" w:cs="宋体"/>
                <w:szCs w:val="21"/>
                <w:u w:val="single"/>
              </w:rPr>
              <w:t xml:space="preserve"> 52 </w:t>
            </w:r>
            <w:r>
              <w:rPr>
                <w:rFonts w:hint="eastAsia" w:cs="宋体"/>
                <w:szCs w:val="21"/>
              </w:rPr>
              <w:t>分</w:t>
            </w:r>
            <w:r>
              <w:rPr>
                <w:rFonts w:hint="eastAsia" w:cs="宋体"/>
                <w:szCs w:val="21"/>
                <w:u w:val="single"/>
              </w:rPr>
              <w:t xml:space="preserve"> 31.539 </w:t>
            </w:r>
            <w:r>
              <w:rPr>
                <w:rFonts w:hint="eastAsia" w:cs="宋体"/>
                <w:szCs w:val="21"/>
              </w:rPr>
              <w:t>秒，</w:t>
            </w:r>
            <w:r>
              <w:rPr>
                <w:rFonts w:hint="eastAsia" w:cs="宋体"/>
                <w:szCs w:val="21"/>
                <w:u w:val="single"/>
              </w:rPr>
              <w:t xml:space="preserve">纬度 35 </w:t>
            </w:r>
            <w:r>
              <w:rPr>
                <w:rFonts w:hint="eastAsia" w:cs="宋体"/>
                <w:szCs w:val="21"/>
              </w:rPr>
              <w:t>度</w:t>
            </w:r>
            <w:r>
              <w:rPr>
                <w:rFonts w:hint="eastAsia" w:cs="宋体"/>
                <w:szCs w:val="21"/>
                <w:u w:val="single"/>
              </w:rPr>
              <w:t xml:space="preserve"> 19 </w:t>
            </w:r>
            <w:r>
              <w:rPr>
                <w:rFonts w:hint="eastAsia" w:cs="宋体"/>
                <w:szCs w:val="21"/>
              </w:rPr>
              <w:t>分</w:t>
            </w:r>
            <w:r>
              <w:rPr>
                <w:rFonts w:hint="eastAsia" w:cs="宋体"/>
                <w:szCs w:val="21"/>
                <w:u w:val="single"/>
              </w:rPr>
              <w:t xml:space="preserve"> 31.468</w:t>
            </w:r>
            <w:r>
              <w:rPr>
                <w:rFonts w:cs="宋体"/>
                <w:szCs w:val="21"/>
                <w:u w:val="single"/>
              </w:rPr>
              <w:t xml:space="preserve"> </w:t>
            </w:r>
            <w:r>
              <w:rPr>
                <w:rFonts w:hint="eastAsia" w:cs="宋体"/>
                <w:szCs w:val="21"/>
              </w:rPr>
              <w:t>秒）、</w:t>
            </w:r>
          </w:p>
          <w:p w14:paraId="520AAE19">
            <w:pPr>
              <w:jc w:val="center"/>
              <w:rPr>
                <w:rFonts w:cs="宋体"/>
                <w:szCs w:val="21"/>
              </w:rPr>
            </w:pPr>
            <w:r>
              <w:rPr>
                <w:rFonts w:hint="eastAsia" w:cs="宋体"/>
                <w:szCs w:val="21"/>
              </w:rPr>
              <w:t>解放路厂区（</w:t>
            </w:r>
            <w:r>
              <w:rPr>
                <w:rFonts w:hint="eastAsia" w:cs="宋体"/>
                <w:szCs w:val="21"/>
                <w:u w:val="single"/>
              </w:rPr>
              <w:t xml:space="preserve">经度 113 </w:t>
            </w:r>
            <w:r>
              <w:rPr>
                <w:rFonts w:hint="eastAsia" w:cs="宋体"/>
                <w:szCs w:val="21"/>
              </w:rPr>
              <w:t>度</w:t>
            </w:r>
            <w:r>
              <w:rPr>
                <w:rFonts w:hint="eastAsia" w:cs="宋体"/>
                <w:szCs w:val="21"/>
                <w:u w:val="single"/>
              </w:rPr>
              <w:t xml:space="preserve"> 51 </w:t>
            </w:r>
            <w:r>
              <w:rPr>
                <w:rFonts w:hint="eastAsia" w:cs="宋体"/>
                <w:szCs w:val="21"/>
              </w:rPr>
              <w:t>分</w:t>
            </w:r>
            <w:r>
              <w:rPr>
                <w:rFonts w:hint="eastAsia" w:cs="宋体"/>
                <w:szCs w:val="21"/>
                <w:u w:val="single"/>
              </w:rPr>
              <w:t xml:space="preserve"> 31.749 </w:t>
            </w:r>
            <w:r>
              <w:rPr>
                <w:rFonts w:hint="eastAsia" w:cs="宋体"/>
                <w:szCs w:val="21"/>
              </w:rPr>
              <w:t>秒，</w:t>
            </w:r>
            <w:r>
              <w:rPr>
                <w:rFonts w:hint="eastAsia" w:cs="宋体"/>
                <w:szCs w:val="21"/>
                <w:u w:val="single"/>
              </w:rPr>
              <w:t xml:space="preserve">纬度 35 </w:t>
            </w:r>
            <w:r>
              <w:rPr>
                <w:rFonts w:hint="eastAsia" w:cs="宋体"/>
                <w:szCs w:val="21"/>
              </w:rPr>
              <w:t>度</w:t>
            </w:r>
            <w:r>
              <w:rPr>
                <w:rFonts w:hint="eastAsia" w:cs="宋体"/>
                <w:szCs w:val="21"/>
                <w:u w:val="single"/>
              </w:rPr>
              <w:t xml:space="preserve"> 18 </w:t>
            </w:r>
            <w:r>
              <w:rPr>
                <w:rFonts w:hint="eastAsia" w:cs="宋体"/>
                <w:szCs w:val="21"/>
              </w:rPr>
              <w:t>分</w:t>
            </w:r>
            <w:r>
              <w:rPr>
                <w:rFonts w:hint="eastAsia" w:cs="宋体"/>
                <w:szCs w:val="21"/>
                <w:u w:val="single"/>
              </w:rPr>
              <w:t xml:space="preserve"> 59.371</w:t>
            </w:r>
            <w:r>
              <w:rPr>
                <w:rFonts w:cs="宋体"/>
                <w:szCs w:val="21"/>
                <w:u w:val="single"/>
              </w:rPr>
              <w:t xml:space="preserve"> </w:t>
            </w:r>
            <w:r>
              <w:rPr>
                <w:rFonts w:hint="eastAsia" w:cs="宋体"/>
                <w:szCs w:val="21"/>
              </w:rPr>
              <w:t>秒）</w:t>
            </w:r>
          </w:p>
        </w:tc>
      </w:tr>
      <w:tr w14:paraId="520AAE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408" w:type="dxa"/>
            <w:tcMar>
              <w:top w:w="16" w:type="dxa"/>
              <w:left w:w="28" w:type="dxa"/>
              <w:right w:w="28" w:type="dxa"/>
            </w:tcMar>
            <w:vAlign w:val="center"/>
          </w:tcPr>
          <w:p w14:paraId="520AAE1B">
            <w:pPr>
              <w:adjustRightInd w:val="0"/>
              <w:snapToGrid w:val="0"/>
              <w:jc w:val="center"/>
              <w:rPr>
                <w:rFonts w:cs="宋体"/>
                <w:szCs w:val="21"/>
              </w:rPr>
            </w:pPr>
            <w:r>
              <w:rPr>
                <w:rFonts w:hint="eastAsia" w:cs="宋体"/>
                <w:szCs w:val="21"/>
              </w:rPr>
              <w:t>国民经济</w:t>
            </w:r>
          </w:p>
          <w:p w14:paraId="520AAE1C">
            <w:pPr>
              <w:adjustRightInd w:val="0"/>
              <w:snapToGrid w:val="0"/>
              <w:jc w:val="center"/>
              <w:rPr>
                <w:rFonts w:cs="宋体"/>
                <w:szCs w:val="21"/>
              </w:rPr>
            </w:pPr>
            <w:r>
              <w:rPr>
                <w:rFonts w:hint="eastAsia" w:cs="宋体"/>
                <w:szCs w:val="21"/>
              </w:rPr>
              <w:t>行业类别</w:t>
            </w:r>
          </w:p>
        </w:tc>
        <w:tc>
          <w:tcPr>
            <w:tcW w:w="2611" w:type="dxa"/>
            <w:tcMar>
              <w:left w:w="28" w:type="dxa"/>
              <w:right w:w="28" w:type="dxa"/>
            </w:tcMar>
            <w:vAlign w:val="center"/>
          </w:tcPr>
          <w:p w14:paraId="520AAE1D">
            <w:pPr>
              <w:adjustRightInd w:val="0"/>
              <w:snapToGrid w:val="0"/>
              <w:jc w:val="center"/>
              <w:rPr>
                <w:rFonts w:cs="宋体"/>
                <w:szCs w:val="21"/>
              </w:rPr>
            </w:pPr>
            <w:r>
              <w:rPr>
                <w:rFonts w:hint="eastAsia" w:cs="宋体"/>
                <w:szCs w:val="21"/>
              </w:rPr>
              <w:t>C3741飞机制造</w:t>
            </w:r>
          </w:p>
        </w:tc>
        <w:tc>
          <w:tcPr>
            <w:tcW w:w="1806" w:type="dxa"/>
            <w:tcMar>
              <w:left w:w="28" w:type="dxa"/>
              <w:right w:w="28" w:type="dxa"/>
            </w:tcMar>
            <w:vAlign w:val="center"/>
          </w:tcPr>
          <w:p w14:paraId="520AAE1E">
            <w:pPr>
              <w:adjustRightInd w:val="0"/>
              <w:snapToGrid w:val="0"/>
              <w:jc w:val="center"/>
              <w:rPr>
                <w:rFonts w:cs="宋体"/>
                <w:szCs w:val="21"/>
              </w:rPr>
            </w:pPr>
            <w:bookmarkStart w:id="1" w:name="_Hlk49843745"/>
            <w:r>
              <w:rPr>
                <w:rFonts w:hint="eastAsia" w:cs="宋体"/>
                <w:szCs w:val="21"/>
              </w:rPr>
              <w:t>建设项目</w:t>
            </w:r>
          </w:p>
          <w:p w14:paraId="520AAE1F">
            <w:pPr>
              <w:adjustRightInd w:val="0"/>
              <w:snapToGrid w:val="0"/>
              <w:jc w:val="center"/>
              <w:rPr>
                <w:rFonts w:cs="宋体"/>
                <w:szCs w:val="21"/>
              </w:rPr>
            </w:pPr>
            <w:r>
              <w:rPr>
                <w:rFonts w:hint="eastAsia" w:cs="宋体"/>
                <w:szCs w:val="21"/>
              </w:rPr>
              <w:t>行业类别</w:t>
            </w:r>
            <w:bookmarkEnd w:id="1"/>
          </w:p>
        </w:tc>
        <w:tc>
          <w:tcPr>
            <w:tcW w:w="3045" w:type="dxa"/>
            <w:tcMar>
              <w:left w:w="28" w:type="dxa"/>
              <w:right w:w="28" w:type="dxa"/>
            </w:tcMar>
            <w:vAlign w:val="center"/>
          </w:tcPr>
          <w:p w14:paraId="520AAE20">
            <w:pPr>
              <w:adjustRightInd w:val="0"/>
              <w:snapToGrid w:val="0"/>
              <w:rPr>
                <w:rFonts w:cs="宋体"/>
                <w:szCs w:val="21"/>
              </w:rPr>
            </w:pPr>
            <w:r>
              <w:rPr>
                <w:rFonts w:hint="eastAsia" w:cs="宋体"/>
                <w:szCs w:val="21"/>
              </w:rPr>
              <w:t>三十四、“铁路、船舶、航空航天和其他运输设备制造业37”第74条“航空、航天器及设备制造374”</w:t>
            </w:r>
          </w:p>
        </w:tc>
      </w:tr>
      <w:tr w14:paraId="520AAE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408" w:type="dxa"/>
            <w:tcMar>
              <w:top w:w="16" w:type="dxa"/>
              <w:left w:w="28" w:type="dxa"/>
              <w:right w:w="28" w:type="dxa"/>
            </w:tcMar>
            <w:vAlign w:val="center"/>
          </w:tcPr>
          <w:p w14:paraId="520AAE22">
            <w:pPr>
              <w:adjustRightInd w:val="0"/>
              <w:snapToGrid w:val="0"/>
              <w:jc w:val="center"/>
              <w:rPr>
                <w:rFonts w:cs="宋体"/>
                <w:szCs w:val="21"/>
              </w:rPr>
            </w:pPr>
            <w:r>
              <w:rPr>
                <w:rFonts w:hint="eastAsia" w:cs="宋体"/>
                <w:szCs w:val="21"/>
              </w:rPr>
              <w:t>建设性质</w:t>
            </w:r>
          </w:p>
        </w:tc>
        <w:tc>
          <w:tcPr>
            <w:tcW w:w="2611" w:type="dxa"/>
            <w:tcMar>
              <w:left w:w="28" w:type="dxa"/>
              <w:right w:w="28" w:type="dxa"/>
            </w:tcMar>
            <w:vAlign w:val="center"/>
          </w:tcPr>
          <w:p w14:paraId="520AAE23">
            <w:pPr>
              <w:jc w:val="left"/>
              <w:rPr>
                <w:rFonts w:cs="宋体"/>
                <w:szCs w:val="21"/>
              </w:rPr>
            </w:pPr>
            <w:r>
              <w:rPr>
                <w:rFonts w:hint="eastAsia" w:cs="宋体"/>
                <w:szCs w:val="21"/>
              </w:rPr>
              <w:t>□新建（迁建）</w:t>
            </w:r>
          </w:p>
          <w:p w14:paraId="520AAE24">
            <w:pPr>
              <w:jc w:val="left"/>
              <w:rPr>
                <w:rFonts w:cs="宋体"/>
                <w:szCs w:val="21"/>
              </w:rPr>
            </w:pPr>
            <w:r>
              <w:rPr>
                <w:rFonts w:hint="eastAsia" w:ascii="MS Gothic" w:hAnsi="MS Gothic" w:eastAsia="MS Gothic" w:cs="MS Gothic"/>
                <w:sz w:val="24"/>
              </w:rPr>
              <w:t>☑</w:t>
            </w:r>
            <w:r>
              <w:rPr>
                <w:rFonts w:hint="eastAsia" w:cs="宋体"/>
                <w:szCs w:val="21"/>
              </w:rPr>
              <w:t>改建</w:t>
            </w:r>
          </w:p>
          <w:p w14:paraId="520AAE25">
            <w:pPr>
              <w:jc w:val="left"/>
              <w:rPr>
                <w:rFonts w:cs="宋体"/>
                <w:szCs w:val="21"/>
              </w:rPr>
            </w:pPr>
            <w:r>
              <w:rPr>
                <w:rFonts w:hint="eastAsia" w:cs="宋体"/>
                <w:szCs w:val="21"/>
              </w:rPr>
              <w:t>□扩建</w:t>
            </w:r>
          </w:p>
          <w:p w14:paraId="520AAE26">
            <w:pPr>
              <w:jc w:val="left"/>
              <w:rPr>
                <w:rFonts w:cs="宋体"/>
                <w:szCs w:val="21"/>
              </w:rPr>
            </w:pPr>
            <w:r>
              <w:rPr>
                <w:rFonts w:hint="eastAsia" w:cs="宋体"/>
                <w:szCs w:val="21"/>
              </w:rPr>
              <w:t>□技术改造</w:t>
            </w:r>
          </w:p>
        </w:tc>
        <w:tc>
          <w:tcPr>
            <w:tcW w:w="1806" w:type="dxa"/>
            <w:tcMar>
              <w:left w:w="28" w:type="dxa"/>
              <w:right w:w="28" w:type="dxa"/>
            </w:tcMar>
            <w:vAlign w:val="center"/>
          </w:tcPr>
          <w:p w14:paraId="520AAE27">
            <w:pPr>
              <w:adjustRightInd w:val="0"/>
              <w:snapToGrid w:val="0"/>
              <w:jc w:val="center"/>
              <w:rPr>
                <w:rFonts w:cs="宋体"/>
                <w:szCs w:val="21"/>
              </w:rPr>
            </w:pPr>
            <w:r>
              <w:rPr>
                <w:rFonts w:hint="eastAsia" w:cs="宋体"/>
                <w:szCs w:val="21"/>
              </w:rPr>
              <w:t>建设项目</w:t>
            </w:r>
          </w:p>
          <w:p w14:paraId="520AAE28">
            <w:pPr>
              <w:adjustRightInd w:val="0"/>
              <w:snapToGrid w:val="0"/>
              <w:jc w:val="center"/>
              <w:rPr>
                <w:rFonts w:cs="宋体"/>
                <w:szCs w:val="21"/>
              </w:rPr>
            </w:pPr>
            <w:r>
              <w:rPr>
                <w:rFonts w:hint="eastAsia" w:cs="宋体"/>
                <w:szCs w:val="21"/>
              </w:rPr>
              <w:t>申报情形</w:t>
            </w:r>
          </w:p>
        </w:tc>
        <w:tc>
          <w:tcPr>
            <w:tcW w:w="3045" w:type="dxa"/>
            <w:tcMar>
              <w:left w:w="28" w:type="dxa"/>
              <w:right w:w="28" w:type="dxa"/>
            </w:tcMar>
            <w:vAlign w:val="center"/>
          </w:tcPr>
          <w:p w14:paraId="520AAE29">
            <w:pPr>
              <w:jc w:val="left"/>
              <w:rPr>
                <w:rFonts w:cs="宋体"/>
                <w:szCs w:val="21"/>
              </w:rPr>
            </w:pPr>
            <w:r>
              <w:rPr>
                <w:rFonts w:hint="eastAsia" w:ascii="MS Gothic" w:hAnsi="MS Gothic" w:eastAsia="MS Gothic" w:cs="MS Gothic"/>
                <w:sz w:val="24"/>
              </w:rPr>
              <w:t>☑</w:t>
            </w:r>
            <w:r>
              <w:rPr>
                <w:rFonts w:hint="eastAsia" w:cs="宋体"/>
                <w:szCs w:val="21"/>
              </w:rPr>
              <w:t>首次申报项目</w:t>
            </w:r>
          </w:p>
          <w:p w14:paraId="520AAE2A">
            <w:pPr>
              <w:jc w:val="left"/>
              <w:rPr>
                <w:rFonts w:cs="宋体"/>
                <w:szCs w:val="21"/>
              </w:rPr>
            </w:pPr>
            <w:r>
              <w:rPr>
                <w:rFonts w:hint="eastAsia" w:cs="宋体"/>
                <w:szCs w:val="21"/>
              </w:rPr>
              <w:t>□不予批准后再次申报项目</w:t>
            </w:r>
          </w:p>
          <w:p w14:paraId="520AAE2B">
            <w:pPr>
              <w:jc w:val="left"/>
              <w:rPr>
                <w:rFonts w:cs="宋体"/>
                <w:szCs w:val="21"/>
              </w:rPr>
            </w:pPr>
            <w:r>
              <w:rPr>
                <w:rFonts w:hint="eastAsia" w:cs="宋体"/>
                <w:szCs w:val="21"/>
              </w:rPr>
              <w:sym w:font="Wingdings 2" w:char="00A3"/>
            </w:r>
            <w:r>
              <w:rPr>
                <w:rFonts w:hint="eastAsia" w:cs="宋体"/>
                <w:szCs w:val="21"/>
              </w:rPr>
              <w:t>超五年重新审核项目</w:t>
            </w:r>
          </w:p>
          <w:p w14:paraId="520AAE2C">
            <w:pPr>
              <w:jc w:val="left"/>
              <w:rPr>
                <w:rFonts w:cs="宋体"/>
                <w:szCs w:val="21"/>
              </w:rPr>
            </w:pPr>
            <w:r>
              <w:rPr>
                <w:rFonts w:hint="eastAsia" w:cs="宋体"/>
                <w:szCs w:val="21"/>
              </w:rPr>
              <w:t>□重大变动重新报批项目</w:t>
            </w:r>
          </w:p>
        </w:tc>
      </w:tr>
      <w:tr w14:paraId="520AAE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408" w:type="dxa"/>
            <w:tcMar>
              <w:top w:w="16" w:type="dxa"/>
              <w:left w:w="28" w:type="dxa"/>
              <w:right w:w="28" w:type="dxa"/>
            </w:tcMar>
            <w:vAlign w:val="center"/>
          </w:tcPr>
          <w:p w14:paraId="520AAE2E">
            <w:pPr>
              <w:adjustRightInd w:val="0"/>
              <w:snapToGrid w:val="0"/>
              <w:jc w:val="center"/>
              <w:rPr>
                <w:rFonts w:cs="宋体"/>
                <w:szCs w:val="21"/>
              </w:rPr>
            </w:pPr>
            <w:r>
              <w:rPr>
                <w:rFonts w:hint="eastAsia" w:cs="宋体"/>
                <w:szCs w:val="21"/>
              </w:rPr>
              <w:t>项目审批（核准</w:t>
            </w:r>
            <w:r>
              <w:rPr>
                <w:rFonts w:cs="宋体"/>
                <w:szCs w:val="21"/>
              </w:rPr>
              <w:t>/</w:t>
            </w:r>
            <w:r>
              <w:rPr>
                <w:rFonts w:hint="eastAsia" w:cs="宋体"/>
                <w:szCs w:val="21"/>
              </w:rPr>
              <w:t>备案）部门</w:t>
            </w:r>
          </w:p>
        </w:tc>
        <w:tc>
          <w:tcPr>
            <w:tcW w:w="2611" w:type="dxa"/>
            <w:tcMar>
              <w:left w:w="28" w:type="dxa"/>
              <w:right w:w="28" w:type="dxa"/>
            </w:tcMar>
            <w:vAlign w:val="center"/>
          </w:tcPr>
          <w:p w14:paraId="520AAE2F">
            <w:pPr>
              <w:adjustRightInd w:val="0"/>
              <w:snapToGrid w:val="0"/>
              <w:jc w:val="center"/>
              <w:rPr>
                <w:rFonts w:cs="宋体"/>
                <w:szCs w:val="21"/>
              </w:rPr>
            </w:pPr>
            <w:r>
              <w:rPr>
                <w:rFonts w:hint="eastAsia" w:cs="宋体"/>
                <w:szCs w:val="21"/>
              </w:rPr>
              <w:t>新乡市牧野区发展和改革委员会</w:t>
            </w:r>
          </w:p>
        </w:tc>
        <w:tc>
          <w:tcPr>
            <w:tcW w:w="1806" w:type="dxa"/>
            <w:tcMar>
              <w:left w:w="28" w:type="dxa"/>
              <w:right w:w="28" w:type="dxa"/>
            </w:tcMar>
            <w:vAlign w:val="center"/>
          </w:tcPr>
          <w:p w14:paraId="520AAE30">
            <w:pPr>
              <w:adjustRightInd w:val="0"/>
              <w:snapToGrid w:val="0"/>
              <w:jc w:val="center"/>
              <w:rPr>
                <w:rFonts w:cs="宋体"/>
                <w:szCs w:val="21"/>
              </w:rPr>
            </w:pPr>
            <w:r>
              <w:rPr>
                <w:rFonts w:hint="eastAsia" w:cs="宋体"/>
                <w:szCs w:val="21"/>
              </w:rPr>
              <w:t>项目审批（核准</w:t>
            </w:r>
            <w:r>
              <w:rPr>
                <w:rFonts w:cs="宋体"/>
                <w:szCs w:val="21"/>
              </w:rPr>
              <w:t>/</w:t>
            </w:r>
            <w:r>
              <w:rPr>
                <w:rFonts w:hint="eastAsia" w:cs="宋体"/>
                <w:szCs w:val="21"/>
              </w:rPr>
              <w:t>备案）文号</w:t>
            </w:r>
          </w:p>
        </w:tc>
        <w:tc>
          <w:tcPr>
            <w:tcW w:w="3045" w:type="dxa"/>
            <w:tcMar>
              <w:left w:w="28" w:type="dxa"/>
              <w:right w:w="28" w:type="dxa"/>
            </w:tcMar>
            <w:vAlign w:val="center"/>
          </w:tcPr>
          <w:p w14:paraId="520AAE31">
            <w:pPr>
              <w:adjustRightInd w:val="0"/>
              <w:snapToGrid w:val="0"/>
              <w:jc w:val="center"/>
              <w:rPr>
                <w:rFonts w:cs="宋体"/>
                <w:szCs w:val="21"/>
                <w:highlight w:val="yellow"/>
              </w:rPr>
            </w:pPr>
            <w:r>
              <w:rPr>
                <w:rFonts w:hint="eastAsia" w:cs="宋体"/>
                <w:szCs w:val="21"/>
              </w:rPr>
              <w:t>/</w:t>
            </w:r>
          </w:p>
        </w:tc>
      </w:tr>
      <w:tr w14:paraId="520AAE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408" w:type="dxa"/>
            <w:tcMar>
              <w:top w:w="16" w:type="dxa"/>
              <w:left w:w="28" w:type="dxa"/>
              <w:right w:w="28" w:type="dxa"/>
            </w:tcMar>
            <w:vAlign w:val="center"/>
          </w:tcPr>
          <w:p w14:paraId="520AAE33">
            <w:pPr>
              <w:adjustRightInd w:val="0"/>
              <w:snapToGrid w:val="0"/>
              <w:jc w:val="center"/>
              <w:rPr>
                <w:rFonts w:cs="宋体"/>
                <w:szCs w:val="21"/>
              </w:rPr>
            </w:pPr>
            <w:r>
              <w:rPr>
                <w:rFonts w:hint="eastAsia" w:cs="宋体"/>
                <w:szCs w:val="21"/>
              </w:rPr>
              <w:t>总投资</w:t>
            </w:r>
          </w:p>
          <w:p w14:paraId="520AAE34">
            <w:pPr>
              <w:adjustRightInd w:val="0"/>
              <w:snapToGrid w:val="0"/>
              <w:jc w:val="center"/>
              <w:rPr>
                <w:rFonts w:cs="宋体"/>
                <w:szCs w:val="21"/>
              </w:rPr>
            </w:pPr>
            <w:r>
              <w:rPr>
                <w:rFonts w:hint="eastAsia" w:cs="宋体"/>
                <w:szCs w:val="21"/>
              </w:rPr>
              <w:t>（万元）</w:t>
            </w:r>
          </w:p>
        </w:tc>
        <w:tc>
          <w:tcPr>
            <w:tcW w:w="2611" w:type="dxa"/>
            <w:tcMar>
              <w:left w:w="28" w:type="dxa"/>
              <w:right w:w="28" w:type="dxa"/>
            </w:tcMar>
            <w:vAlign w:val="center"/>
          </w:tcPr>
          <w:p w14:paraId="520AAE35">
            <w:pPr>
              <w:adjustRightInd w:val="0"/>
              <w:snapToGrid w:val="0"/>
              <w:jc w:val="center"/>
              <w:rPr>
                <w:rFonts w:cs="宋体"/>
                <w:szCs w:val="21"/>
              </w:rPr>
            </w:pPr>
            <w:r>
              <w:rPr>
                <w:rFonts w:hint="eastAsia" w:cs="宋体"/>
                <w:szCs w:val="21"/>
              </w:rPr>
              <w:t>6000</w:t>
            </w:r>
          </w:p>
        </w:tc>
        <w:tc>
          <w:tcPr>
            <w:tcW w:w="1806" w:type="dxa"/>
            <w:tcMar>
              <w:top w:w="16" w:type="dxa"/>
              <w:left w:w="28" w:type="dxa"/>
              <w:right w:w="28" w:type="dxa"/>
            </w:tcMar>
            <w:vAlign w:val="center"/>
          </w:tcPr>
          <w:p w14:paraId="520AAE36">
            <w:pPr>
              <w:adjustRightInd w:val="0"/>
              <w:snapToGrid w:val="0"/>
              <w:jc w:val="center"/>
              <w:rPr>
                <w:rFonts w:cs="宋体"/>
                <w:szCs w:val="21"/>
              </w:rPr>
            </w:pPr>
            <w:r>
              <w:rPr>
                <w:rFonts w:hint="eastAsia" w:cs="宋体"/>
                <w:szCs w:val="21"/>
              </w:rPr>
              <w:t>环保投资（万元）</w:t>
            </w:r>
          </w:p>
        </w:tc>
        <w:tc>
          <w:tcPr>
            <w:tcW w:w="3045" w:type="dxa"/>
            <w:tcMar>
              <w:left w:w="28" w:type="dxa"/>
              <w:right w:w="28" w:type="dxa"/>
            </w:tcMar>
            <w:vAlign w:val="center"/>
          </w:tcPr>
          <w:p w14:paraId="520AAE37">
            <w:pPr>
              <w:adjustRightInd w:val="0"/>
              <w:snapToGrid w:val="0"/>
              <w:jc w:val="center"/>
              <w:rPr>
                <w:rFonts w:cs="宋体"/>
                <w:szCs w:val="21"/>
              </w:rPr>
            </w:pPr>
            <w:r>
              <w:rPr>
                <w:rFonts w:hint="eastAsia" w:cs="宋体"/>
                <w:szCs w:val="21"/>
              </w:rPr>
              <w:t>10</w:t>
            </w:r>
          </w:p>
        </w:tc>
      </w:tr>
      <w:tr w14:paraId="520AAE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408" w:type="dxa"/>
            <w:tcMar>
              <w:top w:w="16" w:type="dxa"/>
              <w:left w:w="28" w:type="dxa"/>
              <w:right w:w="28" w:type="dxa"/>
            </w:tcMar>
            <w:vAlign w:val="center"/>
          </w:tcPr>
          <w:p w14:paraId="520AAE39">
            <w:pPr>
              <w:adjustRightInd w:val="0"/>
              <w:snapToGrid w:val="0"/>
              <w:jc w:val="center"/>
              <w:rPr>
                <w:rFonts w:cs="宋体"/>
                <w:szCs w:val="21"/>
              </w:rPr>
            </w:pPr>
            <w:r>
              <w:rPr>
                <w:rFonts w:hint="eastAsia" w:cs="宋体"/>
                <w:szCs w:val="21"/>
              </w:rPr>
              <w:t>环保投资占比（</w:t>
            </w:r>
            <w:r>
              <w:rPr>
                <w:rFonts w:cs="宋体"/>
                <w:szCs w:val="21"/>
              </w:rPr>
              <w:t>%</w:t>
            </w:r>
            <w:r>
              <w:rPr>
                <w:rFonts w:hint="eastAsia" w:cs="宋体"/>
                <w:szCs w:val="21"/>
              </w:rPr>
              <w:t>）</w:t>
            </w:r>
          </w:p>
        </w:tc>
        <w:tc>
          <w:tcPr>
            <w:tcW w:w="2611" w:type="dxa"/>
            <w:tcMar>
              <w:left w:w="28" w:type="dxa"/>
              <w:right w:w="28" w:type="dxa"/>
            </w:tcMar>
            <w:vAlign w:val="center"/>
          </w:tcPr>
          <w:p w14:paraId="520AAE3A">
            <w:pPr>
              <w:adjustRightInd w:val="0"/>
              <w:snapToGrid w:val="0"/>
              <w:jc w:val="center"/>
              <w:rPr>
                <w:rFonts w:cs="宋体"/>
                <w:szCs w:val="21"/>
              </w:rPr>
            </w:pPr>
            <w:r>
              <w:rPr>
                <w:rFonts w:hint="eastAsia" w:cs="宋体"/>
                <w:szCs w:val="21"/>
              </w:rPr>
              <w:t>0.17</w:t>
            </w:r>
          </w:p>
        </w:tc>
        <w:tc>
          <w:tcPr>
            <w:tcW w:w="1806" w:type="dxa"/>
            <w:tcMar>
              <w:top w:w="16" w:type="dxa"/>
              <w:left w:w="28" w:type="dxa"/>
              <w:right w:w="28" w:type="dxa"/>
            </w:tcMar>
            <w:vAlign w:val="center"/>
          </w:tcPr>
          <w:p w14:paraId="520AAE3B">
            <w:pPr>
              <w:adjustRightInd w:val="0"/>
              <w:snapToGrid w:val="0"/>
              <w:jc w:val="center"/>
              <w:rPr>
                <w:rFonts w:cs="宋体"/>
                <w:szCs w:val="21"/>
              </w:rPr>
            </w:pPr>
            <w:r>
              <w:rPr>
                <w:rFonts w:hint="eastAsia" w:cs="宋体"/>
                <w:szCs w:val="21"/>
              </w:rPr>
              <w:t>施工工期</w:t>
            </w:r>
          </w:p>
        </w:tc>
        <w:tc>
          <w:tcPr>
            <w:tcW w:w="3045" w:type="dxa"/>
            <w:tcMar>
              <w:left w:w="28" w:type="dxa"/>
              <w:right w:w="28" w:type="dxa"/>
            </w:tcMar>
            <w:vAlign w:val="center"/>
          </w:tcPr>
          <w:p w14:paraId="520AAE3C">
            <w:pPr>
              <w:adjustRightInd w:val="0"/>
              <w:snapToGrid w:val="0"/>
              <w:jc w:val="center"/>
              <w:rPr>
                <w:rFonts w:cs="宋体"/>
                <w:szCs w:val="21"/>
              </w:rPr>
            </w:pPr>
            <w:r>
              <w:rPr>
                <w:rFonts w:hint="eastAsia" w:cs="宋体"/>
                <w:szCs w:val="21"/>
              </w:rPr>
              <w:t>2025年10月-202</w:t>
            </w:r>
            <w:r>
              <w:rPr>
                <w:rFonts w:cs="宋体"/>
                <w:szCs w:val="21"/>
              </w:rPr>
              <w:t>7</w:t>
            </w:r>
            <w:r>
              <w:rPr>
                <w:rFonts w:hint="eastAsia" w:cs="宋体"/>
                <w:szCs w:val="21"/>
              </w:rPr>
              <w:t>年</w:t>
            </w:r>
            <w:r>
              <w:rPr>
                <w:rFonts w:cs="宋体"/>
                <w:szCs w:val="21"/>
              </w:rPr>
              <w:t>9</w:t>
            </w:r>
            <w:r>
              <w:rPr>
                <w:rFonts w:hint="eastAsia" w:cs="宋体"/>
                <w:szCs w:val="21"/>
              </w:rPr>
              <w:t>月</w:t>
            </w:r>
          </w:p>
        </w:tc>
      </w:tr>
      <w:tr w14:paraId="520AAE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408" w:type="dxa"/>
            <w:tcMar>
              <w:top w:w="16" w:type="dxa"/>
              <w:left w:w="28" w:type="dxa"/>
              <w:right w:w="28" w:type="dxa"/>
            </w:tcMar>
            <w:vAlign w:val="center"/>
          </w:tcPr>
          <w:p w14:paraId="520AAE3E">
            <w:pPr>
              <w:adjustRightInd w:val="0"/>
              <w:snapToGrid w:val="0"/>
              <w:jc w:val="center"/>
              <w:rPr>
                <w:rFonts w:cs="宋体"/>
                <w:szCs w:val="21"/>
              </w:rPr>
            </w:pPr>
            <w:r>
              <w:rPr>
                <w:rFonts w:hint="eastAsia" w:cs="宋体"/>
                <w:szCs w:val="21"/>
              </w:rPr>
              <w:t>是否开工建设</w:t>
            </w:r>
          </w:p>
        </w:tc>
        <w:tc>
          <w:tcPr>
            <w:tcW w:w="2611" w:type="dxa"/>
            <w:tcMar>
              <w:left w:w="28" w:type="dxa"/>
              <w:right w:w="28" w:type="dxa"/>
            </w:tcMar>
            <w:vAlign w:val="center"/>
          </w:tcPr>
          <w:p w14:paraId="520AAE3F">
            <w:pPr>
              <w:adjustRightInd w:val="0"/>
              <w:snapToGrid w:val="0"/>
              <w:rPr>
                <w:rFonts w:cs="宋体"/>
                <w:szCs w:val="21"/>
              </w:rPr>
            </w:pPr>
            <w:r>
              <w:rPr>
                <w:rFonts w:hint="eastAsia" w:ascii="MS Gothic" w:hAnsi="MS Gothic" w:eastAsia="MS Gothic" w:cs="MS Gothic"/>
                <w:sz w:val="24"/>
              </w:rPr>
              <w:t>☑</w:t>
            </w:r>
            <w:r>
              <w:rPr>
                <w:rFonts w:hint="eastAsia" w:cs="宋体"/>
                <w:szCs w:val="21"/>
              </w:rPr>
              <w:t>否</w:t>
            </w:r>
          </w:p>
          <w:p w14:paraId="520AAE40">
            <w:pPr>
              <w:adjustRightInd w:val="0"/>
              <w:snapToGrid w:val="0"/>
              <w:rPr>
                <w:rFonts w:cs="宋体"/>
                <w:szCs w:val="21"/>
              </w:rPr>
            </w:pPr>
            <w:r>
              <w:rPr>
                <w:rFonts w:hint="eastAsia" w:cs="宋体"/>
                <w:szCs w:val="21"/>
              </w:rPr>
              <w:sym w:font="Wingdings 2" w:char="00A3"/>
            </w:r>
            <w:r>
              <w:rPr>
                <w:rFonts w:hint="eastAsia" w:cs="宋体"/>
                <w:szCs w:val="21"/>
              </w:rPr>
              <w:t>是：</w:t>
            </w:r>
            <w:r>
              <w:rPr>
                <w:rFonts w:hint="eastAsia" w:cs="宋体"/>
                <w:szCs w:val="21"/>
                <w:u w:val="single"/>
              </w:rPr>
              <w:t xml:space="preserve">           </w:t>
            </w:r>
          </w:p>
        </w:tc>
        <w:tc>
          <w:tcPr>
            <w:tcW w:w="1806" w:type="dxa"/>
            <w:tcMar>
              <w:top w:w="16" w:type="dxa"/>
              <w:left w:w="28" w:type="dxa"/>
              <w:right w:w="28" w:type="dxa"/>
            </w:tcMar>
            <w:vAlign w:val="center"/>
          </w:tcPr>
          <w:p w14:paraId="520AAE41">
            <w:pPr>
              <w:adjustRightInd w:val="0"/>
              <w:snapToGrid w:val="0"/>
              <w:jc w:val="center"/>
              <w:rPr>
                <w:rFonts w:cs="宋体"/>
                <w:spacing w:val="-6"/>
                <w:szCs w:val="21"/>
              </w:rPr>
            </w:pPr>
            <w:r>
              <w:rPr>
                <w:rFonts w:hint="eastAsia" w:cs="宋体"/>
                <w:spacing w:val="-6"/>
                <w:szCs w:val="21"/>
              </w:rPr>
              <w:t>用地（用海）</w:t>
            </w:r>
          </w:p>
          <w:p w14:paraId="520AAE42">
            <w:pPr>
              <w:adjustRightInd w:val="0"/>
              <w:snapToGrid w:val="0"/>
              <w:jc w:val="center"/>
              <w:rPr>
                <w:rFonts w:cs="宋体"/>
                <w:szCs w:val="21"/>
              </w:rPr>
            </w:pPr>
            <w:r>
              <w:rPr>
                <w:rFonts w:hint="eastAsia" w:cs="宋体"/>
                <w:spacing w:val="-6"/>
                <w:szCs w:val="21"/>
              </w:rPr>
              <w:t>面积（</w:t>
            </w:r>
            <w:r>
              <w:rPr>
                <w:rFonts w:cs="宋体"/>
                <w:spacing w:val="-6"/>
                <w:szCs w:val="21"/>
              </w:rPr>
              <w:t>m</w:t>
            </w:r>
            <w:r>
              <w:rPr>
                <w:rFonts w:cs="宋体"/>
                <w:spacing w:val="-6"/>
                <w:szCs w:val="21"/>
                <w:vertAlign w:val="superscript"/>
              </w:rPr>
              <w:t>2</w:t>
            </w:r>
            <w:r>
              <w:rPr>
                <w:rFonts w:hint="eastAsia" w:cs="宋体"/>
                <w:spacing w:val="-6"/>
                <w:szCs w:val="21"/>
              </w:rPr>
              <w:t>）</w:t>
            </w:r>
          </w:p>
        </w:tc>
        <w:tc>
          <w:tcPr>
            <w:tcW w:w="3045" w:type="dxa"/>
            <w:tcMar>
              <w:left w:w="28" w:type="dxa"/>
              <w:right w:w="28" w:type="dxa"/>
            </w:tcMar>
            <w:vAlign w:val="center"/>
          </w:tcPr>
          <w:p w14:paraId="520AAE43">
            <w:pPr>
              <w:adjustRightInd w:val="0"/>
              <w:snapToGrid w:val="0"/>
              <w:jc w:val="center"/>
              <w:rPr>
                <w:rFonts w:cs="宋体"/>
                <w:szCs w:val="21"/>
                <w:highlight w:val="yellow"/>
              </w:rPr>
            </w:pPr>
            <w:r>
              <w:rPr>
                <w:rFonts w:hint="eastAsia" w:cs="宋体"/>
                <w:szCs w:val="21"/>
              </w:rPr>
              <w:t>0（本项目不新增用地，涉及使用面积25</w:t>
            </w:r>
            <w:r>
              <w:rPr>
                <w:rFonts w:cs="宋体"/>
                <w:szCs w:val="21"/>
              </w:rPr>
              <w:t>00m</w:t>
            </w:r>
            <w:r>
              <w:rPr>
                <w:rFonts w:cs="宋体"/>
                <w:szCs w:val="21"/>
                <w:vertAlign w:val="superscript"/>
              </w:rPr>
              <w:t>2</w:t>
            </w:r>
            <w:r>
              <w:rPr>
                <w:rFonts w:hint="eastAsia" w:cs="宋体"/>
                <w:szCs w:val="21"/>
              </w:rPr>
              <w:t>）</w:t>
            </w:r>
          </w:p>
        </w:tc>
      </w:tr>
      <w:tr w14:paraId="520AAE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408" w:type="dxa"/>
            <w:tcMar>
              <w:left w:w="28" w:type="dxa"/>
              <w:right w:w="28" w:type="dxa"/>
            </w:tcMar>
            <w:vAlign w:val="center"/>
          </w:tcPr>
          <w:p w14:paraId="520AAE45">
            <w:pPr>
              <w:autoSpaceDE w:val="0"/>
              <w:autoSpaceDN w:val="0"/>
              <w:adjustRightInd w:val="0"/>
              <w:snapToGrid w:val="0"/>
              <w:jc w:val="center"/>
              <w:rPr>
                <w:rFonts w:hint="eastAsia" w:ascii="宋体" w:hAnsi="宋体" w:cs="宋体"/>
                <w:kern w:val="0"/>
                <w:szCs w:val="21"/>
                <w:highlight w:val="yellow"/>
              </w:rPr>
            </w:pPr>
            <w:r>
              <w:rPr>
                <w:rFonts w:hint="eastAsia" w:ascii="宋体" w:hAnsi="宋体" w:cs="宋体"/>
                <w:kern w:val="0"/>
                <w:szCs w:val="21"/>
              </w:rPr>
              <w:t>专项评价设置情况</w:t>
            </w:r>
          </w:p>
        </w:tc>
        <w:tc>
          <w:tcPr>
            <w:tcW w:w="7462" w:type="dxa"/>
            <w:gridSpan w:val="3"/>
            <w:vAlign w:val="center"/>
          </w:tcPr>
          <w:p w14:paraId="520AAE46">
            <w:pPr>
              <w:autoSpaceDE w:val="0"/>
              <w:autoSpaceDN w:val="0"/>
              <w:adjustRightInd w:val="0"/>
              <w:snapToGrid w:val="0"/>
              <w:spacing w:line="460" w:lineRule="exact"/>
              <w:ind w:firstLine="480" w:firstLineChars="200"/>
              <w:rPr>
                <w:rFonts w:eastAsia="黑体"/>
                <w:kern w:val="0"/>
                <w:sz w:val="24"/>
              </w:rPr>
            </w:pPr>
            <w:r>
              <w:rPr>
                <w:rFonts w:eastAsia="黑体"/>
                <w:kern w:val="0"/>
                <w:sz w:val="24"/>
                <w:lang w:bidi="ar"/>
              </w:rPr>
              <w:t>表1        与专项评价设置原则对比一览表</w:t>
            </w:r>
          </w:p>
          <w:tbl>
            <w:tblPr>
              <w:tblStyle w:val="18"/>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702"/>
              <w:gridCol w:w="3009"/>
              <w:gridCol w:w="3535"/>
            </w:tblGrid>
            <w:tr w14:paraId="520AAE4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25" w:type="dxa"/>
                  <w:vAlign w:val="center"/>
                </w:tcPr>
                <w:p w14:paraId="520AAE47">
                  <w:pPr>
                    <w:autoSpaceDE w:val="0"/>
                    <w:autoSpaceDN w:val="0"/>
                    <w:adjustRightInd w:val="0"/>
                    <w:snapToGrid w:val="0"/>
                    <w:jc w:val="center"/>
                    <w:rPr>
                      <w:b/>
                      <w:bCs/>
                      <w:kern w:val="0"/>
                      <w:szCs w:val="21"/>
                      <w:lang w:bidi="ar"/>
                    </w:rPr>
                  </w:pPr>
                  <w:r>
                    <w:rPr>
                      <w:b/>
                      <w:bCs/>
                      <w:kern w:val="0"/>
                      <w:szCs w:val="21"/>
                      <w:lang w:bidi="ar"/>
                    </w:rPr>
                    <w:t>专项评价的类别</w:t>
                  </w:r>
                </w:p>
              </w:tc>
              <w:tc>
                <w:tcPr>
                  <w:tcW w:w="3118" w:type="dxa"/>
                  <w:vAlign w:val="center"/>
                </w:tcPr>
                <w:p w14:paraId="520AAE48">
                  <w:pPr>
                    <w:autoSpaceDE w:val="0"/>
                    <w:autoSpaceDN w:val="0"/>
                    <w:adjustRightInd w:val="0"/>
                    <w:snapToGrid w:val="0"/>
                    <w:jc w:val="center"/>
                    <w:rPr>
                      <w:b/>
                      <w:bCs/>
                      <w:kern w:val="0"/>
                      <w:szCs w:val="21"/>
                      <w:lang w:bidi="ar"/>
                    </w:rPr>
                  </w:pPr>
                  <w:r>
                    <w:rPr>
                      <w:b/>
                      <w:bCs/>
                      <w:kern w:val="0"/>
                      <w:szCs w:val="21"/>
                      <w:lang w:bidi="ar"/>
                    </w:rPr>
                    <w:t>设置原则</w:t>
                  </w:r>
                </w:p>
              </w:tc>
              <w:tc>
                <w:tcPr>
                  <w:tcW w:w="3664" w:type="dxa"/>
                  <w:vAlign w:val="center"/>
                </w:tcPr>
                <w:p w14:paraId="520AAE49">
                  <w:pPr>
                    <w:autoSpaceDE w:val="0"/>
                    <w:autoSpaceDN w:val="0"/>
                    <w:adjustRightInd w:val="0"/>
                    <w:snapToGrid w:val="0"/>
                    <w:jc w:val="center"/>
                    <w:rPr>
                      <w:b/>
                      <w:bCs/>
                      <w:kern w:val="0"/>
                      <w:szCs w:val="21"/>
                      <w:lang w:bidi="ar"/>
                    </w:rPr>
                  </w:pPr>
                  <w:r>
                    <w:rPr>
                      <w:b/>
                      <w:bCs/>
                      <w:kern w:val="0"/>
                      <w:szCs w:val="21"/>
                      <w:lang w:bidi="ar"/>
                    </w:rPr>
                    <w:t>与本项目对比</w:t>
                  </w:r>
                </w:p>
              </w:tc>
            </w:tr>
            <w:tr w14:paraId="520AAE4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25" w:type="dxa"/>
                  <w:vAlign w:val="center"/>
                </w:tcPr>
                <w:p w14:paraId="520AAE4B">
                  <w:pPr>
                    <w:autoSpaceDE w:val="0"/>
                    <w:autoSpaceDN w:val="0"/>
                    <w:adjustRightInd w:val="0"/>
                    <w:snapToGrid w:val="0"/>
                    <w:jc w:val="center"/>
                    <w:rPr>
                      <w:kern w:val="0"/>
                      <w:szCs w:val="21"/>
                      <w:lang w:bidi="ar"/>
                    </w:rPr>
                  </w:pPr>
                  <w:r>
                    <w:rPr>
                      <w:kern w:val="0"/>
                      <w:szCs w:val="21"/>
                      <w:lang w:bidi="ar"/>
                    </w:rPr>
                    <w:t>大气</w:t>
                  </w:r>
                </w:p>
              </w:tc>
              <w:tc>
                <w:tcPr>
                  <w:tcW w:w="3118" w:type="dxa"/>
                  <w:vAlign w:val="center"/>
                </w:tcPr>
                <w:p w14:paraId="520AAE4C">
                  <w:pPr>
                    <w:autoSpaceDE w:val="0"/>
                    <w:autoSpaceDN w:val="0"/>
                    <w:adjustRightInd w:val="0"/>
                    <w:snapToGrid w:val="0"/>
                    <w:rPr>
                      <w:kern w:val="0"/>
                      <w:szCs w:val="21"/>
                      <w:lang w:bidi="ar"/>
                    </w:rPr>
                  </w:pPr>
                  <w:r>
                    <w:rPr>
                      <w:kern w:val="0"/>
                      <w:szCs w:val="21"/>
                      <w:lang w:bidi="ar"/>
                    </w:rPr>
                    <w:t>排放废气含有有毒有害污染物</w:t>
                  </w:r>
                  <w:r>
                    <w:rPr>
                      <w:kern w:val="0"/>
                      <w:szCs w:val="21"/>
                      <w:vertAlign w:val="superscript"/>
                      <w:lang w:bidi="ar"/>
                    </w:rPr>
                    <w:t>1</w:t>
                  </w:r>
                  <w:r>
                    <w:rPr>
                      <w:kern w:val="0"/>
                      <w:szCs w:val="21"/>
                      <w:lang w:bidi="ar"/>
                    </w:rPr>
                    <w:t>、二噁英、苯并[a]芘、氰化物、氯气且厂界外500米范围内有环境空气保护目标</w:t>
                  </w:r>
                  <w:r>
                    <w:rPr>
                      <w:kern w:val="0"/>
                      <w:szCs w:val="21"/>
                      <w:vertAlign w:val="superscript"/>
                      <w:lang w:bidi="ar"/>
                    </w:rPr>
                    <w:t>2</w:t>
                  </w:r>
                  <w:r>
                    <w:rPr>
                      <w:kern w:val="0"/>
                      <w:szCs w:val="21"/>
                      <w:lang w:bidi="ar"/>
                    </w:rPr>
                    <w:t>的建设项目</w:t>
                  </w:r>
                  <w:r>
                    <w:rPr>
                      <w:rFonts w:hint="eastAsia"/>
                      <w:kern w:val="0"/>
                      <w:szCs w:val="21"/>
                      <w:lang w:bidi="ar"/>
                    </w:rPr>
                    <w:t>。</w:t>
                  </w:r>
                </w:p>
              </w:tc>
              <w:tc>
                <w:tcPr>
                  <w:tcW w:w="3664" w:type="dxa"/>
                  <w:vAlign w:val="center"/>
                </w:tcPr>
                <w:p w14:paraId="520AAE4D">
                  <w:pPr>
                    <w:autoSpaceDE w:val="0"/>
                    <w:autoSpaceDN w:val="0"/>
                    <w:adjustRightInd w:val="0"/>
                    <w:snapToGrid w:val="0"/>
                    <w:rPr>
                      <w:kern w:val="0"/>
                      <w:szCs w:val="21"/>
                      <w:lang w:bidi="ar"/>
                    </w:rPr>
                  </w:pPr>
                  <w:r>
                    <w:rPr>
                      <w:rFonts w:hint="eastAsia"/>
                      <w:kern w:val="0"/>
                      <w:szCs w:val="21"/>
                      <w:lang w:bidi="ar"/>
                    </w:rPr>
                    <w:t>本项目废气排放不涉及有毒有害污染物、二噁英、苯并[a]芘、氰化物、氯气，本项目不需要设置大气专项评价。</w:t>
                  </w:r>
                </w:p>
              </w:tc>
            </w:tr>
            <w:tr w14:paraId="520AAE5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25" w:type="dxa"/>
                  <w:vAlign w:val="center"/>
                </w:tcPr>
                <w:p w14:paraId="520AAE4F">
                  <w:pPr>
                    <w:autoSpaceDE w:val="0"/>
                    <w:autoSpaceDN w:val="0"/>
                    <w:adjustRightInd w:val="0"/>
                    <w:snapToGrid w:val="0"/>
                    <w:jc w:val="center"/>
                    <w:rPr>
                      <w:kern w:val="0"/>
                      <w:szCs w:val="21"/>
                      <w:lang w:bidi="ar"/>
                    </w:rPr>
                  </w:pPr>
                  <w:r>
                    <w:rPr>
                      <w:kern w:val="0"/>
                      <w:szCs w:val="21"/>
                      <w:lang w:bidi="ar"/>
                    </w:rPr>
                    <w:t>地表水</w:t>
                  </w:r>
                </w:p>
              </w:tc>
              <w:tc>
                <w:tcPr>
                  <w:tcW w:w="3118" w:type="dxa"/>
                  <w:vAlign w:val="center"/>
                </w:tcPr>
                <w:p w14:paraId="520AAE50">
                  <w:pPr>
                    <w:autoSpaceDE w:val="0"/>
                    <w:autoSpaceDN w:val="0"/>
                    <w:adjustRightInd w:val="0"/>
                    <w:snapToGrid w:val="0"/>
                    <w:rPr>
                      <w:kern w:val="0"/>
                      <w:szCs w:val="21"/>
                      <w:lang w:bidi="ar"/>
                    </w:rPr>
                  </w:pPr>
                  <w:r>
                    <w:rPr>
                      <w:rFonts w:hint="eastAsia"/>
                      <w:kern w:val="0"/>
                      <w:szCs w:val="21"/>
                      <w:lang w:bidi="ar"/>
                    </w:rPr>
                    <w:t>新增工业废水直排建设项目（槽罐车外送污水处理厂的除外）；</w:t>
                  </w:r>
                </w:p>
                <w:p w14:paraId="520AAE51">
                  <w:pPr>
                    <w:autoSpaceDE w:val="0"/>
                    <w:autoSpaceDN w:val="0"/>
                    <w:adjustRightInd w:val="0"/>
                    <w:snapToGrid w:val="0"/>
                    <w:rPr>
                      <w:kern w:val="0"/>
                      <w:szCs w:val="21"/>
                      <w:lang w:bidi="ar"/>
                    </w:rPr>
                  </w:pPr>
                  <w:r>
                    <w:rPr>
                      <w:rFonts w:hint="eastAsia"/>
                      <w:kern w:val="0"/>
                      <w:szCs w:val="21"/>
                      <w:lang w:bidi="ar"/>
                    </w:rPr>
                    <w:t>新增废水直排的污水集中处理厂。</w:t>
                  </w:r>
                </w:p>
              </w:tc>
              <w:tc>
                <w:tcPr>
                  <w:tcW w:w="3664" w:type="dxa"/>
                  <w:vAlign w:val="center"/>
                </w:tcPr>
                <w:p w14:paraId="520AAE52">
                  <w:pPr>
                    <w:autoSpaceDE w:val="0"/>
                    <w:autoSpaceDN w:val="0"/>
                    <w:adjustRightInd w:val="0"/>
                    <w:snapToGrid w:val="0"/>
                    <w:rPr>
                      <w:kern w:val="0"/>
                      <w:szCs w:val="21"/>
                      <w:lang w:bidi="ar"/>
                    </w:rPr>
                  </w:pPr>
                  <w:r>
                    <w:rPr>
                      <w:rFonts w:hint="eastAsia"/>
                      <w:kern w:val="0"/>
                      <w:szCs w:val="21"/>
                      <w:lang w:bidi="ar"/>
                    </w:rPr>
                    <w:t>本项目解放路厂区不新增生活污水和生产废水，建设路厂区不新增生活污水，纯水制备废水和蒸汽发生器排污水进入厂区现有综合废水污水处理设施处理后经厂区总排口排入小尚庄污水处理厂处理，不需要设置地表水专项评价。</w:t>
                  </w:r>
                </w:p>
              </w:tc>
            </w:tr>
            <w:tr w14:paraId="520AAE5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25" w:type="dxa"/>
                  <w:vAlign w:val="center"/>
                </w:tcPr>
                <w:p w14:paraId="520AAE54">
                  <w:pPr>
                    <w:autoSpaceDE w:val="0"/>
                    <w:autoSpaceDN w:val="0"/>
                    <w:adjustRightInd w:val="0"/>
                    <w:snapToGrid w:val="0"/>
                    <w:jc w:val="center"/>
                    <w:rPr>
                      <w:kern w:val="0"/>
                      <w:szCs w:val="21"/>
                      <w:lang w:bidi="ar"/>
                    </w:rPr>
                  </w:pPr>
                  <w:r>
                    <w:rPr>
                      <w:kern w:val="0"/>
                      <w:szCs w:val="21"/>
                      <w:lang w:bidi="ar"/>
                    </w:rPr>
                    <w:t>环境风险</w:t>
                  </w:r>
                </w:p>
              </w:tc>
              <w:tc>
                <w:tcPr>
                  <w:tcW w:w="3118" w:type="dxa"/>
                  <w:vAlign w:val="center"/>
                </w:tcPr>
                <w:p w14:paraId="520AAE55">
                  <w:pPr>
                    <w:autoSpaceDE w:val="0"/>
                    <w:autoSpaceDN w:val="0"/>
                    <w:adjustRightInd w:val="0"/>
                    <w:snapToGrid w:val="0"/>
                    <w:rPr>
                      <w:kern w:val="0"/>
                      <w:szCs w:val="21"/>
                      <w:lang w:bidi="ar"/>
                    </w:rPr>
                  </w:pPr>
                  <w:r>
                    <w:rPr>
                      <w:rFonts w:hint="eastAsia"/>
                      <w:kern w:val="0"/>
                      <w:szCs w:val="21"/>
                      <w:lang w:bidi="ar"/>
                    </w:rPr>
                    <w:t>有毒有害和易燃易爆危险物质储量超过临界量</w:t>
                  </w:r>
                  <w:r>
                    <w:rPr>
                      <w:rFonts w:hint="eastAsia"/>
                      <w:kern w:val="0"/>
                      <w:szCs w:val="21"/>
                      <w:vertAlign w:val="superscript"/>
                      <w:lang w:bidi="ar"/>
                    </w:rPr>
                    <w:t>3</w:t>
                  </w:r>
                  <w:r>
                    <w:rPr>
                      <w:rFonts w:hint="eastAsia"/>
                      <w:kern w:val="0"/>
                      <w:szCs w:val="21"/>
                      <w:lang w:bidi="ar"/>
                    </w:rPr>
                    <w:t>的建设项目。</w:t>
                  </w:r>
                </w:p>
              </w:tc>
              <w:tc>
                <w:tcPr>
                  <w:tcW w:w="3664" w:type="dxa"/>
                  <w:vAlign w:val="center"/>
                </w:tcPr>
                <w:p w14:paraId="520AAE56">
                  <w:pPr>
                    <w:autoSpaceDE w:val="0"/>
                    <w:autoSpaceDN w:val="0"/>
                    <w:adjustRightInd w:val="0"/>
                    <w:snapToGrid w:val="0"/>
                    <w:rPr>
                      <w:kern w:val="0"/>
                      <w:szCs w:val="21"/>
                      <w:highlight w:val="yellow"/>
                      <w:lang w:bidi="ar"/>
                    </w:rPr>
                  </w:pPr>
                  <w:r>
                    <w:rPr>
                      <w:rFonts w:hint="eastAsia"/>
                      <w:kern w:val="0"/>
                      <w:szCs w:val="21"/>
                      <w:lang w:bidi="ar"/>
                    </w:rPr>
                    <w:t>本项目涉及有毒有害或易燃易爆危险物质为</w:t>
                  </w:r>
                  <w:r>
                    <w:rPr>
                      <w:rFonts w:hint="eastAsia"/>
                      <w:szCs w:val="21"/>
                    </w:rPr>
                    <w:t>油类物质（液压油、滑油）</w:t>
                  </w:r>
                  <w:r>
                    <w:rPr>
                      <w:rFonts w:hint="eastAsia"/>
                      <w:kern w:val="0"/>
                      <w:szCs w:val="21"/>
                      <w:lang w:bidi="ar"/>
                    </w:rPr>
                    <w:t>，在厂区的最大储量不超过临界量，不需要设置环境风险专项评价。</w:t>
                  </w:r>
                </w:p>
              </w:tc>
            </w:tr>
            <w:tr w14:paraId="520AAE5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25" w:type="dxa"/>
                  <w:vAlign w:val="center"/>
                </w:tcPr>
                <w:p w14:paraId="520AAE58">
                  <w:pPr>
                    <w:autoSpaceDE w:val="0"/>
                    <w:autoSpaceDN w:val="0"/>
                    <w:adjustRightInd w:val="0"/>
                    <w:snapToGrid w:val="0"/>
                    <w:jc w:val="center"/>
                    <w:rPr>
                      <w:kern w:val="0"/>
                      <w:szCs w:val="21"/>
                      <w:lang w:bidi="ar"/>
                    </w:rPr>
                  </w:pPr>
                  <w:r>
                    <w:rPr>
                      <w:kern w:val="0"/>
                      <w:szCs w:val="21"/>
                      <w:lang w:bidi="ar"/>
                    </w:rPr>
                    <w:t>生态</w:t>
                  </w:r>
                </w:p>
              </w:tc>
              <w:tc>
                <w:tcPr>
                  <w:tcW w:w="3118" w:type="dxa"/>
                  <w:vAlign w:val="center"/>
                </w:tcPr>
                <w:p w14:paraId="520AAE59">
                  <w:pPr>
                    <w:autoSpaceDE w:val="0"/>
                    <w:autoSpaceDN w:val="0"/>
                    <w:adjustRightInd w:val="0"/>
                    <w:snapToGrid w:val="0"/>
                    <w:rPr>
                      <w:kern w:val="0"/>
                      <w:szCs w:val="21"/>
                      <w:lang w:bidi="ar"/>
                    </w:rPr>
                  </w:pPr>
                  <w:r>
                    <w:rPr>
                      <w:rFonts w:hint="eastAsia"/>
                      <w:kern w:val="0"/>
                      <w:szCs w:val="21"/>
                      <w:lang w:bidi="ar"/>
                    </w:rPr>
                    <w:t>取水口下游500米范围内有重要水生生物的自然产卵场、索饵场、越冬场和洄游通道的新增河道取水的污染类建设项目。</w:t>
                  </w:r>
                </w:p>
              </w:tc>
              <w:tc>
                <w:tcPr>
                  <w:tcW w:w="3664" w:type="dxa"/>
                  <w:vAlign w:val="center"/>
                </w:tcPr>
                <w:p w14:paraId="520AAE5A">
                  <w:pPr>
                    <w:autoSpaceDE w:val="0"/>
                    <w:autoSpaceDN w:val="0"/>
                    <w:adjustRightInd w:val="0"/>
                    <w:snapToGrid w:val="0"/>
                    <w:rPr>
                      <w:kern w:val="0"/>
                      <w:szCs w:val="21"/>
                      <w:lang w:bidi="ar"/>
                    </w:rPr>
                  </w:pPr>
                  <w:r>
                    <w:rPr>
                      <w:rFonts w:hint="eastAsia"/>
                      <w:kern w:val="0"/>
                      <w:szCs w:val="21"/>
                      <w:lang w:bidi="ar"/>
                    </w:rPr>
                    <w:t>本项目用水为市政统一供水，不涉及河道取水，不需要设置生态专项评价。</w:t>
                  </w:r>
                </w:p>
              </w:tc>
            </w:tr>
            <w:tr w14:paraId="520AAE5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25" w:type="dxa"/>
                  <w:vAlign w:val="center"/>
                </w:tcPr>
                <w:p w14:paraId="520AAE5C">
                  <w:pPr>
                    <w:autoSpaceDE w:val="0"/>
                    <w:autoSpaceDN w:val="0"/>
                    <w:adjustRightInd w:val="0"/>
                    <w:snapToGrid w:val="0"/>
                    <w:jc w:val="center"/>
                    <w:rPr>
                      <w:kern w:val="0"/>
                      <w:szCs w:val="21"/>
                      <w:lang w:bidi="ar"/>
                    </w:rPr>
                  </w:pPr>
                  <w:r>
                    <w:rPr>
                      <w:kern w:val="0"/>
                      <w:szCs w:val="21"/>
                      <w:lang w:bidi="ar"/>
                    </w:rPr>
                    <w:t>海洋</w:t>
                  </w:r>
                </w:p>
              </w:tc>
              <w:tc>
                <w:tcPr>
                  <w:tcW w:w="3118" w:type="dxa"/>
                  <w:vAlign w:val="center"/>
                </w:tcPr>
                <w:p w14:paraId="520AAE5D">
                  <w:pPr>
                    <w:autoSpaceDE w:val="0"/>
                    <w:autoSpaceDN w:val="0"/>
                    <w:adjustRightInd w:val="0"/>
                    <w:snapToGrid w:val="0"/>
                    <w:rPr>
                      <w:kern w:val="0"/>
                      <w:szCs w:val="21"/>
                      <w:lang w:bidi="ar"/>
                    </w:rPr>
                  </w:pPr>
                  <w:r>
                    <w:rPr>
                      <w:rFonts w:hint="eastAsia"/>
                      <w:kern w:val="0"/>
                      <w:szCs w:val="21"/>
                      <w:lang w:bidi="ar"/>
                    </w:rPr>
                    <w:t>直接向海排放污染物的海洋工程建设项目。</w:t>
                  </w:r>
                </w:p>
              </w:tc>
              <w:tc>
                <w:tcPr>
                  <w:tcW w:w="3664" w:type="dxa"/>
                  <w:vAlign w:val="center"/>
                </w:tcPr>
                <w:p w14:paraId="520AAE5E">
                  <w:pPr>
                    <w:autoSpaceDE w:val="0"/>
                    <w:autoSpaceDN w:val="0"/>
                    <w:adjustRightInd w:val="0"/>
                    <w:snapToGrid w:val="0"/>
                    <w:jc w:val="center"/>
                    <w:rPr>
                      <w:kern w:val="0"/>
                      <w:szCs w:val="21"/>
                      <w:lang w:bidi="ar"/>
                    </w:rPr>
                  </w:pPr>
                  <w:r>
                    <w:rPr>
                      <w:rFonts w:hint="eastAsia"/>
                      <w:kern w:val="0"/>
                      <w:szCs w:val="21"/>
                      <w:lang w:bidi="ar"/>
                    </w:rPr>
                    <w:t>本项目不涉及。</w:t>
                  </w:r>
                </w:p>
              </w:tc>
            </w:tr>
            <w:tr w14:paraId="520AAE6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507" w:type="dxa"/>
                  <w:gridSpan w:val="3"/>
                  <w:vAlign w:val="center"/>
                </w:tcPr>
                <w:p w14:paraId="520AAE60">
                  <w:pPr>
                    <w:autoSpaceDE w:val="0"/>
                    <w:autoSpaceDN w:val="0"/>
                    <w:adjustRightInd w:val="0"/>
                    <w:snapToGrid w:val="0"/>
                    <w:rPr>
                      <w:rFonts w:eastAsia="黑体"/>
                      <w:kern w:val="0"/>
                      <w:szCs w:val="21"/>
                      <w:lang w:bidi="ar"/>
                    </w:rPr>
                  </w:pPr>
                  <w:r>
                    <w:rPr>
                      <w:rFonts w:eastAsia="黑体"/>
                      <w:kern w:val="0"/>
                      <w:szCs w:val="21"/>
                      <w:lang w:bidi="ar"/>
                    </w:rPr>
                    <w:t>注：1.废气中有毒有害污染物指纳入《有毒有害大气污染物》的污染物（不包括无排放标准的污染物）。</w:t>
                  </w:r>
                </w:p>
                <w:p w14:paraId="520AAE61">
                  <w:pPr>
                    <w:autoSpaceDE w:val="0"/>
                    <w:autoSpaceDN w:val="0"/>
                    <w:adjustRightInd w:val="0"/>
                    <w:snapToGrid w:val="0"/>
                    <w:rPr>
                      <w:rFonts w:eastAsia="黑体"/>
                      <w:kern w:val="0"/>
                      <w:szCs w:val="21"/>
                      <w:lang w:bidi="ar"/>
                    </w:rPr>
                  </w:pPr>
                  <w:r>
                    <w:rPr>
                      <w:rFonts w:hint="eastAsia" w:eastAsia="黑体"/>
                      <w:kern w:val="0"/>
                      <w:szCs w:val="21"/>
                      <w:lang w:bidi="ar"/>
                    </w:rPr>
                    <w:t>2.环境空气保护目标指自然保护区、风景名胜区、居住区、文化区和农村地区中人群较集中的区域。</w:t>
                  </w:r>
                </w:p>
                <w:p w14:paraId="520AAE62">
                  <w:pPr>
                    <w:autoSpaceDE w:val="0"/>
                    <w:autoSpaceDN w:val="0"/>
                    <w:adjustRightInd w:val="0"/>
                    <w:snapToGrid w:val="0"/>
                    <w:rPr>
                      <w:rFonts w:eastAsia="黑体"/>
                      <w:kern w:val="0"/>
                      <w:szCs w:val="21"/>
                      <w:lang w:bidi="ar"/>
                    </w:rPr>
                  </w:pPr>
                  <w:r>
                    <w:rPr>
                      <w:rFonts w:hint="eastAsia" w:eastAsia="黑体"/>
                      <w:kern w:val="0"/>
                      <w:szCs w:val="21"/>
                      <w:lang w:bidi="ar"/>
                    </w:rPr>
                    <w:t>3.临界量及其计算方法可参考《建设项目环境风险评价技术导则》（HJ 169）附录B、附录C。</w:t>
                  </w:r>
                </w:p>
              </w:tc>
            </w:tr>
          </w:tbl>
          <w:p w14:paraId="520AAE64">
            <w:pPr>
              <w:autoSpaceDE w:val="0"/>
              <w:autoSpaceDN w:val="0"/>
              <w:adjustRightInd w:val="0"/>
              <w:snapToGrid w:val="0"/>
              <w:spacing w:line="460" w:lineRule="exact"/>
              <w:ind w:firstLine="480" w:firstLineChars="200"/>
              <w:rPr>
                <w:kern w:val="0"/>
                <w:sz w:val="24"/>
                <w:highlight w:val="yellow"/>
              </w:rPr>
            </w:pPr>
            <w:r>
              <w:rPr>
                <w:rFonts w:hint="eastAsia" w:ascii="宋体" w:hAnsi="宋体" w:cs="宋体"/>
                <w:kern w:val="0"/>
                <w:sz w:val="24"/>
                <w:lang w:bidi="ar"/>
              </w:rPr>
              <w:t>综上所述，本项目不涉及专项评价。</w:t>
            </w:r>
          </w:p>
        </w:tc>
      </w:tr>
      <w:tr w14:paraId="520AAE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408" w:type="dxa"/>
            <w:tcMar>
              <w:left w:w="28" w:type="dxa"/>
              <w:right w:w="28" w:type="dxa"/>
            </w:tcMar>
            <w:vAlign w:val="center"/>
          </w:tcPr>
          <w:p w14:paraId="520AAE66">
            <w:pPr>
              <w:autoSpaceDE w:val="0"/>
              <w:autoSpaceDN w:val="0"/>
              <w:adjustRightInd w:val="0"/>
              <w:snapToGrid w:val="0"/>
              <w:jc w:val="center"/>
              <w:rPr>
                <w:rFonts w:hint="eastAsia" w:ascii="宋体" w:hAnsi="宋体" w:cs="宋体"/>
                <w:kern w:val="0"/>
                <w:szCs w:val="21"/>
              </w:rPr>
            </w:pPr>
            <w:r>
              <w:rPr>
                <w:rFonts w:hint="eastAsia" w:ascii="宋体" w:hAnsi="宋体" w:cs="宋体"/>
                <w:szCs w:val="21"/>
              </w:rPr>
              <w:t>规划情况</w:t>
            </w:r>
          </w:p>
        </w:tc>
        <w:tc>
          <w:tcPr>
            <w:tcW w:w="7462" w:type="dxa"/>
            <w:gridSpan w:val="3"/>
            <w:vAlign w:val="center"/>
          </w:tcPr>
          <w:p w14:paraId="520AAE67">
            <w:pPr>
              <w:autoSpaceDE w:val="0"/>
              <w:autoSpaceDN w:val="0"/>
              <w:adjustRightInd w:val="0"/>
              <w:snapToGrid w:val="0"/>
              <w:spacing w:line="460" w:lineRule="exact"/>
              <w:jc w:val="center"/>
              <w:rPr>
                <w:kern w:val="0"/>
                <w:sz w:val="24"/>
              </w:rPr>
            </w:pPr>
            <w:r>
              <w:rPr>
                <w:bCs/>
                <w:kern w:val="0"/>
                <w:sz w:val="24"/>
              </w:rPr>
              <w:t>无</w:t>
            </w:r>
          </w:p>
        </w:tc>
      </w:tr>
      <w:tr w14:paraId="520AAE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408" w:type="dxa"/>
            <w:tcMar>
              <w:left w:w="28" w:type="dxa"/>
              <w:right w:w="28" w:type="dxa"/>
            </w:tcMar>
            <w:vAlign w:val="center"/>
          </w:tcPr>
          <w:p w14:paraId="520AAE69">
            <w:pPr>
              <w:adjustRightInd w:val="0"/>
              <w:snapToGrid w:val="0"/>
              <w:jc w:val="center"/>
              <w:rPr>
                <w:rFonts w:hint="eastAsia" w:ascii="宋体" w:hAnsi="宋体" w:cs="宋体"/>
                <w:szCs w:val="21"/>
              </w:rPr>
            </w:pPr>
            <w:r>
              <w:rPr>
                <w:rFonts w:hint="eastAsia" w:ascii="宋体" w:hAnsi="宋体" w:cs="宋体"/>
                <w:szCs w:val="21"/>
              </w:rPr>
              <w:t>规划环境影响评价情况</w:t>
            </w:r>
          </w:p>
        </w:tc>
        <w:tc>
          <w:tcPr>
            <w:tcW w:w="7462" w:type="dxa"/>
            <w:gridSpan w:val="3"/>
            <w:vAlign w:val="center"/>
          </w:tcPr>
          <w:p w14:paraId="520AAE6A">
            <w:pPr>
              <w:autoSpaceDE w:val="0"/>
              <w:autoSpaceDN w:val="0"/>
              <w:adjustRightInd w:val="0"/>
              <w:snapToGrid w:val="0"/>
              <w:spacing w:line="460" w:lineRule="exact"/>
              <w:jc w:val="center"/>
              <w:rPr>
                <w:kern w:val="0"/>
                <w:sz w:val="24"/>
              </w:rPr>
            </w:pPr>
            <w:r>
              <w:rPr>
                <w:bCs/>
                <w:kern w:val="0"/>
                <w:sz w:val="24"/>
              </w:rPr>
              <w:t>无</w:t>
            </w:r>
          </w:p>
        </w:tc>
      </w:tr>
      <w:tr w14:paraId="520AAE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408" w:type="dxa"/>
            <w:tcMar>
              <w:left w:w="28" w:type="dxa"/>
              <w:right w:w="28" w:type="dxa"/>
            </w:tcMar>
            <w:vAlign w:val="center"/>
          </w:tcPr>
          <w:p w14:paraId="520AAE6C">
            <w:pPr>
              <w:autoSpaceDE w:val="0"/>
              <w:autoSpaceDN w:val="0"/>
              <w:adjustRightInd w:val="0"/>
              <w:snapToGrid w:val="0"/>
              <w:jc w:val="center"/>
              <w:rPr>
                <w:rFonts w:hint="eastAsia" w:ascii="宋体" w:hAnsi="宋体" w:cs="宋体"/>
                <w:kern w:val="0"/>
                <w:szCs w:val="21"/>
              </w:rPr>
            </w:pPr>
            <w:r>
              <w:rPr>
                <w:rFonts w:hint="eastAsia" w:ascii="宋体" w:hAnsi="宋体" w:cs="宋体"/>
                <w:kern w:val="0"/>
                <w:szCs w:val="21"/>
              </w:rPr>
              <w:t>规划及规划环境影响评价符合性分析</w:t>
            </w:r>
          </w:p>
        </w:tc>
        <w:tc>
          <w:tcPr>
            <w:tcW w:w="7462" w:type="dxa"/>
            <w:gridSpan w:val="3"/>
            <w:vAlign w:val="center"/>
          </w:tcPr>
          <w:p w14:paraId="520AAE6D">
            <w:pPr>
              <w:autoSpaceDE w:val="0"/>
              <w:autoSpaceDN w:val="0"/>
              <w:adjustRightInd w:val="0"/>
              <w:snapToGrid w:val="0"/>
              <w:spacing w:line="460" w:lineRule="exact"/>
              <w:jc w:val="center"/>
              <w:rPr>
                <w:kern w:val="0"/>
                <w:sz w:val="24"/>
              </w:rPr>
            </w:pPr>
            <w:r>
              <w:rPr>
                <w:bCs/>
                <w:kern w:val="0"/>
                <w:sz w:val="24"/>
              </w:rPr>
              <w:t>无</w:t>
            </w:r>
          </w:p>
        </w:tc>
      </w:tr>
      <w:tr w14:paraId="520AAE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408" w:type="dxa"/>
            <w:tcMar>
              <w:left w:w="28" w:type="dxa"/>
              <w:right w:w="28" w:type="dxa"/>
            </w:tcMar>
            <w:vAlign w:val="center"/>
          </w:tcPr>
          <w:p w14:paraId="520AAE6F">
            <w:pPr>
              <w:autoSpaceDE w:val="0"/>
              <w:autoSpaceDN w:val="0"/>
              <w:adjustRightInd w:val="0"/>
              <w:snapToGrid w:val="0"/>
              <w:jc w:val="center"/>
              <w:rPr>
                <w:rFonts w:hint="eastAsia" w:ascii="宋体" w:hAnsi="宋体" w:cs="宋体"/>
                <w:kern w:val="0"/>
                <w:szCs w:val="21"/>
                <w:highlight w:val="yellow"/>
              </w:rPr>
            </w:pPr>
            <w:r>
              <w:rPr>
                <w:rFonts w:hint="eastAsia" w:ascii="宋体" w:hAnsi="宋体" w:cs="宋体"/>
                <w:kern w:val="0"/>
                <w:szCs w:val="21"/>
              </w:rPr>
              <w:t>其他符合性分析</w:t>
            </w:r>
          </w:p>
        </w:tc>
        <w:tc>
          <w:tcPr>
            <w:tcW w:w="7462" w:type="dxa"/>
            <w:gridSpan w:val="3"/>
            <w:vAlign w:val="center"/>
          </w:tcPr>
          <w:p w14:paraId="520AAE70">
            <w:pPr>
              <w:autoSpaceDE w:val="0"/>
              <w:autoSpaceDN w:val="0"/>
              <w:adjustRightInd w:val="0"/>
              <w:snapToGrid w:val="0"/>
              <w:spacing w:line="460" w:lineRule="exact"/>
              <w:ind w:firstLine="482" w:firstLineChars="200"/>
              <w:rPr>
                <w:b/>
                <w:kern w:val="0"/>
                <w:sz w:val="24"/>
              </w:rPr>
            </w:pPr>
            <w:r>
              <w:rPr>
                <w:b/>
                <w:kern w:val="0"/>
                <w:sz w:val="24"/>
              </w:rPr>
              <w:t>1、与《建设项目环境影响评价分类管理名录》（2021年版）相符性分析</w:t>
            </w:r>
          </w:p>
          <w:p w14:paraId="520AAE71">
            <w:pPr>
              <w:autoSpaceDE w:val="0"/>
              <w:autoSpaceDN w:val="0"/>
              <w:adjustRightInd w:val="0"/>
              <w:snapToGrid w:val="0"/>
              <w:spacing w:line="460" w:lineRule="exact"/>
              <w:ind w:firstLine="480" w:firstLineChars="200"/>
              <w:rPr>
                <w:kern w:val="0"/>
                <w:sz w:val="24"/>
              </w:rPr>
            </w:pPr>
            <w:r>
              <w:rPr>
                <w:rFonts w:hint="eastAsia"/>
                <w:kern w:val="0"/>
                <w:sz w:val="24"/>
              </w:rPr>
              <w:t>经查阅《建设项目环境影响评价分类管理名录》（2021年版），本项目属于三十四项“铁路、船舶、航空航天和其他运输设备制造业37”第74条“航空、航天器及设备制造374”。名录规定如下：</w:t>
            </w:r>
          </w:p>
          <w:p w14:paraId="520AAE72">
            <w:pPr>
              <w:autoSpaceDE w:val="0"/>
              <w:autoSpaceDN w:val="0"/>
              <w:adjustRightInd w:val="0"/>
              <w:snapToGrid w:val="0"/>
              <w:spacing w:line="460" w:lineRule="exact"/>
              <w:ind w:firstLine="480" w:firstLineChars="200"/>
              <w:rPr>
                <w:rFonts w:eastAsia="黑体"/>
                <w:kern w:val="0"/>
                <w:sz w:val="24"/>
              </w:rPr>
            </w:pPr>
            <w:r>
              <w:rPr>
                <w:rFonts w:eastAsia="黑体"/>
                <w:kern w:val="0"/>
                <w:sz w:val="24"/>
                <w:lang w:bidi="ar"/>
              </w:rPr>
              <w:t xml:space="preserve">表2 </w:t>
            </w:r>
            <w:r>
              <w:rPr>
                <w:rFonts w:hint="eastAsia" w:eastAsia="黑体"/>
                <w:kern w:val="0"/>
                <w:sz w:val="24"/>
                <w:lang w:bidi="ar"/>
              </w:rPr>
              <w:t>《建设项目环境影响评价分类管理名录》（2021年版）规定</w:t>
            </w:r>
          </w:p>
          <w:tbl>
            <w:tblPr>
              <w:tblStyle w:val="18"/>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428"/>
              <w:gridCol w:w="1095"/>
              <w:gridCol w:w="2627"/>
              <w:gridCol w:w="2295"/>
              <w:gridCol w:w="801"/>
            </w:tblGrid>
            <w:tr w14:paraId="520AAE7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523" w:type="dxa"/>
                  <w:gridSpan w:val="2"/>
                  <w:tcBorders>
                    <w:top w:val="single" w:color="auto" w:sz="8" w:space="0"/>
                    <w:bottom w:val="single" w:color="auto" w:sz="4" w:space="0"/>
                    <w:tl2br w:val="single" w:color="auto" w:sz="4" w:space="0"/>
                  </w:tcBorders>
                  <w:vAlign w:val="center"/>
                </w:tcPr>
                <w:p w14:paraId="520AAE73">
                  <w:pPr>
                    <w:autoSpaceDE w:val="0"/>
                    <w:autoSpaceDN w:val="0"/>
                    <w:adjustRightInd w:val="0"/>
                    <w:snapToGrid w:val="0"/>
                    <w:jc w:val="right"/>
                    <w:rPr>
                      <w:b/>
                      <w:bCs/>
                      <w:kern w:val="0"/>
                      <w:szCs w:val="21"/>
                      <w:lang w:bidi="ar"/>
                    </w:rPr>
                  </w:pPr>
                  <w:r>
                    <w:rPr>
                      <w:rFonts w:hint="eastAsia"/>
                      <w:b/>
                      <w:bCs/>
                      <w:kern w:val="0"/>
                      <w:szCs w:val="21"/>
                      <w:lang w:bidi="ar"/>
                    </w:rPr>
                    <w:t>环评类别</w:t>
                  </w:r>
                </w:p>
                <w:p w14:paraId="520AAE74">
                  <w:pPr>
                    <w:autoSpaceDE w:val="0"/>
                    <w:autoSpaceDN w:val="0"/>
                    <w:adjustRightInd w:val="0"/>
                    <w:snapToGrid w:val="0"/>
                    <w:jc w:val="left"/>
                    <w:rPr>
                      <w:b/>
                      <w:bCs/>
                      <w:kern w:val="0"/>
                      <w:szCs w:val="21"/>
                      <w:lang w:bidi="ar"/>
                    </w:rPr>
                  </w:pPr>
                  <w:r>
                    <w:rPr>
                      <w:rFonts w:hint="eastAsia"/>
                      <w:b/>
                      <w:bCs/>
                      <w:kern w:val="0"/>
                      <w:szCs w:val="21"/>
                      <w:lang w:bidi="ar"/>
                    </w:rPr>
                    <w:t>项目类别</w:t>
                  </w:r>
                </w:p>
              </w:tc>
              <w:tc>
                <w:tcPr>
                  <w:tcW w:w="2627" w:type="dxa"/>
                  <w:vAlign w:val="center"/>
                </w:tcPr>
                <w:p w14:paraId="520AAE75">
                  <w:pPr>
                    <w:autoSpaceDE w:val="0"/>
                    <w:autoSpaceDN w:val="0"/>
                    <w:adjustRightInd w:val="0"/>
                    <w:snapToGrid w:val="0"/>
                    <w:jc w:val="center"/>
                    <w:rPr>
                      <w:b/>
                      <w:bCs/>
                      <w:kern w:val="0"/>
                      <w:szCs w:val="21"/>
                      <w:lang w:bidi="ar"/>
                    </w:rPr>
                  </w:pPr>
                  <w:r>
                    <w:rPr>
                      <w:rFonts w:hint="eastAsia"/>
                      <w:b/>
                      <w:bCs/>
                      <w:kern w:val="0"/>
                      <w:szCs w:val="21"/>
                      <w:lang w:bidi="ar"/>
                    </w:rPr>
                    <w:t>报告书</w:t>
                  </w:r>
                </w:p>
              </w:tc>
              <w:tc>
                <w:tcPr>
                  <w:tcW w:w="2295" w:type="dxa"/>
                  <w:vAlign w:val="center"/>
                </w:tcPr>
                <w:p w14:paraId="520AAE76">
                  <w:pPr>
                    <w:autoSpaceDE w:val="0"/>
                    <w:autoSpaceDN w:val="0"/>
                    <w:adjustRightInd w:val="0"/>
                    <w:snapToGrid w:val="0"/>
                    <w:jc w:val="center"/>
                    <w:rPr>
                      <w:b/>
                      <w:bCs/>
                      <w:kern w:val="0"/>
                      <w:szCs w:val="21"/>
                      <w:lang w:bidi="ar"/>
                    </w:rPr>
                  </w:pPr>
                  <w:r>
                    <w:rPr>
                      <w:rFonts w:hint="eastAsia"/>
                      <w:b/>
                      <w:bCs/>
                      <w:kern w:val="0"/>
                      <w:szCs w:val="21"/>
                      <w:lang w:bidi="ar"/>
                    </w:rPr>
                    <w:t>报告表</w:t>
                  </w:r>
                </w:p>
              </w:tc>
              <w:tc>
                <w:tcPr>
                  <w:tcW w:w="801" w:type="dxa"/>
                  <w:vAlign w:val="center"/>
                </w:tcPr>
                <w:p w14:paraId="520AAE77">
                  <w:pPr>
                    <w:autoSpaceDE w:val="0"/>
                    <w:autoSpaceDN w:val="0"/>
                    <w:adjustRightInd w:val="0"/>
                    <w:snapToGrid w:val="0"/>
                    <w:jc w:val="center"/>
                    <w:rPr>
                      <w:b/>
                      <w:bCs/>
                      <w:kern w:val="0"/>
                      <w:szCs w:val="21"/>
                      <w:lang w:bidi="ar"/>
                    </w:rPr>
                  </w:pPr>
                  <w:r>
                    <w:rPr>
                      <w:rFonts w:hint="eastAsia"/>
                      <w:b/>
                      <w:bCs/>
                      <w:kern w:val="0"/>
                      <w:szCs w:val="21"/>
                      <w:lang w:bidi="ar"/>
                    </w:rPr>
                    <w:t>登记表</w:t>
                  </w:r>
                </w:p>
              </w:tc>
            </w:tr>
            <w:tr w14:paraId="520AAE7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246" w:type="dxa"/>
                  <w:gridSpan w:val="5"/>
                  <w:tcBorders>
                    <w:top w:val="single" w:color="auto" w:sz="4" w:space="0"/>
                  </w:tcBorders>
                  <w:vAlign w:val="center"/>
                </w:tcPr>
                <w:p w14:paraId="520AAE79">
                  <w:pPr>
                    <w:autoSpaceDE w:val="0"/>
                    <w:autoSpaceDN w:val="0"/>
                    <w:adjustRightInd w:val="0"/>
                    <w:snapToGrid w:val="0"/>
                    <w:jc w:val="center"/>
                    <w:rPr>
                      <w:b/>
                      <w:bCs/>
                      <w:kern w:val="0"/>
                      <w:szCs w:val="21"/>
                      <w:lang w:bidi="ar"/>
                    </w:rPr>
                  </w:pPr>
                  <w:r>
                    <w:rPr>
                      <w:rFonts w:hint="eastAsia"/>
                      <w:b/>
                      <w:bCs/>
                      <w:kern w:val="0"/>
                      <w:szCs w:val="21"/>
                      <w:lang w:bidi="ar"/>
                    </w:rPr>
                    <w:t>三十四、铁路、船舶、航空航天和其他运输设备制造业3</w:t>
                  </w:r>
                  <w:r>
                    <w:rPr>
                      <w:b/>
                      <w:bCs/>
                      <w:kern w:val="0"/>
                      <w:szCs w:val="21"/>
                      <w:lang w:bidi="ar"/>
                    </w:rPr>
                    <w:t>7</w:t>
                  </w:r>
                </w:p>
              </w:tc>
            </w:tr>
            <w:tr w14:paraId="520AAE8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428" w:type="dxa"/>
                  <w:vAlign w:val="center"/>
                </w:tcPr>
                <w:p w14:paraId="520AAE7B">
                  <w:pPr>
                    <w:autoSpaceDE w:val="0"/>
                    <w:autoSpaceDN w:val="0"/>
                    <w:adjustRightInd w:val="0"/>
                    <w:snapToGrid w:val="0"/>
                    <w:jc w:val="center"/>
                    <w:rPr>
                      <w:kern w:val="0"/>
                      <w:szCs w:val="21"/>
                      <w:lang w:bidi="ar"/>
                    </w:rPr>
                  </w:pPr>
                  <w:r>
                    <w:rPr>
                      <w:rFonts w:hint="eastAsia"/>
                      <w:kern w:val="0"/>
                      <w:szCs w:val="21"/>
                      <w:lang w:bidi="ar"/>
                    </w:rPr>
                    <w:t>7</w:t>
                  </w:r>
                  <w:r>
                    <w:rPr>
                      <w:kern w:val="0"/>
                      <w:szCs w:val="21"/>
                      <w:lang w:bidi="ar"/>
                    </w:rPr>
                    <w:t>4</w:t>
                  </w:r>
                </w:p>
              </w:tc>
              <w:tc>
                <w:tcPr>
                  <w:tcW w:w="1095" w:type="dxa"/>
                  <w:vAlign w:val="center"/>
                </w:tcPr>
                <w:p w14:paraId="520AAE7C">
                  <w:pPr>
                    <w:autoSpaceDE w:val="0"/>
                    <w:autoSpaceDN w:val="0"/>
                    <w:adjustRightInd w:val="0"/>
                    <w:snapToGrid w:val="0"/>
                    <w:jc w:val="center"/>
                    <w:rPr>
                      <w:kern w:val="0"/>
                      <w:szCs w:val="21"/>
                      <w:lang w:bidi="ar"/>
                    </w:rPr>
                  </w:pPr>
                  <w:r>
                    <w:rPr>
                      <w:rFonts w:hint="eastAsia"/>
                      <w:kern w:val="0"/>
                      <w:szCs w:val="21"/>
                      <w:lang w:bidi="ar"/>
                    </w:rPr>
                    <w:t>航空、航天器及设备制造374</w:t>
                  </w:r>
                </w:p>
              </w:tc>
              <w:tc>
                <w:tcPr>
                  <w:tcW w:w="2627" w:type="dxa"/>
                  <w:vAlign w:val="center"/>
                </w:tcPr>
                <w:p w14:paraId="520AAE7D">
                  <w:pPr>
                    <w:autoSpaceDE w:val="0"/>
                    <w:autoSpaceDN w:val="0"/>
                    <w:adjustRightInd w:val="0"/>
                    <w:snapToGrid w:val="0"/>
                    <w:jc w:val="center"/>
                    <w:rPr>
                      <w:kern w:val="0"/>
                      <w:szCs w:val="21"/>
                      <w:lang w:bidi="ar"/>
                    </w:rPr>
                  </w:pPr>
                  <w:r>
                    <w:t>有电镀工艺的；年用溶剂型涂料（含稀释剂）10吨及以上</w:t>
                  </w:r>
                </w:p>
              </w:tc>
              <w:tc>
                <w:tcPr>
                  <w:tcW w:w="2295" w:type="dxa"/>
                  <w:vAlign w:val="center"/>
                </w:tcPr>
                <w:p w14:paraId="520AAE7E">
                  <w:pPr>
                    <w:autoSpaceDE w:val="0"/>
                    <w:autoSpaceDN w:val="0"/>
                    <w:adjustRightInd w:val="0"/>
                    <w:snapToGrid w:val="0"/>
                    <w:jc w:val="center"/>
                    <w:rPr>
                      <w:kern w:val="0"/>
                      <w:szCs w:val="21"/>
                      <w:lang w:bidi="ar"/>
                    </w:rPr>
                  </w:pPr>
                  <w:r>
                    <w:t>其他（年用非溶剂型低VOCs含量涂料10吨以下的除外）</w:t>
                  </w:r>
                </w:p>
              </w:tc>
              <w:tc>
                <w:tcPr>
                  <w:tcW w:w="801" w:type="dxa"/>
                  <w:vAlign w:val="center"/>
                </w:tcPr>
                <w:p w14:paraId="520AAE7F">
                  <w:pPr>
                    <w:autoSpaceDE w:val="0"/>
                    <w:autoSpaceDN w:val="0"/>
                    <w:adjustRightInd w:val="0"/>
                    <w:snapToGrid w:val="0"/>
                    <w:jc w:val="center"/>
                    <w:rPr>
                      <w:kern w:val="0"/>
                      <w:szCs w:val="21"/>
                      <w:lang w:bidi="ar"/>
                    </w:rPr>
                  </w:pPr>
                  <w:r>
                    <w:rPr>
                      <w:rFonts w:hint="eastAsia"/>
                      <w:kern w:val="0"/>
                      <w:szCs w:val="21"/>
                      <w:lang w:bidi="ar"/>
                    </w:rPr>
                    <w:t>/</w:t>
                  </w:r>
                </w:p>
              </w:tc>
            </w:tr>
          </w:tbl>
          <w:p w14:paraId="520AAE81">
            <w:pPr>
              <w:autoSpaceDE w:val="0"/>
              <w:autoSpaceDN w:val="0"/>
              <w:adjustRightInd w:val="0"/>
              <w:snapToGrid w:val="0"/>
              <w:spacing w:line="460" w:lineRule="exact"/>
              <w:ind w:firstLine="480" w:firstLineChars="200"/>
              <w:rPr>
                <w:kern w:val="0"/>
                <w:sz w:val="24"/>
              </w:rPr>
            </w:pPr>
            <w:r>
              <w:rPr>
                <w:rFonts w:hint="eastAsia"/>
                <w:kern w:val="0"/>
                <w:sz w:val="24"/>
              </w:rPr>
              <w:t>根据上表，本项目不涉及电镀工艺，不使用涂料，属于其他的项目，应编制环境影响评价报告表。</w:t>
            </w:r>
          </w:p>
          <w:p w14:paraId="520AAE82">
            <w:pPr>
              <w:autoSpaceDE w:val="0"/>
              <w:autoSpaceDN w:val="0"/>
              <w:adjustRightInd w:val="0"/>
              <w:snapToGrid w:val="0"/>
              <w:spacing w:line="460" w:lineRule="exact"/>
              <w:ind w:firstLine="482" w:firstLineChars="200"/>
              <w:rPr>
                <w:b/>
                <w:kern w:val="0"/>
                <w:sz w:val="24"/>
              </w:rPr>
            </w:pPr>
            <w:r>
              <w:rPr>
                <w:b/>
                <w:kern w:val="0"/>
                <w:sz w:val="24"/>
              </w:rPr>
              <w:t>2、</w:t>
            </w:r>
            <w:r>
              <w:rPr>
                <w:b/>
                <w:bCs/>
                <w:kern w:val="0"/>
                <w:sz w:val="24"/>
              </w:rPr>
              <w:t>与产业政策相符性分析</w:t>
            </w:r>
          </w:p>
          <w:p w14:paraId="520AAE83">
            <w:pPr>
              <w:autoSpaceDE w:val="0"/>
              <w:autoSpaceDN w:val="0"/>
              <w:adjustRightInd w:val="0"/>
              <w:snapToGrid w:val="0"/>
              <w:spacing w:line="460" w:lineRule="exact"/>
              <w:ind w:firstLine="480" w:firstLineChars="200"/>
              <w:rPr>
                <w:kern w:val="0"/>
                <w:sz w:val="24"/>
              </w:rPr>
            </w:pPr>
            <w:r>
              <w:rPr>
                <w:rFonts w:hint="eastAsia"/>
                <w:kern w:val="0"/>
                <w:sz w:val="24"/>
              </w:rPr>
              <w:t>本项目为数字化转型项目，</w:t>
            </w:r>
            <w:r>
              <w:rPr>
                <w:kern w:val="0"/>
                <w:sz w:val="24"/>
              </w:rPr>
              <w:t>经查阅《产业结构调整指导目录</w:t>
            </w:r>
            <w:r>
              <w:rPr>
                <w:rFonts w:hint="eastAsia"/>
                <w:kern w:val="0"/>
                <w:sz w:val="24"/>
              </w:rPr>
              <w:t>（2</w:t>
            </w:r>
            <w:r>
              <w:rPr>
                <w:kern w:val="0"/>
                <w:sz w:val="24"/>
              </w:rPr>
              <w:t>024</w:t>
            </w:r>
            <w:r>
              <w:rPr>
                <w:rFonts w:hint="eastAsia"/>
                <w:kern w:val="0"/>
                <w:sz w:val="24"/>
              </w:rPr>
              <w:t>年本）</w:t>
            </w:r>
            <w:r>
              <w:rPr>
                <w:kern w:val="0"/>
                <w:sz w:val="24"/>
              </w:rPr>
              <w:t>》，</w:t>
            </w:r>
            <w:r>
              <w:rPr>
                <w:rFonts w:hint="eastAsia"/>
                <w:kern w:val="0"/>
                <w:sz w:val="24"/>
              </w:rPr>
              <w:t>本项目属于第一类鼓励类十八、航空航天第1条航空航天产品</w:t>
            </w:r>
            <w:r>
              <w:rPr>
                <w:kern w:val="0"/>
                <w:sz w:val="24"/>
              </w:rPr>
              <w:t>。</w:t>
            </w:r>
          </w:p>
          <w:p w14:paraId="520AAE84">
            <w:pPr>
              <w:adjustRightInd w:val="0"/>
              <w:snapToGrid w:val="0"/>
              <w:spacing w:line="460" w:lineRule="exact"/>
              <w:ind w:firstLine="480" w:firstLineChars="200"/>
              <w:rPr>
                <w:sz w:val="24"/>
              </w:rPr>
            </w:pPr>
            <w:r>
              <w:rPr>
                <w:sz w:val="24"/>
              </w:rPr>
              <w:t>本项目</w:t>
            </w:r>
            <w:r>
              <w:rPr>
                <w:rFonts w:hint="eastAsia"/>
                <w:sz w:val="24"/>
              </w:rPr>
              <w:t>情况与</w:t>
            </w:r>
            <w:r>
              <w:rPr>
                <w:sz w:val="24"/>
              </w:rPr>
              <w:t>产业政策相符性见</w:t>
            </w:r>
            <w:r>
              <w:rPr>
                <w:rFonts w:hint="eastAsia"/>
                <w:sz w:val="24"/>
              </w:rPr>
              <w:t>下表</w:t>
            </w:r>
            <w:r>
              <w:rPr>
                <w:sz w:val="24"/>
              </w:rPr>
              <w:t>。</w:t>
            </w:r>
          </w:p>
          <w:p w14:paraId="520AAE85">
            <w:pPr>
              <w:adjustRightInd w:val="0"/>
              <w:snapToGrid w:val="0"/>
              <w:spacing w:line="460" w:lineRule="exact"/>
              <w:ind w:firstLine="480" w:firstLineChars="200"/>
              <w:rPr>
                <w:rFonts w:eastAsia="黑体"/>
                <w:sz w:val="24"/>
                <w:lang w:val="pt-BR"/>
              </w:rPr>
            </w:pPr>
            <w:r>
              <w:rPr>
                <w:rFonts w:eastAsia="黑体"/>
                <w:sz w:val="24"/>
                <w:lang w:val="pt-BR"/>
              </w:rPr>
              <w:t>表</w:t>
            </w:r>
            <w:r>
              <w:rPr>
                <w:rFonts w:eastAsia="黑体"/>
                <w:sz w:val="24"/>
              </w:rPr>
              <w:t>3</w:t>
            </w:r>
            <w:r>
              <w:rPr>
                <w:rFonts w:hint="eastAsia" w:eastAsia="黑体"/>
                <w:sz w:val="24"/>
              </w:rPr>
              <w:t xml:space="preserve">  </w:t>
            </w:r>
            <w:r>
              <w:rPr>
                <w:rFonts w:eastAsia="黑体"/>
                <w:sz w:val="24"/>
              </w:rPr>
              <w:t xml:space="preserve">  </w:t>
            </w:r>
            <w:r>
              <w:rPr>
                <w:rFonts w:eastAsia="黑体"/>
                <w:sz w:val="24"/>
                <w:lang w:val="pt-BR"/>
              </w:rPr>
              <w:t xml:space="preserve"> </w:t>
            </w:r>
            <w:r>
              <w:rPr>
                <w:rFonts w:eastAsia="黑体"/>
                <w:sz w:val="24"/>
              </w:rPr>
              <w:t xml:space="preserve">        </w:t>
            </w:r>
            <w:r>
              <w:rPr>
                <w:rFonts w:eastAsia="黑体"/>
                <w:sz w:val="24"/>
                <w:lang w:val="pt-BR"/>
              </w:rPr>
              <w:t>项目与产业政策相符性分析</w:t>
            </w:r>
          </w:p>
          <w:tbl>
            <w:tblPr>
              <w:tblStyle w:val="18"/>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280"/>
              <w:gridCol w:w="696"/>
              <w:gridCol w:w="549"/>
              <w:gridCol w:w="3416"/>
              <w:gridCol w:w="1600"/>
              <w:gridCol w:w="705"/>
            </w:tblGrid>
            <w:tr w14:paraId="520AAE8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976" w:type="dxa"/>
                  <w:gridSpan w:val="2"/>
                  <w:vAlign w:val="center"/>
                </w:tcPr>
                <w:p w14:paraId="520AAE86">
                  <w:pPr>
                    <w:jc w:val="center"/>
                    <w:rPr>
                      <w:b/>
                      <w:szCs w:val="21"/>
                    </w:rPr>
                  </w:pPr>
                  <w:r>
                    <w:rPr>
                      <w:b/>
                      <w:szCs w:val="21"/>
                    </w:rPr>
                    <w:t>类别</w:t>
                  </w:r>
                </w:p>
              </w:tc>
              <w:tc>
                <w:tcPr>
                  <w:tcW w:w="549" w:type="dxa"/>
                  <w:vAlign w:val="center"/>
                </w:tcPr>
                <w:p w14:paraId="520AAE87">
                  <w:pPr>
                    <w:jc w:val="center"/>
                    <w:rPr>
                      <w:b/>
                      <w:szCs w:val="21"/>
                    </w:rPr>
                  </w:pPr>
                  <w:r>
                    <w:rPr>
                      <w:b/>
                      <w:szCs w:val="21"/>
                    </w:rPr>
                    <w:t>条款</w:t>
                  </w:r>
                </w:p>
              </w:tc>
              <w:tc>
                <w:tcPr>
                  <w:tcW w:w="3416" w:type="dxa"/>
                  <w:vAlign w:val="center"/>
                </w:tcPr>
                <w:p w14:paraId="520AAE88">
                  <w:pPr>
                    <w:jc w:val="center"/>
                    <w:rPr>
                      <w:b/>
                      <w:szCs w:val="21"/>
                    </w:rPr>
                  </w:pPr>
                  <w:r>
                    <w:rPr>
                      <w:b/>
                      <w:szCs w:val="21"/>
                    </w:rPr>
                    <w:t>内容</w:t>
                  </w:r>
                </w:p>
              </w:tc>
              <w:tc>
                <w:tcPr>
                  <w:tcW w:w="1600" w:type="dxa"/>
                  <w:vAlign w:val="center"/>
                </w:tcPr>
                <w:p w14:paraId="520AAE89">
                  <w:pPr>
                    <w:jc w:val="center"/>
                    <w:rPr>
                      <w:b/>
                      <w:szCs w:val="21"/>
                    </w:rPr>
                  </w:pPr>
                  <w:r>
                    <w:rPr>
                      <w:b/>
                      <w:szCs w:val="21"/>
                    </w:rPr>
                    <w:t>本项目情况</w:t>
                  </w:r>
                </w:p>
              </w:tc>
              <w:tc>
                <w:tcPr>
                  <w:tcW w:w="705" w:type="dxa"/>
                  <w:vAlign w:val="center"/>
                </w:tcPr>
                <w:p w14:paraId="520AAE8A">
                  <w:pPr>
                    <w:jc w:val="center"/>
                    <w:rPr>
                      <w:b/>
                      <w:szCs w:val="21"/>
                    </w:rPr>
                  </w:pPr>
                  <w:r>
                    <w:rPr>
                      <w:b/>
                      <w:szCs w:val="21"/>
                    </w:rPr>
                    <w:t>相符性</w:t>
                  </w:r>
                </w:p>
              </w:tc>
            </w:tr>
            <w:tr w14:paraId="520AAE9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976" w:type="dxa"/>
                  <w:gridSpan w:val="2"/>
                  <w:vAlign w:val="center"/>
                </w:tcPr>
                <w:p w14:paraId="520AAE8C">
                  <w:pPr>
                    <w:jc w:val="center"/>
                    <w:rPr>
                      <w:szCs w:val="21"/>
                    </w:rPr>
                  </w:pPr>
                  <w:r>
                    <w:rPr>
                      <w:szCs w:val="21"/>
                    </w:rPr>
                    <w:t>鼓励类</w:t>
                  </w:r>
                </w:p>
              </w:tc>
              <w:tc>
                <w:tcPr>
                  <w:tcW w:w="549" w:type="dxa"/>
                  <w:vAlign w:val="center"/>
                </w:tcPr>
                <w:p w14:paraId="520AAE8D">
                  <w:pPr>
                    <w:jc w:val="center"/>
                    <w:rPr>
                      <w:szCs w:val="21"/>
                    </w:rPr>
                  </w:pPr>
                  <w:r>
                    <w:rPr>
                      <w:szCs w:val="21"/>
                    </w:rPr>
                    <w:t>十八</w:t>
                  </w:r>
                  <w:r>
                    <w:rPr>
                      <w:rFonts w:hint="eastAsia"/>
                      <w:szCs w:val="21"/>
                    </w:rPr>
                    <w:t>、</w:t>
                  </w:r>
                  <w:r>
                    <w:rPr>
                      <w:szCs w:val="21"/>
                    </w:rPr>
                    <w:t>航空航天</w:t>
                  </w:r>
                </w:p>
              </w:tc>
              <w:tc>
                <w:tcPr>
                  <w:tcW w:w="3416" w:type="dxa"/>
                  <w:vAlign w:val="center"/>
                </w:tcPr>
                <w:p w14:paraId="520AAE8E">
                  <w:pPr>
                    <w:jc w:val="center"/>
                    <w:rPr>
                      <w:szCs w:val="21"/>
                    </w:rPr>
                  </w:pPr>
                  <w:r>
                    <w:rPr>
                      <w:rFonts w:hint="eastAsia"/>
                      <w:szCs w:val="21"/>
                    </w:rPr>
                    <w:t>1、航空航天产品：民用航空器（干线飞机、支线飞机、通用飞机、民用直升机、其他飞行器）开发制造，航空发动机（涡喷、涡扇、涡桨、涡轴、活塞、其他航空发动机）开发制造，航空航天用燃气轮机制造，遥感卫星、通信卫星、导航卫星、运载火箭开发制造，先进卫星、运载火箭的单机、部组件、元器件等开发制造，以北斗为时空信息基准的高精度、高可信、低功耗、多源融合的定位导航授时产品开发制造，无人机（大型、中型、小型及其他）开发制造，新能源飞机设计与研发</w:t>
                  </w:r>
                </w:p>
              </w:tc>
              <w:tc>
                <w:tcPr>
                  <w:tcW w:w="1600" w:type="dxa"/>
                  <w:vMerge w:val="restart"/>
                  <w:vAlign w:val="center"/>
                </w:tcPr>
                <w:p w14:paraId="520AAE8F">
                  <w:pPr>
                    <w:pStyle w:val="8"/>
                    <w:jc w:val="center"/>
                    <w:rPr>
                      <w:sz w:val="21"/>
                      <w:szCs w:val="21"/>
                      <w:lang w:val="en-US"/>
                    </w:rPr>
                  </w:pPr>
                  <w:r>
                    <w:rPr>
                      <w:rFonts w:hint="eastAsia"/>
                      <w:sz w:val="21"/>
                      <w:szCs w:val="21"/>
                      <w:lang w:val="en-US"/>
                    </w:rPr>
                    <w:t>公司产品应用于航空机载设备领域、民用航空领域、防务工程领域以及非航空民品领域（主要为车船载零部件），本项目主要新增现有同类型设备满足订单要求，同时构件数智规划。</w:t>
                  </w:r>
                </w:p>
              </w:tc>
              <w:tc>
                <w:tcPr>
                  <w:tcW w:w="705" w:type="dxa"/>
                  <w:vAlign w:val="center"/>
                </w:tcPr>
                <w:p w14:paraId="520AAE90">
                  <w:pPr>
                    <w:jc w:val="center"/>
                    <w:rPr>
                      <w:szCs w:val="21"/>
                    </w:rPr>
                  </w:pPr>
                  <w:r>
                    <w:rPr>
                      <w:szCs w:val="21"/>
                    </w:rPr>
                    <w:t>属于</w:t>
                  </w:r>
                </w:p>
              </w:tc>
            </w:tr>
            <w:tr w14:paraId="520AAE9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976" w:type="dxa"/>
                  <w:gridSpan w:val="2"/>
                  <w:vAlign w:val="center"/>
                </w:tcPr>
                <w:p w14:paraId="520AAE92">
                  <w:pPr>
                    <w:jc w:val="center"/>
                    <w:rPr>
                      <w:szCs w:val="21"/>
                    </w:rPr>
                  </w:pPr>
                  <w:r>
                    <w:rPr>
                      <w:szCs w:val="21"/>
                    </w:rPr>
                    <w:t>限制类</w:t>
                  </w:r>
                </w:p>
              </w:tc>
              <w:tc>
                <w:tcPr>
                  <w:tcW w:w="549" w:type="dxa"/>
                  <w:vAlign w:val="center"/>
                </w:tcPr>
                <w:p w14:paraId="520AAE93">
                  <w:pPr>
                    <w:jc w:val="center"/>
                    <w:rPr>
                      <w:szCs w:val="21"/>
                    </w:rPr>
                  </w:pPr>
                  <w:r>
                    <w:rPr>
                      <w:szCs w:val="21"/>
                    </w:rPr>
                    <w:t>/</w:t>
                  </w:r>
                </w:p>
              </w:tc>
              <w:tc>
                <w:tcPr>
                  <w:tcW w:w="3416" w:type="dxa"/>
                  <w:vAlign w:val="center"/>
                </w:tcPr>
                <w:p w14:paraId="520AAE94">
                  <w:pPr>
                    <w:jc w:val="center"/>
                    <w:rPr>
                      <w:szCs w:val="21"/>
                    </w:rPr>
                  </w:pPr>
                  <w:r>
                    <w:rPr>
                      <w:szCs w:val="21"/>
                    </w:rPr>
                    <w:t>查</w:t>
                  </w:r>
                  <w:r>
                    <w:rPr>
                      <w:rFonts w:hint="eastAsia"/>
                      <w:szCs w:val="21"/>
                    </w:rPr>
                    <w:t>阅</w:t>
                  </w:r>
                  <w:r>
                    <w:rPr>
                      <w:szCs w:val="21"/>
                    </w:rPr>
                    <w:t>无相关对应条款</w:t>
                  </w:r>
                </w:p>
              </w:tc>
              <w:tc>
                <w:tcPr>
                  <w:tcW w:w="1600" w:type="dxa"/>
                  <w:vMerge w:val="continue"/>
                  <w:vAlign w:val="center"/>
                </w:tcPr>
                <w:p w14:paraId="520AAE95">
                  <w:pPr>
                    <w:jc w:val="center"/>
                    <w:rPr>
                      <w:szCs w:val="21"/>
                    </w:rPr>
                  </w:pPr>
                </w:p>
              </w:tc>
              <w:tc>
                <w:tcPr>
                  <w:tcW w:w="705" w:type="dxa"/>
                  <w:vAlign w:val="center"/>
                </w:tcPr>
                <w:p w14:paraId="520AAE96">
                  <w:pPr>
                    <w:jc w:val="center"/>
                    <w:rPr>
                      <w:szCs w:val="21"/>
                    </w:rPr>
                  </w:pPr>
                  <w:r>
                    <w:rPr>
                      <w:szCs w:val="21"/>
                    </w:rPr>
                    <w:t>不属于</w:t>
                  </w:r>
                </w:p>
              </w:tc>
            </w:tr>
            <w:tr w14:paraId="520AAE9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80" w:type="dxa"/>
                  <w:vMerge w:val="restart"/>
                  <w:vAlign w:val="center"/>
                </w:tcPr>
                <w:p w14:paraId="520AAE98">
                  <w:pPr>
                    <w:jc w:val="center"/>
                    <w:rPr>
                      <w:szCs w:val="21"/>
                    </w:rPr>
                  </w:pPr>
                  <w:r>
                    <w:rPr>
                      <w:szCs w:val="21"/>
                    </w:rPr>
                    <w:t>淘汰类</w:t>
                  </w:r>
                </w:p>
              </w:tc>
              <w:tc>
                <w:tcPr>
                  <w:tcW w:w="696" w:type="dxa"/>
                  <w:vAlign w:val="center"/>
                </w:tcPr>
                <w:p w14:paraId="520AAE99">
                  <w:pPr>
                    <w:jc w:val="center"/>
                    <w:rPr>
                      <w:szCs w:val="21"/>
                    </w:rPr>
                  </w:pPr>
                  <w:r>
                    <w:rPr>
                      <w:szCs w:val="21"/>
                    </w:rPr>
                    <w:t>落后生产工艺装备</w:t>
                  </w:r>
                </w:p>
              </w:tc>
              <w:tc>
                <w:tcPr>
                  <w:tcW w:w="549" w:type="dxa"/>
                  <w:vAlign w:val="center"/>
                </w:tcPr>
                <w:p w14:paraId="520AAE9A">
                  <w:pPr>
                    <w:jc w:val="center"/>
                    <w:rPr>
                      <w:szCs w:val="21"/>
                    </w:rPr>
                  </w:pPr>
                  <w:r>
                    <w:rPr>
                      <w:szCs w:val="21"/>
                    </w:rPr>
                    <w:t>/</w:t>
                  </w:r>
                </w:p>
              </w:tc>
              <w:tc>
                <w:tcPr>
                  <w:tcW w:w="3416" w:type="dxa"/>
                  <w:vAlign w:val="center"/>
                </w:tcPr>
                <w:p w14:paraId="520AAE9B">
                  <w:pPr>
                    <w:jc w:val="center"/>
                    <w:rPr>
                      <w:szCs w:val="21"/>
                    </w:rPr>
                  </w:pPr>
                  <w:r>
                    <w:rPr>
                      <w:szCs w:val="21"/>
                    </w:rPr>
                    <w:t>查</w:t>
                  </w:r>
                  <w:r>
                    <w:rPr>
                      <w:rFonts w:hint="eastAsia"/>
                      <w:szCs w:val="21"/>
                    </w:rPr>
                    <w:t>阅</w:t>
                  </w:r>
                  <w:r>
                    <w:rPr>
                      <w:szCs w:val="21"/>
                    </w:rPr>
                    <w:t>无相关对应条款</w:t>
                  </w:r>
                </w:p>
              </w:tc>
              <w:tc>
                <w:tcPr>
                  <w:tcW w:w="1600" w:type="dxa"/>
                  <w:vAlign w:val="center"/>
                </w:tcPr>
                <w:p w14:paraId="520AAE9C">
                  <w:pPr>
                    <w:jc w:val="center"/>
                    <w:rPr>
                      <w:szCs w:val="21"/>
                    </w:rPr>
                  </w:pPr>
                  <w:r>
                    <w:rPr>
                      <w:rFonts w:hint="eastAsia"/>
                      <w:szCs w:val="21"/>
                    </w:rPr>
                    <w:t>本项目设备主要为卧式加工中心（四轴）、滑油冲洗试验台等</w:t>
                  </w:r>
                </w:p>
              </w:tc>
              <w:tc>
                <w:tcPr>
                  <w:tcW w:w="705" w:type="dxa"/>
                  <w:vMerge w:val="restart"/>
                  <w:vAlign w:val="center"/>
                </w:tcPr>
                <w:p w14:paraId="520AAE9D">
                  <w:pPr>
                    <w:jc w:val="center"/>
                    <w:rPr>
                      <w:szCs w:val="21"/>
                    </w:rPr>
                  </w:pPr>
                  <w:r>
                    <w:rPr>
                      <w:szCs w:val="21"/>
                    </w:rPr>
                    <w:t>不属于</w:t>
                  </w:r>
                </w:p>
              </w:tc>
            </w:tr>
            <w:tr w14:paraId="520AAEA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80" w:type="dxa"/>
                  <w:vMerge w:val="continue"/>
                  <w:vAlign w:val="center"/>
                </w:tcPr>
                <w:p w14:paraId="520AAE9F">
                  <w:pPr>
                    <w:jc w:val="center"/>
                    <w:rPr>
                      <w:szCs w:val="21"/>
                      <w:highlight w:val="yellow"/>
                    </w:rPr>
                  </w:pPr>
                </w:p>
              </w:tc>
              <w:tc>
                <w:tcPr>
                  <w:tcW w:w="696" w:type="dxa"/>
                  <w:vAlign w:val="center"/>
                </w:tcPr>
                <w:p w14:paraId="520AAEA0">
                  <w:pPr>
                    <w:jc w:val="center"/>
                    <w:rPr>
                      <w:szCs w:val="21"/>
                    </w:rPr>
                  </w:pPr>
                  <w:r>
                    <w:rPr>
                      <w:szCs w:val="21"/>
                    </w:rPr>
                    <w:t>落后产品</w:t>
                  </w:r>
                </w:p>
              </w:tc>
              <w:tc>
                <w:tcPr>
                  <w:tcW w:w="549" w:type="dxa"/>
                  <w:vAlign w:val="center"/>
                </w:tcPr>
                <w:p w14:paraId="520AAEA1">
                  <w:pPr>
                    <w:jc w:val="center"/>
                    <w:rPr>
                      <w:szCs w:val="21"/>
                    </w:rPr>
                  </w:pPr>
                  <w:r>
                    <w:rPr>
                      <w:szCs w:val="21"/>
                    </w:rPr>
                    <w:t>/</w:t>
                  </w:r>
                </w:p>
              </w:tc>
              <w:tc>
                <w:tcPr>
                  <w:tcW w:w="3416" w:type="dxa"/>
                  <w:vAlign w:val="center"/>
                </w:tcPr>
                <w:p w14:paraId="520AAEA2">
                  <w:pPr>
                    <w:jc w:val="center"/>
                    <w:rPr>
                      <w:szCs w:val="21"/>
                    </w:rPr>
                  </w:pPr>
                  <w:r>
                    <w:rPr>
                      <w:szCs w:val="21"/>
                    </w:rPr>
                    <w:t>查</w:t>
                  </w:r>
                  <w:r>
                    <w:rPr>
                      <w:rFonts w:hint="eastAsia"/>
                      <w:szCs w:val="21"/>
                    </w:rPr>
                    <w:t>阅</w:t>
                  </w:r>
                  <w:r>
                    <w:rPr>
                      <w:szCs w:val="21"/>
                    </w:rPr>
                    <w:t>无相关对应条款</w:t>
                  </w:r>
                </w:p>
              </w:tc>
              <w:tc>
                <w:tcPr>
                  <w:tcW w:w="1600" w:type="dxa"/>
                  <w:vAlign w:val="center"/>
                </w:tcPr>
                <w:p w14:paraId="520AAEA3">
                  <w:pPr>
                    <w:jc w:val="center"/>
                    <w:rPr>
                      <w:szCs w:val="21"/>
                    </w:rPr>
                  </w:pPr>
                  <w:r>
                    <w:rPr>
                      <w:szCs w:val="21"/>
                    </w:rPr>
                    <w:t>本项目产品为</w:t>
                  </w:r>
                  <w:r>
                    <w:rPr>
                      <w:rFonts w:hint="eastAsia"/>
                      <w:szCs w:val="21"/>
                    </w:rPr>
                    <w:t>航空附件</w:t>
                  </w:r>
                </w:p>
              </w:tc>
              <w:tc>
                <w:tcPr>
                  <w:tcW w:w="705" w:type="dxa"/>
                  <w:vMerge w:val="continue"/>
                  <w:vAlign w:val="center"/>
                </w:tcPr>
                <w:p w14:paraId="520AAEA4">
                  <w:pPr>
                    <w:jc w:val="center"/>
                    <w:rPr>
                      <w:szCs w:val="21"/>
                      <w:highlight w:val="yellow"/>
                    </w:rPr>
                  </w:pPr>
                </w:p>
              </w:tc>
            </w:tr>
          </w:tbl>
          <w:p w14:paraId="520AAEA6">
            <w:pPr>
              <w:adjustRightInd w:val="0"/>
              <w:snapToGrid w:val="0"/>
              <w:spacing w:line="460" w:lineRule="exact"/>
              <w:ind w:firstLine="482" w:firstLineChars="200"/>
              <w:rPr>
                <w:b/>
                <w:sz w:val="24"/>
              </w:rPr>
            </w:pPr>
            <w:r>
              <w:rPr>
                <w:b/>
                <w:sz w:val="24"/>
              </w:rPr>
              <w:t>3、与当地建设相符性分析</w:t>
            </w:r>
          </w:p>
          <w:p w14:paraId="520AAEA7">
            <w:pPr>
              <w:adjustRightInd w:val="0"/>
              <w:snapToGrid w:val="0"/>
              <w:spacing w:line="460" w:lineRule="exact"/>
              <w:ind w:firstLine="480" w:firstLineChars="200"/>
              <w:rPr>
                <w:sz w:val="24"/>
                <w:highlight w:val="yellow"/>
              </w:rPr>
            </w:pPr>
            <w:r>
              <w:rPr>
                <w:rFonts w:hint="eastAsia"/>
                <w:sz w:val="24"/>
              </w:rPr>
              <w:t>（1）</w:t>
            </w:r>
            <w:r>
              <w:rPr>
                <w:sz w:val="24"/>
              </w:rPr>
              <w:t>本项目</w:t>
            </w:r>
            <w:r>
              <w:rPr>
                <w:rFonts w:hint="eastAsia"/>
                <w:sz w:val="24"/>
              </w:rPr>
              <w:t>选址</w:t>
            </w:r>
            <w:r>
              <w:rPr>
                <w:sz w:val="24"/>
              </w:rPr>
              <w:t>位于</w:t>
            </w:r>
            <w:r>
              <w:rPr>
                <w:rFonts w:hint="eastAsia"/>
                <w:sz w:val="24"/>
              </w:rPr>
              <w:t>新乡市牧野区建设中路168号（建设路厂区）和新乡市解放大道（中）1号（解放路厂区）</w:t>
            </w:r>
            <w:r>
              <w:rPr>
                <w:sz w:val="24"/>
              </w:rPr>
              <w:t>，</w:t>
            </w:r>
            <w:r>
              <w:rPr>
                <w:rFonts w:hint="eastAsia"/>
                <w:sz w:val="24"/>
              </w:rPr>
              <w:t>根据《新乡市国土空间总体规划（2021-2035年）-中心城区土地使用规划图》</w:t>
            </w:r>
            <w:r>
              <w:rPr>
                <w:sz w:val="24"/>
              </w:rPr>
              <w:t>，</w:t>
            </w:r>
            <w:r>
              <w:rPr>
                <w:rFonts w:hint="eastAsia"/>
                <w:sz w:val="24"/>
              </w:rPr>
              <w:t>建设路厂区和解放路厂区所占用地均为工业用地（详见附图2），符合新乡市总体规划。</w:t>
            </w:r>
          </w:p>
          <w:p w14:paraId="520AAEA8">
            <w:pPr>
              <w:autoSpaceDE w:val="0"/>
              <w:autoSpaceDN w:val="0"/>
              <w:adjustRightInd w:val="0"/>
              <w:snapToGrid w:val="0"/>
              <w:spacing w:line="460" w:lineRule="exact"/>
              <w:ind w:firstLine="480" w:firstLineChars="200"/>
              <w:rPr>
                <w:sz w:val="24"/>
              </w:rPr>
            </w:pPr>
            <w:r>
              <w:rPr>
                <w:kern w:val="0"/>
                <w:sz w:val="24"/>
              </w:rPr>
              <w:t>（2）</w:t>
            </w:r>
            <w:r>
              <w:rPr>
                <w:rFonts w:hint="eastAsia"/>
                <w:sz w:val="24"/>
              </w:rPr>
              <w:t>建设路厂区</w:t>
            </w:r>
            <w:r>
              <w:rPr>
                <w:sz w:val="24"/>
              </w:rPr>
              <w:t>距离最近的饮用水源地为</w:t>
            </w:r>
            <w:r>
              <w:rPr>
                <w:rFonts w:hint="eastAsia"/>
                <w:sz w:val="24"/>
              </w:rPr>
              <w:t>新乡市凤泉水厂地下水饮用水源保护区（共</w:t>
            </w:r>
            <w:r>
              <w:rPr>
                <w:sz w:val="24"/>
              </w:rPr>
              <w:t>8</w:t>
            </w:r>
            <w:r>
              <w:rPr>
                <w:rFonts w:hint="eastAsia"/>
                <w:sz w:val="24"/>
              </w:rPr>
              <w:t>眼井）</w:t>
            </w:r>
            <w:r>
              <w:rPr>
                <w:sz w:val="24"/>
              </w:rPr>
              <w:t>，距离</w:t>
            </w:r>
            <w:r>
              <w:rPr>
                <w:rFonts w:hint="eastAsia"/>
                <w:sz w:val="24"/>
              </w:rPr>
              <w:t>其二级保护区（东以团结路为界，其他三面以水厂院墙为界，向外100米的区域）</w:t>
            </w:r>
            <w:r>
              <w:rPr>
                <w:sz w:val="24"/>
              </w:rPr>
              <w:t>约8835m，不在其保护区范围内</w:t>
            </w:r>
            <w:r>
              <w:rPr>
                <w:rFonts w:hint="eastAsia"/>
                <w:sz w:val="24"/>
              </w:rPr>
              <w:t>。</w:t>
            </w:r>
          </w:p>
          <w:p w14:paraId="520AAEA9">
            <w:pPr>
              <w:autoSpaceDE w:val="0"/>
              <w:autoSpaceDN w:val="0"/>
              <w:adjustRightInd w:val="0"/>
              <w:snapToGrid w:val="0"/>
              <w:spacing w:line="460" w:lineRule="exact"/>
              <w:ind w:firstLine="480" w:firstLineChars="200"/>
              <w:rPr>
                <w:sz w:val="24"/>
              </w:rPr>
            </w:pPr>
            <w:r>
              <w:rPr>
                <w:rFonts w:hint="eastAsia"/>
                <w:sz w:val="24"/>
              </w:rPr>
              <w:t>解放路厂区距离最近的饮用水源地为大召营镇水厂（共2眼井）2号井</w:t>
            </w:r>
            <w:r>
              <w:rPr>
                <w:sz w:val="24"/>
              </w:rPr>
              <w:t>，距离</w:t>
            </w:r>
            <w:r>
              <w:rPr>
                <w:rFonts w:hint="eastAsia"/>
                <w:sz w:val="24"/>
              </w:rPr>
              <w:t>其一级保护区（取水井外围50m范围的圆形区域）</w:t>
            </w:r>
            <w:r>
              <w:rPr>
                <w:sz w:val="24"/>
              </w:rPr>
              <w:t>约7920m，不在其保护区范围内</w:t>
            </w:r>
            <w:r>
              <w:rPr>
                <w:rFonts w:hint="eastAsia"/>
                <w:sz w:val="24"/>
              </w:rPr>
              <w:t>。</w:t>
            </w:r>
          </w:p>
          <w:p w14:paraId="520AAEAA">
            <w:pPr>
              <w:autoSpaceDE w:val="0"/>
              <w:autoSpaceDN w:val="0"/>
              <w:adjustRightInd w:val="0"/>
              <w:snapToGrid w:val="0"/>
              <w:spacing w:line="460" w:lineRule="exact"/>
              <w:ind w:firstLine="482" w:firstLineChars="200"/>
              <w:rPr>
                <w:b/>
                <w:sz w:val="24"/>
              </w:rPr>
            </w:pPr>
            <w:r>
              <w:rPr>
                <w:rFonts w:hint="eastAsia"/>
                <w:b/>
                <w:sz w:val="24"/>
              </w:rPr>
              <w:t>4</w:t>
            </w:r>
            <w:r>
              <w:rPr>
                <w:b/>
                <w:sz w:val="24"/>
              </w:rPr>
              <w:t>、</w:t>
            </w:r>
            <w:r>
              <w:rPr>
                <w:rFonts w:hint="eastAsia"/>
                <w:b/>
                <w:sz w:val="24"/>
              </w:rPr>
              <w:t>与</w:t>
            </w:r>
            <w:r>
              <w:rPr>
                <w:b/>
                <w:sz w:val="24"/>
              </w:rPr>
              <w:t>《新乡市</w:t>
            </w:r>
            <w:r>
              <w:rPr>
                <w:rFonts w:hint="eastAsia"/>
                <w:b/>
                <w:sz w:val="24"/>
              </w:rPr>
              <w:t>“三线一单”生态</w:t>
            </w:r>
            <w:r>
              <w:rPr>
                <w:b/>
                <w:sz w:val="24"/>
              </w:rPr>
              <w:t>环境准入清单》相符性分析</w:t>
            </w:r>
          </w:p>
          <w:p w14:paraId="520AAEAB">
            <w:pPr>
              <w:autoSpaceDE w:val="0"/>
              <w:autoSpaceDN w:val="0"/>
              <w:adjustRightInd w:val="0"/>
              <w:snapToGrid w:val="0"/>
              <w:spacing w:line="460" w:lineRule="exact"/>
              <w:ind w:firstLine="480" w:firstLineChars="200"/>
              <w:rPr>
                <w:sz w:val="24"/>
              </w:rPr>
            </w:pPr>
            <w:r>
              <w:rPr>
                <w:rFonts w:hint="eastAsia"/>
                <w:sz w:val="24"/>
              </w:rPr>
              <w:t>（1）生态保护红线相符性</w:t>
            </w:r>
          </w:p>
          <w:p w14:paraId="520AAEAC">
            <w:pPr>
              <w:autoSpaceDE w:val="0"/>
              <w:autoSpaceDN w:val="0"/>
              <w:adjustRightInd w:val="0"/>
              <w:snapToGrid w:val="0"/>
              <w:spacing w:line="460" w:lineRule="exact"/>
              <w:ind w:firstLine="480" w:firstLineChars="200"/>
              <w:rPr>
                <w:b/>
                <w:sz w:val="24"/>
              </w:rPr>
            </w:pPr>
            <w:r>
              <w:rPr>
                <w:sz w:val="24"/>
              </w:rPr>
              <w:t>本项目</w:t>
            </w:r>
            <w:r>
              <w:rPr>
                <w:rFonts w:hint="eastAsia"/>
                <w:sz w:val="24"/>
              </w:rPr>
              <w:t>选址</w:t>
            </w:r>
            <w:r>
              <w:rPr>
                <w:sz w:val="24"/>
              </w:rPr>
              <w:t>位于</w:t>
            </w:r>
            <w:r>
              <w:rPr>
                <w:rFonts w:hint="eastAsia"/>
                <w:sz w:val="24"/>
              </w:rPr>
              <w:t>新乡市牧野区建设中路168号（建设路厂区）和新乡市解放大道（中）1号（解放路厂区）</w:t>
            </w:r>
            <w:r>
              <w:rPr>
                <w:sz w:val="24"/>
              </w:rPr>
              <w:t>，</w:t>
            </w:r>
            <w:r>
              <w:rPr>
                <w:rFonts w:hint="eastAsia"/>
                <w:sz w:val="24"/>
              </w:rPr>
              <w:t>不在当地饮用水源、风景区、自然保护区等生态保护区内，根据新乡市生态保护红线划定结果，本项目选址范围不涉及生态保护红线，本项目的实施与生态保护红线不冲突。</w:t>
            </w:r>
          </w:p>
          <w:p w14:paraId="520AAEAD">
            <w:pPr>
              <w:autoSpaceDE w:val="0"/>
              <w:autoSpaceDN w:val="0"/>
              <w:adjustRightInd w:val="0"/>
              <w:snapToGrid w:val="0"/>
              <w:spacing w:line="460" w:lineRule="exact"/>
              <w:ind w:firstLine="480" w:firstLineChars="200"/>
              <w:rPr>
                <w:sz w:val="24"/>
              </w:rPr>
            </w:pPr>
            <w:r>
              <w:rPr>
                <w:rFonts w:hint="eastAsia"/>
                <w:sz w:val="24"/>
              </w:rPr>
              <w:t>（</w:t>
            </w:r>
            <w:r>
              <w:rPr>
                <w:sz w:val="24"/>
              </w:rPr>
              <w:t>2</w:t>
            </w:r>
            <w:r>
              <w:rPr>
                <w:rFonts w:hint="eastAsia"/>
                <w:sz w:val="24"/>
              </w:rPr>
              <w:t>）资源利用上线相符性</w:t>
            </w:r>
          </w:p>
          <w:p w14:paraId="520AAEAE">
            <w:pPr>
              <w:autoSpaceDE w:val="0"/>
              <w:autoSpaceDN w:val="0"/>
              <w:adjustRightInd w:val="0"/>
              <w:snapToGrid w:val="0"/>
              <w:spacing w:line="460" w:lineRule="exact"/>
              <w:ind w:firstLine="480" w:firstLineChars="200"/>
              <w:rPr>
                <w:sz w:val="24"/>
              </w:rPr>
            </w:pPr>
            <w:r>
              <w:rPr>
                <w:rFonts w:hint="eastAsia"/>
                <w:sz w:val="24"/>
              </w:rPr>
              <w:t>本项目用水及用电由市政统一供给。项目建成运行后通过内部管理、设备选择、原辅材料的选用和管理、废物回收利用、污染治理等多方面采取合理可行的防治措施，以“节能、降耗、减污”为目标，有效地控制污染。项目的水、气等资源利用不会突破区域的资源利用上线。</w:t>
            </w:r>
          </w:p>
          <w:p w14:paraId="520AAEAF">
            <w:pPr>
              <w:autoSpaceDE w:val="0"/>
              <w:autoSpaceDN w:val="0"/>
              <w:adjustRightInd w:val="0"/>
              <w:snapToGrid w:val="0"/>
              <w:spacing w:line="460" w:lineRule="exact"/>
              <w:ind w:firstLine="480" w:firstLineChars="200"/>
              <w:rPr>
                <w:sz w:val="24"/>
              </w:rPr>
            </w:pPr>
            <w:r>
              <w:rPr>
                <w:sz w:val="24"/>
              </w:rPr>
              <w:t>（3）</w:t>
            </w:r>
            <w:r>
              <w:rPr>
                <w:rFonts w:hint="eastAsia"/>
                <w:sz w:val="24"/>
              </w:rPr>
              <w:t>环境质量底线相符性</w:t>
            </w:r>
          </w:p>
          <w:p w14:paraId="520AAEB0">
            <w:pPr>
              <w:autoSpaceDE w:val="0"/>
              <w:autoSpaceDN w:val="0"/>
              <w:adjustRightInd w:val="0"/>
              <w:snapToGrid w:val="0"/>
              <w:spacing w:line="460" w:lineRule="exact"/>
              <w:ind w:firstLine="480" w:firstLineChars="200"/>
              <w:rPr>
                <w:sz w:val="24"/>
              </w:rPr>
            </w:pPr>
            <w:r>
              <w:rPr>
                <w:rFonts w:hint="eastAsia"/>
                <w:sz w:val="24"/>
              </w:rPr>
              <w:t>本项目废气、废水、噪声排放对周边环境影响较小，不会导致区域环境产生明显变化。项目对周边大气环境、地表水环境、地下水环境、声环境、土壤环境影响均可接受。</w:t>
            </w:r>
          </w:p>
          <w:p w14:paraId="520AAEB1">
            <w:pPr>
              <w:autoSpaceDE w:val="0"/>
              <w:autoSpaceDN w:val="0"/>
              <w:adjustRightInd w:val="0"/>
              <w:snapToGrid w:val="0"/>
              <w:spacing w:line="460" w:lineRule="exact"/>
              <w:ind w:firstLine="480" w:firstLineChars="200"/>
              <w:rPr>
                <w:sz w:val="24"/>
              </w:rPr>
            </w:pPr>
            <w:r>
              <w:rPr>
                <w:rFonts w:hint="eastAsia"/>
                <w:sz w:val="24"/>
              </w:rPr>
              <w:t>（4）</w:t>
            </w:r>
            <w:r>
              <w:rPr>
                <w:sz w:val="24"/>
              </w:rPr>
              <w:t>本项目</w:t>
            </w:r>
            <w:r>
              <w:rPr>
                <w:rFonts w:hint="eastAsia"/>
                <w:sz w:val="24"/>
              </w:rPr>
              <w:t>选址</w:t>
            </w:r>
            <w:r>
              <w:rPr>
                <w:sz w:val="24"/>
              </w:rPr>
              <w:t>位于</w:t>
            </w:r>
            <w:r>
              <w:rPr>
                <w:rFonts w:hint="eastAsia"/>
                <w:sz w:val="24"/>
              </w:rPr>
              <w:t>新乡市牧野区建设中路168号（建设路厂区）和新乡市解放大道（中）1号（解放路厂区）</w:t>
            </w:r>
            <w:r>
              <w:rPr>
                <w:sz w:val="24"/>
              </w:rPr>
              <w:t>，</w:t>
            </w:r>
            <w:r>
              <w:rPr>
                <w:rFonts w:hint="eastAsia"/>
                <w:sz w:val="24"/>
              </w:rPr>
              <w:t>根据《河南省三线一单综合信息应用平台》，本项目位于重点管控区，详</w:t>
            </w:r>
            <w:r>
              <w:rPr>
                <w:sz w:val="24"/>
              </w:rPr>
              <w:t>见下图</w:t>
            </w:r>
            <w:r>
              <w:rPr>
                <w:rFonts w:hint="eastAsia"/>
                <w:sz w:val="24"/>
              </w:rPr>
              <w:t>：</w:t>
            </w:r>
          </w:p>
          <w:p w14:paraId="520AAEB2">
            <w:pPr>
              <w:autoSpaceDE w:val="0"/>
              <w:autoSpaceDN w:val="0"/>
              <w:adjustRightInd w:val="0"/>
              <w:snapToGrid w:val="0"/>
              <w:spacing w:line="460" w:lineRule="exact"/>
              <w:ind w:firstLine="480" w:firstLineChars="200"/>
              <w:rPr>
                <w:sz w:val="24"/>
                <w:highlight w:val="yellow"/>
              </w:rPr>
            </w:pPr>
          </w:p>
          <w:p w14:paraId="520AAEB6">
            <w:pPr>
              <w:autoSpaceDE w:val="0"/>
              <w:autoSpaceDN w:val="0"/>
              <w:adjustRightInd w:val="0"/>
              <w:snapToGrid w:val="0"/>
              <w:spacing w:line="460" w:lineRule="exact"/>
              <w:ind w:firstLine="480" w:firstLineChars="200"/>
              <w:rPr>
                <w:sz w:val="24"/>
                <w:highlight w:val="yellow"/>
              </w:rPr>
            </w:pPr>
          </w:p>
          <w:p w14:paraId="520AAEB7">
            <w:pPr>
              <w:autoSpaceDE w:val="0"/>
              <w:autoSpaceDN w:val="0"/>
              <w:adjustRightInd w:val="0"/>
              <w:snapToGrid w:val="0"/>
              <w:spacing w:line="460" w:lineRule="exact"/>
              <w:ind w:firstLine="480" w:firstLineChars="200"/>
              <w:rPr>
                <w:sz w:val="24"/>
                <w:highlight w:val="yellow"/>
              </w:rPr>
            </w:pPr>
          </w:p>
          <w:p w14:paraId="520AAEB8">
            <w:pPr>
              <w:autoSpaceDE w:val="0"/>
              <w:autoSpaceDN w:val="0"/>
              <w:adjustRightInd w:val="0"/>
              <w:snapToGrid w:val="0"/>
              <w:spacing w:line="460" w:lineRule="exact"/>
              <w:ind w:firstLine="480" w:firstLineChars="200"/>
              <w:rPr>
                <w:kern w:val="0"/>
                <w:sz w:val="24"/>
                <w:highlight w:val="yellow"/>
              </w:rPr>
            </w:pPr>
          </w:p>
        </w:tc>
      </w:tr>
    </w:tbl>
    <w:p w14:paraId="520AAEBA">
      <w:pPr>
        <w:adjustRightInd w:val="0"/>
        <w:snapToGrid w:val="0"/>
        <w:rPr>
          <w:rFonts w:eastAsia="黑体"/>
          <w:sz w:val="15"/>
          <w:szCs w:val="15"/>
          <w:highlight w:val="yellow"/>
        </w:rPr>
        <w:sectPr>
          <w:pgSz w:w="11906" w:h="16838"/>
          <w:pgMar w:top="1701" w:right="1531" w:bottom="1701" w:left="1531" w:header="851" w:footer="1077" w:gutter="0"/>
          <w:pgNumType w:start="1"/>
          <w:cols w:space="720" w:num="1"/>
          <w:docGrid w:linePitch="312" w:charSpace="0"/>
        </w:sectPr>
      </w:pP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652"/>
      </w:tblGrid>
      <w:tr w14:paraId="520AB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2" w:hRule="atLeast"/>
        </w:trPr>
        <w:tc>
          <w:tcPr>
            <w:tcW w:w="13652" w:type="dxa"/>
          </w:tcPr>
          <w:p w14:paraId="520AAEBB">
            <w:pPr>
              <w:adjustRightInd w:val="0"/>
              <w:snapToGrid w:val="0"/>
              <w:jc w:val="center"/>
              <w:rPr>
                <w:rFonts w:eastAsia="黑体"/>
                <w:sz w:val="24"/>
                <w:highlight w:val="yellow"/>
              </w:rPr>
            </w:pPr>
            <w:r>
              <w:rPr>
                <w:rFonts w:ascii="宋体" w:hAnsi="宋体" w:eastAsia="宋体" w:cs="宋体"/>
                <w:sz w:val="24"/>
                <w:szCs w:val="24"/>
              </w:rPr>
              <w:drawing>
                <wp:inline distT="0" distB="0" distL="114300" distR="114300">
                  <wp:extent cx="7800975" cy="4143375"/>
                  <wp:effectExtent l="0" t="0" r="9525" b="9525"/>
                  <wp:docPr id="3" name="图片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1" descr="IMG_256"/>
                          <pic:cNvPicPr>
                            <a:picLocks noChangeAspect="1"/>
                          </pic:cNvPicPr>
                        </pic:nvPicPr>
                        <pic:blipFill>
                          <a:blip r:embed="rId13"/>
                          <a:stretch>
                            <a:fillRect/>
                          </a:stretch>
                        </pic:blipFill>
                        <pic:spPr>
                          <a:xfrm>
                            <a:off x="0" y="0"/>
                            <a:ext cx="7800975" cy="4143375"/>
                          </a:xfrm>
                          <a:prstGeom prst="rect">
                            <a:avLst/>
                          </a:prstGeom>
                        </pic:spPr>
                      </pic:pic>
                    </a:graphicData>
                  </a:graphic>
                </wp:inline>
              </w:drawing>
            </w:r>
          </w:p>
          <w:p w14:paraId="520AAEBC">
            <w:pPr>
              <w:adjustRightInd w:val="0"/>
              <w:snapToGrid w:val="0"/>
              <w:jc w:val="center"/>
              <w:rPr>
                <w:rFonts w:eastAsia="黑体"/>
                <w:sz w:val="24"/>
              </w:rPr>
            </w:pPr>
            <w:r>
              <w:rPr>
                <w:rFonts w:eastAsia="黑体"/>
                <w:sz w:val="24"/>
              </w:rPr>
              <w:t xml:space="preserve">图1  </w:t>
            </w:r>
            <w:r>
              <w:rPr>
                <w:rFonts w:hint="eastAsia" w:eastAsia="黑体"/>
                <w:sz w:val="24"/>
              </w:rPr>
              <w:t>河南省三线一单综合信息应用平台截图（建设路厂区）</w:t>
            </w:r>
          </w:p>
          <w:p w14:paraId="520AAEBD">
            <w:pPr>
              <w:adjustRightInd w:val="0"/>
              <w:snapToGrid w:val="0"/>
              <w:jc w:val="center"/>
              <w:rPr>
                <w:rFonts w:eastAsia="黑体"/>
                <w:sz w:val="24"/>
              </w:rPr>
            </w:pPr>
          </w:p>
          <w:p w14:paraId="520AAEBE">
            <w:pPr>
              <w:adjustRightInd w:val="0"/>
              <w:snapToGrid w:val="0"/>
              <w:jc w:val="center"/>
              <w:rPr>
                <w:rFonts w:eastAsia="黑体"/>
                <w:sz w:val="24"/>
              </w:rPr>
            </w:pPr>
          </w:p>
          <w:p w14:paraId="520AAEBF">
            <w:pPr>
              <w:adjustRightInd w:val="0"/>
              <w:snapToGrid w:val="0"/>
              <w:jc w:val="center"/>
              <w:rPr>
                <w:rFonts w:eastAsia="黑体"/>
                <w:sz w:val="24"/>
              </w:rPr>
            </w:pPr>
          </w:p>
          <w:p w14:paraId="520AAEC0">
            <w:pPr>
              <w:adjustRightInd w:val="0"/>
              <w:snapToGrid w:val="0"/>
              <w:jc w:val="center"/>
              <w:rPr>
                <w:rFonts w:eastAsia="黑体"/>
                <w:sz w:val="24"/>
              </w:rPr>
            </w:pPr>
          </w:p>
          <w:p w14:paraId="520AAEC1">
            <w:pPr>
              <w:adjustRightInd w:val="0"/>
              <w:snapToGrid w:val="0"/>
              <w:jc w:val="center"/>
              <w:rPr>
                <w:rFonts w:eastAsia="黑体"/>
                <w:sz w:val="24"/>
              </w:rPr>
            </w:pPr>
          </w:p>
          <w:p w14:paraId="520AAEC2">
            <w:pPr>
              <w:adjustRightInd w:val="0"/>
              <w:snapToGrid w:val="0"/>
              <w:jc w:val="center"/>
              <w:rPr>
                <w:rFonts w:eastAsia="黑体"/>
                <w:sz w:val="24"/>
              </w:rPr>
            </w:pPr>
            <w:r>
              <w:rPr>
                <w:rFonts w:ascii="宋体" w:hAnsi="宋体" w:eastAsia="宋体" w:cs="宋体"/>
                <w:sz w:val="24"/>
                <w:szCs w:val="24"/>
              </w:rPr>
              <w:drawing>
                <wp:inline distT="0" distB="0" distL="114300" distR="114300">
                  <wp:extent cx="8495030" cy="4305300"/>
                  <wp:effectExtent l="0" t="0" r="1270" b="0"/>
                  <wp:docPr id="4" name="图片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2" descr="IMG_256"/>
                          <pic:cNvPicPr>
                            <a:picLocks noChangeAspect="1"/>
                          </pic:cNvPicPr>
                        </pic:nvPicPr>
                        <pic:blipFill>
                          <a:blip r:embed="rId14"/>
                          <a:stretch>
                            <a:fillRect/>
                          </a:stretch>
                        </pic:blipFill>
                        <pic:spPr>
                          <a:xfrm>
                            <a:off x="0" y="0"/>
                            <a:ext cx="8495030" cy="4305300"/>
                          </a:xfrm>
                          <a:prstGeom prst="rect">
                            <a:avLst/>
                          </a:prstGeom>
                        </pic:spPr>
                      </pic:pic>
                    </a:graphicData>
                  </a:graphic>
                </wp:inline>
              </w:drawing>
            </w:r>
          </w:p>
          <w:p w14:paraId="520AAEC3">
            <w:pPr>
              <w:adjustRightInd w:val="0"/>
              <w:snapToGrid w:val="0"/>
              <w:jc w:val="center"/>
              <w:rPr>
                <w:rFonts w:eastAsia="黑体"/>
                <w:sz w:val="24"/>
              </w:rPr>
            </w:pPr>
            <w:r>
              <w:rPr>
                <w:rFonts w:eastAsia="黑体"/>
                <w:sz w:val="24"/>
              </w:rPr>
              <w:t>图</w:t>
            </w:r>
            <w:r>
              <w:rPr>
                <w:rFonts w:hint="eastAsia" w:eastAsia="黑体"/>
                <w:sz w:val="24"/>
              </w:rPr>
              <w:t>2</w:t>
            </w:r>
            <w:r>
              <w:rPr>
                <w:rFonts w:eastAsia="黑体"/>
                <w:sz w:val="24"/>
              </w:rPr>
              <w:t xml:space="preserve">  </w:t>
            </w:r>
            <w:r>
              <w:rPr>
                <w:rFonts w:hint="eastAsia" w:eastAsia="黑体"/>
                <w:sz w:val="24"/>
              </w:rPr>
              <w:t>河南省三线一单综合信息应用平台截图（解放路厂区）</w:t>
            </w:r>
          </w:p>
          <w:p w14:paraId="520AAEC4">
            <w:pPr>
              <w:autoSpaceDE w:val="0"/>
              <w:autoSpaceDN w:val="0"/>
              <w:adjustRightInd w:val="0"/>
              <w:snapToGrid w:val="0"/>
              <w:spacing w:line="460" w:lineRule="exact"/>
              <w:ind w:firstLine="480" w:firstLineChars="200"/>
              <w:rPr>
                <w:sz w:val="24"/>
                <w:highlight w:val="yellow"/>
              </w:rPr>
            </w:pPr>
            <w:r>
              <w:rPr>
                <w:sz w:val="24"/>
              </w:rPr>
              <w:t>本项目</w:t>
            </w:r>
            <w:r>
              <w:rPr>
                <w:rFonts w:hint="eastAsia"/>
                <w:sz w:val="24"/>
              </w:rPr>
              <w:t>选址</w:t>
            </w:r>
            <w:r>
              <w:rPr>
                <w:sz w:val="24"/>
              </w:rPr>
              <w:t>位于</w:t>
            </w:r>
            <w:r>
              <w:rPr>
                <w:rFonts w:hint="eastAsia"/>
                <w:sz w:val="24"/>
              </w:rPr>
              <w:t>新乡市牧野区建设中路168号（建设路厂区）和新乡市解放大道（中）1号（解放路厂区）。</w:t>
            </w:r>
            <w:r>
              <w:rPr>
                <w:kern w:val="0"/>
                <w:sz w:val="24"/>
              </w:rPr>
              <w:t>根据</w:t>
            </w:r>
            <w:r>
              <w:rPr>
                <w:rFonts w:hint="eastAsia"/>
                <w:kern w:val="0"/>
                <w:sz w:val="24"/>
              </w:rPr>
              <w:t>上图</w:t>
            </w:r>
            <w:r>
              <w:rPr>
                <w:kern w:val="0"/>
                <w:sz w:val="24"/>
              </w:rPr>
              <w:t>，本项目</w:t>
            </w:r>
            <w:r>
              <w:rPr>
                <w:rFonts w:hint="eastAsia"/>
                <w:kern w:val="0"/>
                <w:sz w:val="24"/>
              </w:rPr>
              <w:t>建设路厂区和解放路厂区均</w:t>
            </w:r>
            <w:r>
              <w:rPr>
                <w:kern w:val="0"/>
                <w:sz w:val="24"/>
              </w:rPr>
              <w:t>属于</w:t>
            </w:r>
            <w:r>
              <w:rPr>
                <w:rFonts w:hint="eastAsia"/>
                <w:sz w:val="24"/>
              </w:rPr>
              <w:t>重点管控</w:t>
            </w:r>
            <w:r>
              <w:rPr>
                <w:kern w:val="0"/>
                <w:sz w:val="24"/>
              </w:rPr>
              <w:t>单元</w:t>
            </w:r>
            <w:r>
              <w:rPr>
                <w:rFonts w:hint="eastAsia"/>
                <w:kern w:val="0"/>
                <w:sz w:val="24"/>
              </w:rPr>
              <w:t>（环境管控单元名称：牧野区城镇重点单元，环境管控单元编码：</w:t>
            </w:r>
            <w:r>
              <w:rPr>
                <w:kern w:val="0"/>
                <w:sz w:val="24"/>
              </w:rPr>
              <w:t>ZH41071120002</w:t>
            </w:r>
            <w:r>
              <w:rPr>
                <w:rFonts w:hint="eastAsia"/>
                <w:kern w:val="0"/>
                <w:sz w:val="24"/>
              </w:rPr>
              <w:t>）。本项目</w:t>
            </w:r>
            <w:r>
              <w:rPr>
                <w:kern w:val="0"/>
                <w:sz w:val="24"/>
              </w:rPr>
              <w:t>与《新乡市</w:t>
            </w:r>
            <w:r>
              <w:rPr>
                <w:rFonts w:hint="eastAsia"/>
                <w:kern w:val="0"/>
                <w:sz w:val="24"/>
              </w:rPr>
              <w:t>“三线一单”生态</w:t>
            </w:r>
            <w:r>
              <w:rPr>
                <w:kern w:val="0"/>
                <w:sz w:val="24"/>
              </w:rPr>
              <w:t>环境准入清单</w:t>
            </w:r>
            <w:r>
              <w:rPr>
                <w:rFonts w:hint="eastAsia"/>
                <w:bCs/>
                <w:sz w:val="24"/>
              </w:rPr>
              <w:t>（2023年版）</w:t>
            </w:r>
            <w:r>
              <w:rPr>
                <w:kern w:val="0"/>
                <w:sz w:val="24"/>
              </w:rPr>
              <w:t>》（以下简称《清单》）中的相关内容对比一致性分析见下</w:t>
            </w:r>
            <w:r>
              <w:rPr>
                <w:rFonts w:hint="eastAsia"/>
                <w:kern w:val="0"/>
                <w:sz w:val="24"/>
              </w:rPr>
              <w:t>表</w:t>
            </w:r>
            <w:r>
              <w:rPr>
                <w:kern w:val="0"/>
                <w:sz w:val="24"/>
              </w:rPr>
              <w:t>。</w:t>
            </w:r>
          </w:p>
          <w:p w14:paraId="520AAEC5">
            <w:pPr>
              <w:adjustRightInd w:val="0"/>
              <w:snapToGrid w:val="0"/>
              <w:spacing w:line="460" w:lineRule="exact"/>
              <w:ind w:firstLine="480" w:firstLineChars="200"/>
              <w:rPr>
                <w:rFonts w:eastAsia="黑体"/>
                <w:sz w:val="24"/>
                <w:lang w:val="pt-BR"/>
              </w:rPr>
            </w:pPr>
            <w:r>
              <w:rPr>
                <w:rFonts w:eastAsia="黑体"/>
                <w:sz w:val="24"/>
                <w:lang w:val="pt-BR"/>
              </w:rPr>
              <w:t>表4                                 本项目与《清单》对比分析一览表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569"/>
              <w:gridCol w:w="712"/>
              <w:gridCol w:w="571"/>
              <w:gridCol w:w="1054"/>
              <w:gridCol w:w="6021"/>
              <w:gridCol w:w="3969"/>
              <w:gridCol w:w="540"/>
            </w:tblGrid>
            <w:tr w14:paraId="520AAEC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210" w:type="dxa"/>
                  <w:gridSpan w:val="7"/>
                  <w:vAlign w:val="center"/>
                </w:tcPr>
                <w:p w14:paraId="520AAEC6">
                  <w:pPr>
                    <w:pStyle w:val="16"/>
                    <w:spacing w:before="0" w:beforeAutospacing="0" w:after="0" w:afterAutospacing="0"/>
                    <w:jc w:val="center"/>
                    <w:outlineLvl w:val="0"/>
                    <w:rPr>
                      <w:rFonts w:ascii="Times New Roman" w:hAnsi="Times New Roman"/>
                      <w:b/>
                      <w:snapToGrid w:val="0"/>
                      <w:sz w:val="21"/>
                      <w:szCs w:val="21"/>
                      <w:highlight w:val="yellow"/>
                      <w:lang w:val="en-US"/>
                    </w:rPr>
                  </w:pPr>
                  <w:r>
                    <w:rPr>
                      <w:rFonts w:hint="eastAsia" w:ascii="Times New Roman" w:hAnsi="Times New Roman"/>
                      <w:b/>
                      <w:snapToGrid w:val="0"/>
                      <w:sz w:val="21"/>
                      <w:szCs w:val="21"/>
                    </w:rPr>
                    <w:t>新乡市生态环境总体准入要求</w:t>
                  </w:r>
                </w:p>
              </w:tc>
            </w:tr>
            <w:tr w14:paraId="520AAEC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Align w:val="center"/>
                </w:tcPr>
                <w:p w14:paraId="520AAEC8">
                  <w:pPr>
                    <w:pStyle w:val="16"/>
                    <w:spacing w:before="0" w:beforeAutospacing="0" w:after="0" w:afterAutospacing="0"/>
                    <w:jc w:val="center"/>
                    <w:outlineLvl w:val="0"/>
                    <w:rPr>
                      <w:rFonts w:ascii="Times New Roman" w:hAnsi="Times New Roman"/>
                      <w:b/>
                      <w:snapToGrid w:val="0"/>
                      <w:sz w:val="21"/>
                      <w:szCs w:val="21"/>
                      <w:lang w:val="en-US"/>
                    </w:rPr>
                  </w:pPr>
                  <w:r>
                    <w:rPr>
                      <w:rFonts w:hint="eastAsia" w:ascii="Times New Roman" w:hAnsi="Times New Roman"/>
                      <w:b/>
                      <w:snapToGrid w:val="0"/>
                      <w:sz w:val="21"/>
                      <w:szCs w:val="21"/>
                      <w:lang w:val="en-US"/>
                    </w:rPr>
                    <w:t>维度</w:t>
                  </w:r>
                </w:p>
              </w:tc>
              <w:tc>
                <w:tcPr>
                  <w:tcW w:w="6956" w:type="dxa"/>
                  <w:gridSpan w:val="2"/>
                  <w:vAlign w:val="center"/>
                </w:tcPr>
                <w:p w14:paraId="520AAEC9">
                  <w:pPr>
                    <w:pStyle w:val="16"/>
                    <w:spacing w:before="0" w:beforeAutospacing="0" w:after="0" w:afterAutospacing="0"/>
                    <w:jc w:val="center"/>
                    <w:outlineLvl w:val="0"/>
                    <w:rPr>
                      <w:rFonts w:ascii="Times New Roman" w:hAnsi="Times New Roman"/>
                      <w:b/>
                      <w:snapToGrid w:val="0"/>
                      <w:sz w:val="21"/>
                      <w:szCs w:val="21"/>
                      <w:lang w:val="en-US"/>
                    </w:rPr>
                  </w:pPr>
                  <w:r>
                    <w:rPr>
                      <w:rFonts w:ascii="Times New Roman" w:hAnsi="Times New Roman"/>
                      <w:b/>
                      <w:snapToGrid w:val="0"/>
                      <w:sz w:val="21"/>
                      <w:szCs w:val="21"/>
                      <w:lang w:val="en-US"/>
                    </w:rPr>
                    <w:t>管控要求</w:t>
                  </w:r>
                </w:p>
              </w:tc>
              <w:tc>
                <w:tcPr>
                  <w:tcW w:w="3902" w:type="dxa"/>
                  <w:vAlign w:val="center"/>
                </w:tcPr>
                <w:p w14:paraId="520AAECA">
                  <w:pPr>
                    <w:pStyle w:val="16"/>
                    <w:spacing w:before="0" w:beforeAutospacing="0" w:after="0" w:afterAutospacing="0"/>
                    <w:jc w:val="center"/>
                    <w:outlineLvl w:val="0"/>
                    <w:rPr>
                      <w:rFonts w:ascii="Times New Roman" w:hAnsi="Times New Roman"/>
                      <w:b/>
                      <w:snapToGrid w:val="0"/>
                      <w:sz w:val="21"/>
                      <w:szCs w:val="21"/>
                      <w:lang w:val="en-US"/>
                    </w:rPr>
                  </w:pPr>
                  <w:r>
                    <w:rPr>
                      <w:rFonts w:ascii="Times New Roman" w:hAnsi="Times New Roman"/>
                      <w:b/>
                      <w:snapToGrid w:val="0"/>
                      <w:sz w:val="21"/>
                      <w:szCs w:val="21"/>
                      <w:lang w:val="en-US"/>
                    </w:rPr>
                    <w:t>本项目情况</w:t>
                  </w:r>
                </w:p>
              </w:tc>
              <w:tc>
                <w:tcPr>
                  <w:tcW w:w="531" w:type="dxa"/>
                  <w:vAlign w:val="center"/>
                </w:tcPr>
                <w:p w14:paraId="520AAECB">
                  <w:pPr>
                    <w:pStyle w:val="16"/>
                    <w:spacing w:before="0" w:beforeAutospacing="0" w:after="0" w:afterAutospacing="0"/>
                    <w:jc w:val="center"/>
                    <w:outlineLvl w:val="0"/>
                    <w:rPr>
                      <w:rFonts w:ascii="Times New Roman" w:hAnsi="Times New Roman"/>
                      <w:b/>
                      <w:snapToGrid w:val="0"/>
                      <w:sz w:val="21"/>
                      <w:szCs w:val="21"/>
                      <w:lang w:val="en-US"/>
                    </w:rPr>
                  </w:pPr>
                  <w:r>
                    <w:rPr>
                      <w:rFonts w:ascii="Times New Roman" w:hAnsi="Times New Roman"/>
                      <w:b/>
                      <w:snapToGrid w:val="0"/>
                      <w:sz w:val="21"/>
                      <w:szCs w:val="21"/>
                      <w:lang w:val="en-US"/>
                    </w:rPr>
                    <w:t>是否符合要求</w:t>
                  </w:r>
                </w:p>
              </w:tc>
            </w:tr>
            <w:tr w14:paraId="520AAED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restart"/>
                  <w:vAlign w:val="center"/>
                </w:tcPr>
                <w:p w14:paraId="520AAECD">
                  <w:pPr>
                    <w:pStyle w:val="16"/>
                    <w:spacing w:before="0" w:beforeAutospacing="0" w:after="0" w:afterAutospacing="0"/>
                    <w:jc w:val="center"/>
                    <w:outlineLvl w:val="0"/>
                    <w:rPr>
                      <w:rFonts w:ascii="Times New Roman" w:hAnsi="Times New Roman"/>
                      <w:snapToGrid w:val="0"/>
                      <w:sz w:val="21"/>
                      <w:szCs w:val="21"/>
                      <w:lang w:val="en-US"/>
                    </w:rPr>
                  </w:pPr>
                  <w:r>
                    <w:rPr>
                      <w:rFonts w:hint="eastAsia"/>
                      <w:bCs/>
                      <w:sz w:val="21"/>
                      <w:szCs w:val="21"/>
                    </w:rPr>
                    <w:t>空间布局约束</w:t>
                  </w:r>
                </w:p>
              </w:tc>
              <w:tc>
                <w:tcPr>
                  <w:tcW w:w="6956" w:type="dxa"/>
                  <w:gridSpan w:val="2"/>
                  <w:vAlign w:val="center"/>
                </w:tcPr>
                <w:p w14:paraId="520AAECE">
                  <w:pPr>
                    <w:pStyle w:val="16"/>
                    <w:spacing w:before="0" w:beforeAutospacing="0" w:after="0" w:afterAutospacing="0"/>
                    <w:jc w:val="both"/>
                    <w:outlineLvl w:val="0"/>
                    <w:rPr>
                      <w:rFonts w:ascii="Times New Roman" w:hAnsi="Times New Roman"/>
                      <w:snapToGrid w:val="0"/>
                      <w:sz w:val="21"/>
                      <w:szCs w:val="21"/>
                      <w:lang w:val="en-US"/>
                    </w:rPr>
                  </w:pPr>
                  <w:r>
                    <w:rPr>
                      <w:rFonts w:ascii="Times New Roman" w:hAnsi="Times New Roman"/>
                      <w:sz w:val="21"/>
                      <w:szCs w:val="18"/>
                    </w:rPr>
                    <w:t>1-4：自然保护区、风景名胜区、饮用水源保护区、南水北调保护区的相关管控要求。</w:t>
                  </w:r>
                </w:p>
              </w:tc>
              <w:tc>
                <w:tcPr>
                  <w:tcW w:w="3902" w:type="dxa"/>
                  <w:vAlign w:val="center"/>
                </w:tcPr>
                <w:p w14:paraId="520AAECF">
                  <w:pPr>
                    <w:pStyle w:val="16"/>
                    <w:spacing w:before="0" w:beforeAutospacing="0" w:after="0" w:afterAutospacing="0"/>
                    <w:jc w:val="both"/>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本项目选址位于新乡市牧野区建设中路168号（建设路厂区）和新乡市解放大道（中）1号（解放路厂区），评价范围内不涉及自然保护区、风景名胜区、饮用水源保护区和南水北调保护区等优先保护单元。</w:t>
                  </w:r>
                </w:p>
              </w:tc>
              <w:tc>
                <w:tcPr>
                  <w:tcW w:w="531" w:type="dxa"/>
                  <w:vAlign w:val="center"/>
                </w:tcPr>
                <w:p w14:paraId="520AAED0">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ED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ED2">
                  <w:pPr>
                    <w:pStyle w:val="16"/>
                    <w:spacing w:before="0" w:beforeAutospacing="0" w:after="0" w:afterAutospacing="0"/>
                    <w:jc w:val="center"/>
                    <w:outlineLvl w:val="0"/>
                    <w:rPr>
                      <w:rFonts w:hint="eastAsia"/>
                      <w:bCs/>
                      <w:sz w:val="21"/>
                      <w:szCs w:val="21"/>
                    </w:rPr>
                  </w:pPr>
                </w:p>
              </w:tc>
              <w:tc>
                <w:tcPr>
                  <w:tcW w:w="6956" w:type="dxa"/>
                  <w:gridSpan w:val="2"/>
                  <w:vAlign w:val="center"/>
                </w:tcPr>
                <w:p w14:paraId="520AAED3">
                  <w:pPr>
                    <w:pStyle w:val="16"/>
                    <w:spacing w:before="0" w:beforeAutospacing="0" w:after="0" w:afterAutospacing="0"/>
                    <w:jc w:val="both"/>
                    <w:outlineLvl w:val="0"/>
                    <w:rPr>
                      <w:rFonts w:ascii="Times New Roman" w:hAnsi="Times New Roman"/>
                      <w:sz w:val="21"/>
                      <w:szCs w:val="21"/>
                    </w:rPr>
                  </w:pPr>
                  <w:r>
                    <w:rPr>
                      <w:rFonts w:ascii="Times New Roman" w:hAnsi="Times New Roman"/>
                      <w:sz w:val="21"/>
                      <w:szCs w:val="18"/>
                    </w:rPr>
                    <w:t>5</w:t>
                  </w:r>
                  <w:r>
                    <w:rPr>
                      <w:rFonts w:hint="eastAsia" w:ascii="Times New Roman" w:hAnsi="Times New Roman"/>
                      <w:sz w:val="21"/>
                      <w:szCs w:val="18"/>
                    </w:rPr>
                    <w:t>.河湖湿地、森林公园内的珍贵景物和风景名胜区核心景区、自然保护区的核心区和缓冲区、土地利用总体规划所确定的永久基本农田保护区、地质遗迹一级保护区、饮用水水源一级保护区、水工程保护范围、地质灾害危险区、矿产资源密集地区的禁止开采区、工程建设不适宜区、大于25%的陡坡地、行洪通道、防洪工程设施保护范围、高压输电线路走廊、天然气输送管线及其防护区、成品油输送管线及其防护区、区域性调水工程管线及其防护区和生态保护红线属于规划的禁止建设区。</w:t>
                  </w:r>
                </w:p>
              </w:tc>
              <w:tc>
                <w:tcPr>
                  <w:tcW w:w="3902" w:type="dxa"/>
                  <w:vAlign w:val="center"/>
                </w:tcPr>
                <w:p w14:paraId="520AAED4">
                  <w:pPr>
                    <w:pStyle w:val="16"/>
                    <w:spacing w:before="0" w:beforeAutospacing="0" w:after="0" w:afterAutospacing="0"/>
                    <w:jc w:val="both"/>
                    <w:outlineLvl w:val="0"/>
                    <w:rPr>
                      <w:rFonts w:ascii="Times New Roman" w:hAnsi="Times New Roman"/>
                      <w:snapToGrid w:val="0"/>
                      <w:sz w:val="21"/>
                      <w:szCs w:val="21"/>
                      <w:highlight w:val="yellow"/>
                      <w:lang w:val="en-US"/>
                    </w:rPr>
                  </w:pPr>
                  <w:r>
                    <w:rPr>
                      <w:rFonts w:hint="eastAsia" w:ascii="Times New Roman" w:hAnsi="Times New Roman"/>
                      <w:snapToGrid w:val="0"/>
                      <w:sz w:val="21"/>
                      <w:szCs w:val="21"/>
                      <w:lang w:val="en-US"/>
                    </w:rPr>
                    <w:t>本项目选址位于新乡市牧野区建设中路168号（建设路厂区）和新乡市解放大道（中）1号（解放路厂区），不在禁止建设区范围内。</w:t>
                  </w:r>
                </w:p>
              </w:tc>
              <w:tc>
                <w:tcPr>
                  <w:tcW w:w="531" w:type="dxa"/>
                  <w:vAlign w:val="center"/>
                </w:tcPr>
                <w:p w14:paraId="520AAED5">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ED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ED7">
                  <w:pPr>
                    <w:pStyle w:val="16"/>
                    <w:spacing w:before="0" w:beforeAutospacing="0" w:after="0" w:afterAutospacing="0"/>
                    <w:jc w:val="center"/>
                    <w:outlineLvl w:val="0"/>
                    <w:rPr>
                      <w:rFonts w:hint="eastAsia"/>
                      <w:bCs/>
                      <w:sz w:val="21"/>
                      <w:szCs w:val="21"/>
                    </w:rPr>
                  </w:pPr>
                </w:p>
              </w:tc>
              <w:tc>
                <w:tcPr>
                  <w:tcW w:w="6956" w:type="dxa"/>
                  <w:gridSpan w:val="2"/>
                  <w:vAlign w:val="center"/>
                </w:tcPr>
                <w:p w14:paraId="520AAED8">
                  <w:pPr>
                    <w:pStyle w:val="16"/>
                    <w:spacing w:before="0" w:beforeAutospacing="0" w:after="0" w:afterAutospacing="0"/>
                    <w:jc w:val="both"/>
                    <w:outlineLvl w:val="0"/>
                    <w:rPr>
                      <w:rFonts w:ascii="Times New Roman" w:hAnsi="Times New Roman"/>
                      <w:sz w:val="21"/>
                      <w:szCs w:val="21"/>
                    </w:rPr>
                  </w:pPr>
                  <w:r>
                    <w:rPr>
                      <w:rFonts w:ascii="Times New Roman" w:hAnsi="Times New Roman"/>
                      <w:sz w:val="21"/>
                      <w:szCs w:val="18"/>
                    </w:rPr>
                    <w:t>6</w:t>
                  </w:r>
                  <w:r>
                    <w:rPr>
                      <w:rFonts w:hint="eastAsia" w:ascii="Times New Roman" w:hAnsi="Times New Roman"/>
                      <w:sz w:val="21"/>
                      <w:szCs w:val="18"/>
                    </w:rPr>
                    <w:t>.禁止在水产种质资源保护区内从事围湖造田、围海造地或围填海工程。禁止在水产种质资源保护区内新建排污口。在水产种质资源保护区附近新建、改建、扩建排污口，应当保证保护区水体不受污染</w:t>
                  </w:r>
                  <w:r>
                    <w:rPr>
                      <w:rFonts w:ascii="Times New Roman" w:hAnsi="Times New Roman"/>
                      <w:sz w:val="21"/>
                      <w:szCs w:val="18"/>
                    </w:rPr>
                    <w:t>。</w:t>
                  </w:r>
                </w:p>
              </w:tc>
              <w:tc>
                <w:tcPr>
                  <w:tcW w:w="3902" w:type="dxa"/>
                  <w:vAlign w:val="center"/>
                </w:tcPr>
                <w:p w14:paraId="520AAED9">
                  <w:pPr>
                    <w:pStyle w:val="16"/>
                    <w:spacing w:before="0" w:beforeAutospacing="0" w:after="0" w:afterAutospacing="0"/>
                    <w:jc w:val="both"/>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本项目选址位于新乡市牧野区建设中路168号（建设路厂区）和新乡市解放大道（中）1号（解放路厂区），不在水产种质资源保护区范围内。</w:t>
                  </w:r>
                </w:p>
              </w:tc>
              <w:tc>
                <w:tcPr>
                  <w:tcW w:w="531" w:type="dxa"/>
                  <w:vAlign w:val="center"/>
                </w:tcPr>
                <w:p w14:paraId="520AAEDA">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EE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EDC">
                  <w:pPr>
                    <w:pStyle w:val="16"/>
                    <w:spacing w:before="0" w:beforeAutospacing="0" w:after="0" w:afterAutospacing="0"/>
                    <w:jc w:val="center"/>
                    <w:outlineLvl w:val="0"/>
                    <w:rPr>
                      <w:rFonts w:hint="eastAsia"/>
                      <w:bCs/>
                      <w:sz w:val="21"/>
                      <w:szCs w:val="21"/>
                    </w:rPr>
                  </w:pPr>
                </w:p>
              </w:tc>
              <w:tc>
                <w:tcPr>
                  <w:tcW w:w="6956" w:type="dxa"/>
                  <w:gridSpan w:val="2"/>
                  <w:vAlign w:val="center"/>
                </w:tcPr>
                <w:p w14:paraId="520AAEDD">
                  <w:pPr>
                    <w:pStyle w:val="16"/>
                    <w:spacing w:before="0" w:beforeAutospacing="0" w:after="0" w:afterAutospacing="0"/>
                    <w:jc w:val="both"/>
                    <w:outlineLvl w:val="0"/>
                    <w:rPr>
                      <w:rFonts w:ascii="Times New Roman" w:hAnsi="Times New Roman"/>
                      <w:sz w:val="21"/>
                      <w:szCs w:val="21"/>
                    </w:rPr>
                  </w:pPr>
                  <w:r>
                    <w:rPr>
                      <w:rFonts w:ascii="Times New Roman" w:hAnsi="Times New Roman"/>
                      <w:sz w:val="21"/>
                      <w:szCs w:val="18"/>
                    </w:rPr>
                    <w:t>7.</w:t>
                  </w:r>
                  <w:r>
                    <w:rPr>
                      <w:rFonts w:hint="eastAsia" w:ascii="Times New Roman" w:hAnsi="Times New Roman"/>
                      <w:sz w:val="21"/>
                      <w:szCs w:val="18"/>
                    </w:rPr>
                    <w:t>共产主义渠、卫河、天然文岩渠等主要河道除涝标准达到3年一遇，防洪标准达到10-20年一遇，重点河段达到50-100年一遇设置堤防</w:t>
                  </w:r>
                  <w:r>
                    <w:rPr>
                      <w:rFonts w:ascii="Times New Roman" w:hAnsi="Times New Roman"/>
                      <w:sz w:val="21"/>
                      <w:szCs w:val="18"/>
                    </w:rPr>
                    <w:t>。</w:t>
                  </w:r>
                </w:p>
              </w:tc>
              <w:tc>
                <w:tcPr>
                  <w:tcW w:w="3902" w:type="dxa"/>
                  <w:vAlign w:val="center"/>
                </w:tcPr>
                <w:p w14:paraId="520AAEDE">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rPr>
                    <w:t>本项目不涉及。</w:t>
                  </w:r>
                </w:p>
              </w:tc>
              <w:tc>
                <w:tcPr>
                  <w:tcW w:w="531" w:type="dxa"/>
                  <w:vAlign w:val="center"/>
                </w:tcPr>
                <w:p w14:paraId="520AAEDF">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w:t>
                  </w:r>
                </w:p>
              </w:tc>
            </w:tr>
            <w:tr w14:paraId="520AAEE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EE1">
                  <w:pPr>
                    <w:pStyle w:val="16"/>
                    <w:spacing w:before="0" w:beforeAutospacing="0" w:after="0" w:afterAutospacing="0"/>
                    <w:jc w:val="center"/>
                    <w:outlineLvl w:val="0"/>
                    <w:rPr>
                      <w:rFonts w:hint="eastAsia"/>
                      <w:bCs/>
                      <w:sz w:val="21"/>
                      <w:szCs w:val="21"/>
                    </w:rPr>
                  </w:pPr>
                </w:p>
              </w:tc>
              <w:tc>
                <w:tcPr>
                  <w:tcW w:w="6956" w:type="dxa"/>
                  <w:gridSpan w:val="2"/>
                  <w:vAlign w:val="center"/>
                </w:tcPr>
                <w:p w14:paraId="520AAEE2">
                  <w:pPr>
                    <w:pStyle w:val="16"/>
                    <w:spacing w:before="0" w:beforeAutospacing="0" w:after="0" w:afterAutospacing="0"/>
                    <w:jc w:val="both"/>
                    <w:outlineLvl w:val="0"/>
                    <w:rPr>
                      <w:rFonts w:ascii="Times New Roman" w:hAnsi="Times New Roman"/>
                      <w:sz w:val="21"/>
                      <w:szCs w:val="21"/>
                    </w:rPr>
                  </w:pPr>
                  <w:r>
                    <w:rPr>
                      <w:rFonts w:ascii="Times New Roman" w:hAnsi="Times New Roman"/>
                      <w:sz w:val="21"/>
                      <w:szCs w:val="18"/>
                    </w:rPr>
                    <w:t>8</w:t>
                  </w:r>
                  <w:r>
                    <w:rPr>
                      <w:rFonts w:hint="eastAsia" w:ascii="Times New Roman" w:hAnsi="Times New Roman"/>
                      <w:sz w:val="21"/>
                      <w:szCs w:val="18"/>
                    </w:rPr>
                    <w:t>.南太行旅游度假区规划区范围内；新乡市山水林田湖草一体化生态城规划区范围内；按规定划定的自然保护区、景观区、居民集中生活区的周边和重要交通干线、河流湖泊直观可视范围内；特定生态保护红线范围内禁止新建露天矿山项目。禁止建设生产和使用高挥发性有机物含量的溶剂型涂料、油墨、胶粘剂等项目。按照“可替尽替、应代尽代”的原则，开展汽车制造、工业涂装、家具制造、包装印刷、钢结构制造、工程机械等行业溶剂型涂料、油墨、胶粘剂、清洗剂使用低VOCs含量原辅材料替代。禁止生产、销售不符合标准的机动车船、非道路移动机械用燃料；禁止向汽车和摩托车销售普通柴油以及其他非机动车用燃料；禁止向非道路移动机械销售渣油、重油和不符合规定的燃用油</w:t>
                  </w:r>
                  <w:r>
                    <w:rPr>
                      <w:rFonts w:ascii="Times New Roman" w:hAnsi="Times New Roman"/>
                      <w:sz w:val="21"/>
                      <w:szCs w:val="18"/>
                    </w:rPr>
                    <w:t>。</w:t>
                  </w:r>
                </w:p>
              </w:tc>
              <w:tc>
                <w:tcPr>
                  <w:tcW w:w="3902" w:type="dxa"/>
                  <w:vAlign w:val="center"/>
                </w:tcPr>
                <w:p w14:paraId="520AAEE3">
                  <w:pPr>
                    <w:pStyle w:val="16"/>
                    <w:spacing w:before="0" w:beforeAutospacing="0" w:after="0" w:afterAutospacing="0"/>
                    <w:jc w:val="both"/>
                    <w:outlineLvl w:val="0"/>
                    <w:rPr>
                      <w:rFonts w:ascii="Times New Roman" w:hAnsi="Times New Roman"/>
                      <w:snapToGrid w:val="0"/>
                      <w:sz w:val="21"/>
                      <w:szCs w:val="21"/>
                      <w:highlight w:val="yellow"/>
                      <w:lang w:val="en-US"/>
                    </w:rPr>
                  </w:pPr>
                  <w:r>
                    <w:rPr>
                      <w:rFonts w:hint="eastAsia" w:ascii="Times New Roman" w:hAnsi="Times New Roman"/>
                      <w:snapToGrid w:val="0"/>
                      <w:sz w:val="21"/>
                      <w:szCs w:val="21"/>
                      <w:lang w:val="en-US"/>
                    </w:rPr>
                    <w:t>本项目选址位于新乡市牧野区建设中路168号（建设路厂区）和新乡市解放大道（中）1号（解放路厂区）。本项目涉及VOCs原辅材料主要为15#航空液压油和滑油，液压油试验工序废气经“四面封闭+集气罩”收集后采用“干式过滤+活性炭吸脱附-催化燃烧装置”治理达标后排放。滑油试验工序废气经“四面封闭+集气罩”收集后采用“活性炭吸附/脱附-催化燃烧装置”治理达标后排放。硫化废气经集气罩收集后采用“活性炭吸附/脱附-催化燃烧装置”治理达标后排放。</w:t>
                  </w:r>
                </w:p>
              </w:tc>
              <w:tc>
                <w:tcPr>
                  <w:tcW w:w="531" w:type="dxa"/>
                  <w:vAlign w:val="center"/>
                </w:tcPr>
                <w:p w14:paraId="520AAEE4">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EE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EE6">
                  <w:pPr>
                    <w:pStyle w:val="16"/>
                    <w:spacing w:before="0" w:beforeAutospacing="0" w:after="0" w:afterAutospacing="0"/>
                    <w:jc w:val="center"/>
                    <w:outlineLvl w:val="0"/>
                    <w:rPr>
                      <w:rFonts w:hint="eastAsia"/>
                      <w:bCs/>
                      <w:sz w:val="21"/>
                      <w:szCs w:val="21"/>
                      <w:highlight w:val="yellow"/>
                    </w:rPr>
                  </w:pPr>
                </w:p>
              </w:tc>
              <w:tc>
                <w:tcPr>
                  <w:tcW w:w="6956" w:type="dxa"/>
                  <w:gridSpan w:val="2"/>
                  <w:vAlign w:val="center"/>
                </w:tcPr>
                <w:p w14:paraId="520AAEE7">
                  <w:pPr>
                    <w:pStyle w:val="16"/>
                    <w:spacing w:before="0" w:beforeAutospacing="0" w:after="0" w:afterAutospacing="0"/>
                    <w:jc w:val="both"/>
                    <w:outlineLvl w:val="0"/>
                    <w:rPr>
                      <w:rFonts w:ascii="Times New Roman" w:hAnsi="Times New Roman"/>
                      <w:sz w:val="21"/>
                      <w:szCs w:val="18"/>
                    </w:rPr>
                  </w:pPr>
                  <w:r>
                    <w:rPr>
                      <w:rFonts w:hint="eastAsia" w:ascii="Times New Roman" w:hAnsi="Times New Roman"/>
                      <w:sz w:val="21"/>
                      <w:szCs w:val="18"/>
                    </w:rPr>
                    <w:t>9</w:t>
                  </w:r>
                  <w:r>
                    <w:rPr>
                      <w:rFonts w:ascii="Times New Roman" w:hAnsi="Times New Roman"/>
                      <w:sz w:val="21"/>
                      <w:szCs w:val="18"/>
                    </w:rPr>
                    <w:t>.</w:t>
                  </w:r>
                  <w:r>
                    <w:rPr>
                      <w:rFonts w:hint="eastAsia" w:ascii="Times New Roman" w:hAnsi="Times New Roman"/>
                      <w:sz w:val="21"/>
                      <w:szCs w:val="18"/>
                    </w:rPr>
                    <w:t>严格控制新建、扩建钢铁冶炼、水泥、有色金属冶炼、平板玻璃、化工、建筑陶瓷、耐火材料、砖瓦、矿山开采等行业的高排放、高污染项目，促进传统煤化工、水泥行业绿色转型、智能升级。城市建成区内人口密集区、环境脆弱敏感区周边的钢铁冶炼、水泥、有色金属冶炼、平板玻璃、化工、建筑陶瓷、耐火材料、砖瓦、矿山开采等行业中的高排放、高污染项目，应当限期搬迁、升级改造或者转型、退出。新建、改建、扩建“两高”项目须符合生态环境保护法律法规和相关法定规划，满足重点污染物排放总量控制、碳排放达峰目标、生态环境准入清单、相关规划环评和相应行业建设项目环境准入条件、环评文件审批原则要求。新建“两高”项目应按照《生态环境部办公厅关于加强重点行业建设项目区域削减措施监督管理的通知》（环办环评〔2020〕36号）要求，制定配套区域污染物削减方案，环境质量超标区域实行重点污染物排放倍量削减，环境质量达标区域原则上实施等量削减。新建耗煤项目还应严格按规定采取煤炭消费减量替代措施，不得使用高污染燃料作为煤炭减量替代措施。原则上禁止新增钢铁、电解铝、水泥、平板玻璃、传统煤化工（甲醇、合成氨）、焦化、铝用炭素、砖瓦窑、耐火材料、铅锌冶炼（含再生铅）等行业产能。</w:t>
                  </w:r>
                </w:p>
              </w:tc>
              <w:tc>
                <w:tcPr>
                  <w:tcW w:w="3902" w:type="dxa"/>
                  <w:vAlign w:val="center"/>
                </w:tcPr>
                <w:p w14:paraId="520AAEE8">
                  <w:pPr>
                    <w:pStyle w:val="16"/>
                    <w:spacing w:before="0" w:beforeAutospacing="0" w:after="0" w:afterAutospacing="0"/>
                    <w:jc w:val="both"/>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本项目属于改建项目，不属于高排放、高污染项目。本项目属于航空、航天器及设备制造项目，不属于管控要求所列行业范畴。</w:t>
                  </w:r>
                </w:p>
              </w:tc>
              <w:tc>
                <w:tcPr>
                  <w:tcW w:w="531" w:type="dxa"/>
                  <w:vAlign w:val="center"/>
                </w:tcPr>
                <w:p w14:paraId="520AAEE9">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EE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EEB">
                  <w:pPr>
                    <w:pStyle w:val="16"/>
                    <w:spacing w:before="0" w:beforeAutospacing="0" w:after="0" w:afterAutospacing="0"/>
                    <w:jc w:val="center"/>
                    <w:outlineLvl w:val="0"/>
                    <w:rPr>
                      <w:rFonts w:hint="eastAsia"/>
                      <w:bCs/>
                      <w:sz w:val="21"/>
                      <w:szCs w:val="21"/>
                      <w:highlight w:val="yellow"/>
                    </w:rPr>
                  </w:pPr>
                </w:p>
              </w:tc>
              <w:tc>
                <w:tcPr>
                  <w:tcW w:w="6956" w:type="dxa"/>
                  <w:gridSpan w:val="2"/>
                  <w:vAlign w:val="center"/>
                </w:tcPr>
                <w:p w14:paraId="520AAEEC">
                  <w:pPr>
                    <w:pStyle w:val="16"/>
                    <w:spacing w:before="0" w:beforeAutospacing="0" w:after="0" w:afterAutospacing="0"/>
                    <w:jc w:val="both"/>
                    <w:outlineLvl w:val="0"/>
                    <w:rPr>
                      <w:rFonts w:ascii="Times New Roman" w:hAnsi="Times New Roman"/>
                      <w:sz w:val="21"/>
                      <w:szCs w:val="18"/>
                    </w:rPr>
                  </w:pPr>
                  <w:r>
                    <w:rPr>
                      <w:rFonts w:hint="eastAsia" w:ascii="Times New Roman" w:hAnsi="Times New Roman"/>
                      <w:sz w:val="21"/>
                      <w:szCs w:val="18"/>
                    </w:rPr>
                    <w:t>10.按照各园区建设发展规划，培育和建设关联企业高度集中的产业基地，积极推行区域、规划环境影响评价，对搬迁升级改造石化、化工、建材、有色等项目的环境影响评价，应满足区域、规划环评要求。鼓励支持水泥等重点行业进行产能置换、装备大型改造、重组整合。</w:t>
                  </w:r>
                </w:p>
              </w:tc>
              <w:tc>
                <w:tcPr>
                  <w:tcW w:w="3902" w:type="dxa"/>
                  <w:vAlign w:val="center"/>
                </w:tcPr>
                <w:p w14:paraId="520AAEED">
                  <w:pPr>
                    <w:pStyle w:val="16"/>
                    <w:spacing w:before="0" w:beforeAutospacing="0" w:after="0" w:afterAutospacing="0"/>
                    <w:jc w:val="both"/>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本项目属于航空、航天器及设备制造项目，不属于石化、化工、建材、有色等项目。</w:t>
                  </w:r>
                </w:p>
              </w:tc>
              <w:tc>
                <w:tcPr>
                  <w:tcW w:w="531" w:type="dxa"/>
                  <w:vAlign w:val="center"/>
                </w:tcPr>
                <w:p w14:paraId="520AAEEE">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EF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EF0">
                  <w:pPr>
                    <w:pStyle w:val="16"/>
                    <w:spacing w:before="0" w:beforeAutospacing="0" w:after="0" w:afterAutospacing="0"/>
                    <w:jc w:val="center"/>
                    <w:outlineLvl w:val="0"/>
                    <w:rPr>
                      <w:rFonts w:hint="eastAsia"/>
                      <w:bCs/>
                      <w:sz w:val="21"/>
                      <w:szCs w:val="21"/>
                      <w:highlight w:val="yellow"/>
                    </w:rPr>
                  </w:pPr>
                </w:p>
              </w:tc>
              <w:tc>
                <w:tcPr>
                  <w:tcW w:w="6956" w:type="dxa"/>
                  <w:gridSpan w:val="2"/>
                  <w:vAlign w:val="center"/>
                </w:tcPr>
                <w:p w14:paraId="520AAEF1">
                  <w:pPr>
                    <w:pStyle w:val="16"/>
                    <w:spacing w:before="0" w:beforeAutospacing="0" w:after="0" w:afterAutospacing="0"/>
                    <w:jc w:val="both"/>
                    <w:outlineLvl w:val="0"/>
                    <w:rPr>
                      <w:rFonts w:ascii="Times New Roman" w:hAnsi="Times New Roman"/>
                      <w:sz w:val="21"/>
                      <w:szCs w:val="18"/>
                    </w:rPr>
                  </w:pPr>
                  <w:r>
                    <w:rPr>
                      <w:rFonts w:hint="eastAsia" w:ascii="Times New Roman" w:hAnsi="Times New Roman"/>
                      <w:sz w:val="21"/>
                      <w:szCs w:val="18"/>
                    </w:rPr>
                    <w:t>11.化工园区选址布局应符合有关法律法规、政策规定、相关规划和行业管理或技术规范，满足国土空间规划和生态环境保护、安全生产、应急救援、资源利用、综合防灾减灾、交通运输等相关要求，原则上不再设立新的化工园区。</w:t>
                  </w:r>
                </w:p>
              </w:tc>
              <w:tc>
                <w:tcPr>
                  <w:tcW w:w="3902" w:type="dxa"/>
                  <w:vAlign w:val="center"/>
                </w:tcPr>
                <w:p w14:paraId="520AAEF2">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rPr>
                    <w:t>本项目不涉及。</w:t>
                  </w:r>
                </w:p>
              </w:tc>
              <w:tc>
                <w:tcPr>
                  <w:tcW w:w="531" w:type="dxa"/>
                  <w:vAlign w:val="center"/>
                </w:tcPr>
                <w:p w14:paraId="520AAEF3">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rPr>
                    <w:t>/</w:t>
                  </w:r>
                </w:p>
              </w:tc>
            </w:tr>
            <w:tr w14:paraId="520AAEF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EF5">
                  <w:pPr>
                    <w:pStyle w:val="16"/>
                    <w:spacing w:before="0" w:beforeAutospacing="0" w:after="0" w:afterAutospacing="0"/>
                    <w:jc w:val="center"/>
                    <w:outlineLvl w:val="0"/>
                    <w:rPr>
                      <w:rFonts w:hint="eastAsia"/>
                      <w:bCs/>
                      <w:sz w:val="21"/>
                      <w:szCs w:val="21"/>
                      <w:highlight w:val="yellow"/>
                    </w:rPr>
                  </w:pPr>
                </w:p>
              </w:tc>
              <w:tc>
                <w:tcPr>
                  <w:tcW w:w="6956" w:type="dxa"/>
                  <w:gridSpan w:val="2"/>
                  <w:vAlign w:val="center"/>
                </w:tcPr>
                <w:p w14:paraId="520AAEF6">
                  <w:pPr>
                    <w:pStyle w:val="16"/>
                    <w:spacing w:before="0" w:beforeAutospacing="0" w:after="0" w:afterAutospacing="0"/>
                    <w:jc w:val="both"/>
                    <w:outlineLvl w:val="0"/>
                    <w:rPr>
                      <w:rFonts w:ascii="Times New Roman" w:hAnsi="Times New Roman"/>
                      <w:sz w:val="21"/>
                      <w:szCs w:val="18"/>
                    </w:rPr>
                  </w:pPr>
                  <w:r>
                    <w:rPr>
                      <w:rFonts w:hint="eastAsia" w:ascii="Times New Roman" w:hAnsi="Times New Roman"/>
                      <w:sz w:val="21"/>
                      <w:szCs w:val="18"/>
                    </w:rPr>
                    <w:t>12.推动我市沿黄重点地区拟建工业项目转入合规工业园区，严格控制高污染、高耗水、高耗能项目。</w:t>
                  </w:r>
                </w:p>
              </w:tc>
              <w:tc>
                <w:tcPr>
                  <w:tcW w:w="3902" w:type="dxa"/>
                  <w:vAlign w:val="center"/>
                </w:tcPr>
                <w:p w14:paraId="520AAEF7">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rPr>
                    <w:t>本项目不涉及。</w:t>
                  </w:r>
                </w:p>
              </w:tc>
              <w:tc>
                <w:tcPr>
                  <w:tcW w:w="531" w:type="dxa"/>
                  <w:vAlign w:val="center"/>
                </w:tcPr>
                <w:p w14:paraId="520AAEF8">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rPr>
                    <w:t>/</w:t>
                  </w:r>
                </w:p>
              </w:tc>
            </w:tr>
            <w:tr w14:paraId="520AAEF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restart"/>
                  <w:vAlign w:val="center"/>
                </w:tcPr>
                <w:p w14:paraId="520AAEFA">
                  <w:pPr>
                    <w:pStyle w:val="16"/>
                    <w:spacing w:before="0" w:beforeAutospacing="0" w:after="0" w:afterAutospacing="0"/>
                    <w:jc w:val="center"/>
                    <w:outlineLvl w:val="0"/>
                    <w:rPr>
                      <w:rFonts w:ascii="Times New Roman" w:hAnsi="Times New Roman"/>
                      <w:snapToGrid w:val="0"/>
                      <w:sz w:val="21"/>
                      <w:szCs w:val="21"/>
                      <w:lang w:val="en-US"/>
                    </w:rPr>
                  </w:pPr>
                  <w:r>
                    <w:rPr>
                      <w:rFonts w:hint="eastAsia"/>
                      <w:bCs/>
                      <w:sz w:val="21"/>
                      <w:szCs w:val="21"/>
                    </w:rPr>
                    <w:t>污染物排放管控</w:t>
                  </w:r>
                </w:p>
              </w:tc>
              <w:tc>
                <w:tcPr>
                  <w:tcW w:w="6956" w:type="dxa"/>
                  <w:gridSpan w:val="2"/>
                  <w:vAlign w:val="center"/>
                </w:tcPr>
                <w:p w14:paraId="520AAEFB">
                  <w:pPr>
                    <w:pStyle w:val="16"/>
                    <w:jc w:val="both"/>
                    <w:outlineLvl w:val="0"/>
                    <w:rPr>
                      <w:rFonts w:ascii="Times New Roman" w:hAnsi="Times New Roman"/>
                      <w:snapToGrid w:val="0"/>
                      <w:sz w:val="21"/>
                      <w:szCs w:val="21"/>
                      <w:lang w:val="en-US"/>
                    </w:rPr>
                  </w:pPr>
                  <w:r>
                    <w:rPr>
                      <w:rFonts w:ascii="Times New Roman" w:hAnsi="Times New Roman"/>
                      <w:sz w:val="21"/>
                      <w:szCs w:val="21"/>
                    </w:rPr>
                    <w:t>1.</w:t>
                  </w:r>
                  <w:r>
                    <w:rPr>
                      <w:rFonts w:hint="eastAsia" w:ascii="Times New Roman" w:hAnsi="Times New Roman"/>
                      <w:sz w:val="21"/>
                      <w:szCs w:val="21"/>
                    </w:rPr>
                    <w:t>新、改、扩建项目主要污染物排放要求满足当地总量减排要求。</w:t>
                  </w:r>
                </w:p>
              </w:tc>
              <w:tc>
                <w:tcPr>
                  <w:tcW w:w="3902" w:type="dxa"/>
                  <w:vAlign w:val="center"/>
                </w:tcPr>
                <w:p w14:paraId="520AAEFC">
                  <w:pPr>
                    <w:pStyle w:val="16"/>
                    <w:spacing w:before="0" w:beforeAutospacing="0" w:after="0" w:afterAutospacing="0"/>
                    <w:jc w:val="both"/>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本项目为改建项目，新增污染物排放实施区域总量替代，排放满足当地总量减排要求。</w:t>
                  </w:r>
                </w:p>
              </w:tc>
              <w:tc>
                <w:tcPr>
                  <w:tcW w:w="531" w:type="dxa"/>
                  <w:vAlign w:val="center"/>
                </w:tcPr>
                <w:p w14:paraId="520AAEFD">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0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EFF">
                  <w:pPr>
                    <w:pStyle w:val="16"/>
                    <w:spacing w:before="0" w:beforeAutospacing="0" w:after="0" w:afterAutospacing="0"/>
                    <w:jc w:val="center"/>
                    <w:outlineLvl w:val="0"/>
                    <w:rPr>
                      <w:rFonts w:hint="eastAsia"/>
                      <w:bCs/>
                      <w:sz w:val="21"/>
                      <w:szCs w:val="21"/>
                      <w:highlight w:val="yellow"/>
                    </w:rPr>
                  </w:pPr>
                </w:p>
              </w:tc>
              <w:tc>
                <w:tcPr>
                  <w:tcW w:w="6956" w:type="dxa"/>
                  <w:gridSpan w:val="2"/>
                  <w:vAlign w:val="center"/>
                </w:tcPr>
                <w:p w14:paraId="520AAF00">
                  <w:pPr>
                    <w:pStyle w:val="16"/>
                    <w:jc w:val="both"/>
                    <w:outlineLvl w:val="0"/>
                    <w:rPr>
                      <w:rFonts w:ascii="Times New Roman" w:hAnsi="Times New Roman"/>
                      <w:sz w:val="21"/>
                      <w:szCs w:val="21"/>
                    </w:rPr>
                  </w:pPr>
                  <w:r>
                    <w:rPr>
                      <w:rFonts w:hint="eastAsia" w:ascii="Times New Roman" w:hAnsi="Times New Roman"/>
                      <w:sz w:val="21"/>
                      <w:szCs w:val="21"/>
                    </w:rPr>
                    <w:t>4.严控新增重金属污染物排放量，在重有色金属冶炼业（铜、铅锌、镍、钴、锡、锑和汞冶炼等）、铅蓄电池制造业、皮革及其制品业（皮革鞣制加工等）、化学原料及化学制品制造业（电石法聚氯乙烯行业、铬盐行业等）、电镀行业等重点行业实施重点重金属减量替代。新、改、扩建涉重金属重点行业建设项目应遵循重点重金属污染物排放“减量替代”原则，应符合《新乡市“十四五”重金属污染防控工作方案》相关要求。</w:t>
                  </w:r>
                </w:p>
              </w:tc>
              <w:tc>
                <w:tcPr>
                  <w:tcW w:w="3902" w:type="dxa"/>
                  <w:vAlign w:val="center"/>
                </w:tcPr>
                <w:p w14:paraId="520AAF01">
                  <w:pPr>
                    <w:pStyle w:val="16"/>
                    <w:spacing w:before="0" w:beforeAutospacing="0" w:after="0" w:afterAutospacing="0"/>
                    <w:jc w:val="both"/>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本项目属于航空、航天器及设备制造项目，为改建项目，不涉及重金属污染物排放。</w:t>
                  </w:r>
                </w:p>
              </w:tc>
              <w:tc>
                <w:tcPr>
                  <w:tcW w:w="531" w:type="dxa"/>
                  <w:vAlign w:val="center"/>
                </w:tcPr>
                <w:p w14:paraId="520AAF02">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0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F04">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6956" w:type="dxa"/>
                  <w:gridSpan w:val="2"/>
                  <w:vAlign w:val="center"/>
                </w:tcPr>
                <w:p w14:paraId="520AAF05">
                  <w:pPr>
                    <w:pStyle w:val="16"/>
                    <w:jc w:val="both"/>
                    <w:outlineLvl w:val="0"/>
                    <w:rPr>
                      <w:rFonts w:ascii="Times New Roman" w:hAnsi="Times New Roman"/>
                      <w:snapToGrid w:val="0"/>
                      <w:sz w:val="21"/>
                      <w:szCs w:val="21"/>
                      <w:lang w:val="en-US"/>
                    </w:rPr>
                  </w:pPr>
                  <w:r>
                    <w:rPr>
                      <w:rFonts w:hint="eastAsia" w:ascii="Times New Roman" w:hAnsi="Times New Roman"/>
                      <w:sz w:val="21"/>
                      <w:szCs w:val="21"/>
                    </w:rPr>
                    <w:t>8.国家、省绩效分级重点行业以及涉及锅炉炉窑的其他行业，新建、扩建项目污染物排放限值、污染治理措施、无组织排放控制水平、运输方式等达到A级绩效水平，改建项目污染物排放限值、污染治理措施、无组织排放控制水平、运输方式等达到B级以上绩效水平。</w:t>
                  </w:r>
                </w:p>
              </w:tc>
              <w:tc>
                <w:tcPr>
                  <w:tcW w:w="3902" w:type="dxa"/>
                  <w:vAlign w:val="center"/>
                </w:tcPr>
                <w:p w14:paraId="520AAF06">
                  <w:pPr>
                    <w:pStyle w:val="16"/>
                    <w:spacing w:before="0" w:beforeAutospacing="0" w:after="0" w:afterAutospacing="0"/>
                    <w:jc w:val="both"/>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本项目为改建项目，属于航空、航天器及设备制造项目，不属于“两高”项目，将严格按照《河南省重污染天气通用行业应急减排措施制定技术指南》</w:t>
                  </w:r>
                  <w:r>
                    <w:rPr>
                      <w:rFonts w:hint="eastAsia" w:ascii="Times New Roman" w:hAnsi="Times New Roman"/>
                      <w:bCs/>
                      <w:snapToGrid w:val="0"/>
                      <w:sz w:val="21"/>
                      <w:szCs w:val="21"/>
                      <w:lang w:val="en-US"/>
                    </w:rPr>
                    <w:t>（2024年修订版）</w:t>
                  </w:r>
                  <w:r>
                    <w:rPr>
                      <w:rFonts w:hint="eastAsia" w:ascii="Times New Roman" w:hAnsi="Times New Roman"/>
                      <w:snapToGrid w:val="0"/>
                      <w:sz w:val="21"/>
                      <w:szCs w:val="21"/>
                      <w:lang w:val="en-US"/>
                    </w:rPr>
                    <w:t>中涉VOCs企业和</w:t>
                  </w:r>
                  <w:r>
                    <w:rPr>
                      <w:rFonts w:ascii="Times New Roman" w:hAnsi="Times New Roman"/>
                      <w:snapToGrid w:val="0"/>
                      <w:sz w:val="21"/>
                      <w:szCs w:val="21"/>
                      <w:lang w:val="en-US"/>
                    </w:rPr>
                    <w:t>《</w:t>
                  </w:r>
                  <w:r>
                    <w:rPr>
                      <w:rFonts w:hint="eastAsia" w:ascii="Times New Roman" w:hAnsi="Times New Roman"/>
                      <w:snapToGrid w:val="0"/>
                      <w:sz w:val="21"/>
                      <w:szCs w:val="21"/>
                      <w:lang w:val="en-US"/>
                    </w:rPr>
                    <w:t>重污染天气重点行业应急减排措施制度技术指南</w:t>
                  </w:r>
                  <w:r>
                    <w:rPr>
                      <w:rFonts w:ascii="Times New Roman" w:hAnsi="Times New Roman"/>
                      <w:snapToGrid w:val="0"/>
                      <w:sz w:val="21"/>
                      <w:szCs w:val="21"/>
                      <w:lang w:val="en-US"/>
                    </w:rPr>
                    <w:t>》</w:t>
                  </w:r>
                  <w:r>
                    <w:rPr>
                      <w:rFonts w:hint="eastAsia" w:ascii="Times New Roman" w:hAnsi="Times New Roman"/>
                      <w:snapToGrid w:val="0"/>
                      <w:sz w:val="21"/>
                      <w:szCs w:val="21"/>
                      <w:lang w:val="en-US"/>
                    </w:rPr>
                    <w:t>（2020</w:t>
                  </w:r>
                  <w:r>
                    <w:rPr>
                      <w:rFonts w:ascii="Times New Roman" w:hAnsi="Times New Roman"/>
                      <w:snapToGrid w:val="0"/>
                      <w:sz w:val="21"/>
                      <w:szCs w:val="21"/>
                      <w:lang w:val="en-US"/>
                    </w:rPr>
                    <w:t>年修订版</w:t>
                  </w:r>
                  <w:r>
                    <w:rPr>
                      <w:rFonts w:hint="eastAsia" w:ascii="Times New Roman" w:hAnsi="Times New Roman"/>
                      <w:snapToGrid w:val="0"/>
                      <w:sz w:val="21"/>
                      <w:szCs w:val="21"/>
                      <w:lang w:val="en-US"/>
                    </w:rPr>
                    <w:t>）中橡胶制品行业的相关要求进行建设。</w:t>
                  </w:r>
                </w:p>
              </w:tc>
              <w:tc>
                <w:tcPr>
                  <w:tcW w:w="531" w:type="dxa"/>
                  <w:vAlign w:val="center"/>
                </w:tcPr>
                <w:p w14:paraId="520AAF07">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0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restart"/>
                  <w:vAlign w:val="center"/>
                </w:tcPr>
                <w:p w14:paraId="520AAF09">
                  <w:pPr>
                    <w:pStyle w:val="16"/>
                    <w:spacing w:before="0" w:beforeAutospacing="0" w:after="0" w:afterAutospacing="0"/>
                    <w:jc w:val="center"/>
                    <w:outlineLvl w:val="0"/>
                    <w:rPr>
                      <w:rFonts w:ascii="Times New Roman" w:hAnsi="Times New Roman"/>
                      <w:snapToGrid w:val="0"/>
                      <w:sz w:val="21"/>
                      <w:szCs w:val="21"/>
                      <w:highlight w:val="yellow"/>
                      <w:lang w:val="en-US"/>
                    </w:rPr>
                  </w:pPr>
                  <w:r>
                    <w:rPr>
                      <w:rFonts w:hint="eastAsia" w:ascii="Times New Roman" w:hAnsi="Times New Roman"/>
                      <w:snapToGrid w:val="0"/>
                      <w:sz w:val="21"/>
                      <w:szCs w:val="21"/>
                      <w:lang w:val="en-US"/>
                    </w:rPr>
                    <w:t>环境风险防控</w:t>
                  </w:r>
                </w:p>
              </w:tc>
              <w:tc>
                <w:tcPr>
                  <w:tcW w:w="6956" w:type="dxa"/>
                  <w:gridSpan w:val="2"/>
                  <w:vAlign w:val="center"/>
                </w:tcPr>
                <w:p w14:paraId="520AAF0A">
                  <w:pPr>
                    <w:pStyle w:val="16"/>
                    <w:jc w:val="both"/>
                    <w:outlineLvl w:val="0"/>
                    <w:rPr>
                      <w:rFonts w:ascii="Times New Roman" w:hAnsi="Times New Roman"/>
                      <w:sz w:val="21"/>
                      <w:szCs w:val="21"/>
                    </w:rPr>
                  </w:pPr>
                  <w:r>
                    <w:rPr>
                      <w:rFonts w:hint="eastAsia" w:ascii="Times New Roman" w:hAnsi="Times New Roman"/>
                      <w:sz w:val="21"/>
                      <w:szCs w:val="21"/>
                    </w:rPr>
                    <w:t>1.地下水漏斗区、重金属污染区、生态严重退化区等区域：探索开展耕地轮作休耕试点；实行休耕补贴，引导农民自愿将重度污染耕地退出农业生产。</w:t>
                  </w:r>
                </w:p>
              </w:tc>
              <w:tc>
                <w:tcPr>
                  <w:tcW w:w="3902" w:type="dxa"/>
                  <w:vAlign w:val="center"/>
                </w:tcPr>
                <w:p w14:paraId="520AAF0B">
                  <w:pPr>
                    <w:pStyle w:val="16"/>
                    <w:spacing w:before="0" w:beforeAutospacing="0" w:after="0" w:afterAutospacing="0"/>
                    <w:jc w:val="both"/>
                    <w:outlineLvl w:val="0"/>
                    <w:rPr>
                      <w:rFonts w:ascii="Times New Roman" w:hAnsi="Times New Roman"/>
                      <w:snapToGrid w:val="0"/>
                      <w:sz w:val="21"/>
                      <w:szCs w:val="21"/>
                      <w:highlight w:val="yellow"/>
                      <w:lang w:val="en-US"/>
                    </w:rPr>
                  </w:pPr>
                  <w:r>
                    <w:rPr>
                      <w:rFonts w:hint="eastAsia" w:ascii="Times New Roman" w:hAnsi="Times New Roman"/>
                      <w:snapToGrid w:val="0"/>
                      <w:sz w:val="21"/>
                      <w:szCs w:val="21"/>
                      <w:lang w:val="en-US"/>
                    </w:rPr>
                    <w:t>本项目选址位于新乡市牧野区建设中路168号（建设路厂区）和新乡市解放大道（中）1号（解放路厂区），不属于地下水漏斗区、重金属污染区、生态严重退化区等区域。</w:t>
                  </w:r>
                </w:p>
              </w:tc>
              <w:tc>
                <w:tcPr>
                  <w:tcW w:w="531" w:type="dxa"/>
                  <w:vAlign w:val="center"/>
                </w:tcPr>
                <w:p w14:paraId="520AAF0C">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1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F0E">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6956" w:type="dxa"/>
                  <w:gridSpan w:val="2"/>
                  <w:vAlign w:val="center"/>
                </w:tcPr>
                <w:p w14:paraId="520AAF0F">
                  <w:pPr>
                    <w:pStyle w:val="16"/>
                    <w:jc w:val="both"/>
                    <w:outlineLvl w:val="0"/>
                    <w:rPr>
                      <w:rFonts w:ascii="Times New Roman" w:hAnsi="Times New Roman"/>
                      <w:sz w:val="21"/>
                      <w:szCs w:val="21"/>
                    </w:rPr>
                  </w:pPr>
                  <w:r>
                    <w:rPr>
                      <w:rFonts w:hint="eastAsia" w:ascii="Times New Roman" w:hAnsi="Times New Roman"/>
                      <w:sz w:val="21"/>
                      <w:szCs w:val="21"/>
                    </w:rPr>
                    <w:t>2.具备饮用水水源保护区及影响范围内风险源名录和风险防控方案、饮用水水源地突发环境事件应急处置技术方案及应急专家库、应急监测能力。定期或不定期开展饮用水水源地周边环境安全隐患排查及饮用水水源地环境风险评估。饮用水水源地有专项应急预案，做到“一源一案”，按照环境保护主管部门要求备案并制定演练和修订预案。饮用水水源地周边高风险区域设有应急物资（装备）储备库及事故应急池等应急防护工程，上游连接水体设有节制闸、拦污坝、导流渠、调水沟渠等防护工程设施。</w:t>
                  </w:r>
                </w:p>
              </w:tc>
              <w:tc>
                <w:tcPr>
                  <w:tcW w:w="3902" w:type="dxa"/>
                  <w:vAlign w:val="center"/>
                </w:tcPr>
                <w:p w14:paraId="520AAF10">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rPr>
                    <w:t>本项目不涉及。</w:t>
                  </w:r>
                </w:p>
              </w:tc>
              <w:tc>
                <w:tcPr>
                  <w:tcW w:w="531" w:type="dxa"/>
                  <w:vAlign w:val="center"/>
                </w:tcPr>
                <w:p w14:paraId="520AAF11">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rPr>
                    <w:t>/</w:t>
                  </w:r>
                </w:p>
              </w:tc>
            </w:tr>
            <w:tr w14:paraId="520AAF1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restart"/>
                  <w:vAlign w:val="center"/>
                </w:tcPr>
                <w:p w14:paraId="520AAF13">
                  <w:pPr>
                    <w:pStyle w:val="16"/>
                    <w:spacing w:before="0" w:beforeAutospacing="0" w:after="0" w:afterAutospacing="0"/>
                    <w:jc w:val="center"/>
                    <w:outlineLvl w:val="0"/>
                    <w:rPr>
                      <w:rFonts w:ascii="Times New Roman" w:hAnsi="Times New Roman"/>
                      <w:snapToGrid w:val="0"/>
                      <w:sz w:val="21"/>
                      <w:szCs w:val="21"/>
                      <w:lang w:val="en-US"/>
                    </w:rPr>
                  </w:pPr>
                  <w:r>
                    <w:rPr>
                      <w:rFonts w:hint="eastAsia"/>
                      <w:bCs/>
                      <w:sz w:val="21"/>
                      <w:szCs w:val="21"/>
                    </w:rPr>
                    <w:t>资源开发效率要求</w:t>
                  </w:r>
                </w:p>
              </w:tc>
              <w:tc>
                <w:tcPr>
                  <w:tcW w:w="6956" w:type="dxa"/>
                  <w:gridSpan w:val="2"/>
                  <w:vAlign w:val="center"/>
                </w:tcPr>
                <w:p w14:paraId="520AAF14">
                  <w:pPr>
                    <w:pStyle w:val="16"/>
                    <w:jc w:val="both"/>
                    <w:outlineLvl w:val="0"/>
                    <w:rPr>
                      <w:rFonts w:ascii="Times New Roman" w:hAnsi="Times New Roman"/>
                      <w:snapToGrid w:val="0"/>
                      <w:sz w:val="21"/>
                      <w:szCs w:val="21"/>
                      <w:lang w:val="en-US"/>
                    </w:rPr>
                  </w:pPr>
                  <w:r>
                    <w:rPr>
                      <w:rFonts w:hint="eastAsia" w:ascii="Times New Roman" w:hAnsi="Times New Roman"/>
                      <w:snapToGrid w:val="0"/>
                      <w:sz w:val="21"/>
                      <w:szCs w:val="21"/>
                    </w:rPr>
                    <w:t>1.“十四五”期间按照政府目标控制能耗增量指标。严控新增耗煤项目，新、改、扩建项目实施煤炭减量替代，重点削减非电力用煤。鼓励使用清洁燃料，重点区域建设项目原则上不新建燃煤自备锅炉。2023年底，全面淘汰35蒸吨/小时及以下的燃煤锅炉，鼓励淘汰4蒸吨/小时以下生物质锅炉，保留现有生物质锅炉应采用专用炉具，禁止掺烧煤炭、垃圾、工业固体废物等其他物料。</w:t>
                  </w:r>
                </w:p>
              </w:tc>
              <w:tc>
                <w:tcPr>
                  <w:tcW w:w="3902" w:type="dxa"/>
                  <w:vAlign w:val="center"/>
                </w:tcPr>
                <w:p w14:paraId="520AAF15">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rPr>
                    <w:t>本项目能源使用电，不涉及锅炉建设。</w:t>
                  </w:r>
                </w:p>
              </w:tc>
              <w:tc>
                <w:tcPr>
                  <w:tcW w:w="531" w:type="dxa"/>
                  <w:vAlign w:val="center"/>
                </w:tcPr>
                <w:p w14:paraId="520AAF16">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1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F18">
                  <w:pPr>
                    <w:pStyle w:val="16"/>
                    <w:spacing w:before="0" w:beforeAutospacing="0" w:after="0" w:afterAutospacing="0"/>
                    <w:jc w:val="center"/>
                    <w:outlineLvl w:val="0"/>
                    <w:rPr>
                      <w:rFonts w:hint="eastAsia"/>
                      <w:bCs/>
                      <w:sz w:val="21"/>
                      <w:szCs w:val="21"/>
                    </w:rPr>
                  </w:pPr>
                </w:p>
              </w:tc>
              <w:tc>
                <w:tcPr>
                  <w:tcW w:w="6956" w:type="dxa"/>
                  <w:gridSpan w:val="2"/>
                  <w:vAlign w:val="center"/>
                </w:tcPr>
                <w:p w14:paraId="520AAF19">
                  <w:pPr>
                    <w:pStyle w:val="16"/>
                    <w:jc w:val="both"/>
                    <w:outlineLvl w:val="0"/>
                    <w:rPr>
                      <w:rFonts w:ascii="Times New Roman" w:hAnsi="Times New Roman"/>
                      <w:sz w:val="21"/>
                      <w:szCs w:val="21"/>
                    </w:rPr>
                  </w:pPr>
                  <w:r>
                    <w:rPr>
                      <w:rFonts w:ascii="Times New Roman" w:hAnsi="Times New Roman"/>
                      <w:sz w:val="21"/>
                      <w:szCs w:val="21"/>
                    </w:rPr>
                    <w:t>3.</w:t>
                  </w:r>
                  <w:r>
                    <w:rPr>
                      <w:rFonts w:hint="eastAsia" w:ascii="Times New Roman" w:hAnsi="Times New Roman"/>
                      <w:sz w:val="21"/>
                      <w:szCs w:val="21"/>
                    </w:rPr>
                    <w:t>开展高耗水工业行业节水技术改造，大力推广工业水循环利用，推进节水型企业、节水型工业园区建设。</w:t>
                  </w:r>
                </w:p>
              </w:tc>
              <w:tc>
                <w:tcPr>
                  <w:tcW w:w="3902" w:type="dxa"/>
                  <w:vAlign w:val="center"/>
                </w:tcPr>
                <w:p w14:paraId="520AAF1A">
                  <w:pPr>
                    <w:pStyle w:val="16"/>
                    <w:spacing w:before="0" w:beforeAutospacing="0" w:after="0" w:afterAutospacing="0"/>
                    <w:jc w:val="both"/>
                    <w:outlineLvl w:val="0"/>
                    <w:rPr>
                      <w:rFonts w:ascii="Times New Roman" w:hAnsi="Times New Roman"/>
                      <w:snapToGrid w:val="0"/>
                      <w:sz w:val="21"/>
                      <w:szCs w:val="21"/>
                      <w:lang w:val="en-US"/>
                    </w:rPr>
                  </w:pPr>
                  <w:r>
                    <w:rPr>
                      <w:rFonts w:hint="eastAsia" w:ascii="Times New Roman" w:hAnsi="Times New Roman"/>
                      <w:snapToGrid w:val="0"/>
                      <w:sz w:val="21"/>
                      <w:szCs w:val="21"/>
                    </w:rPr>
                    <w:t>本项目</w:t>
                  </w:r>
                  <w:r>
                    <w:rPr>
                      <w:rFonts w:hint="eastAsia" w:ascii="Times New Roman" w:hAnsi="Times New Roman"/>
                      <w:snapToGrid w:val="0"/>
                      <w:sz w:val="21"/>
                      <w:szCs w:val="21"/>
                      <w:lang w:val="en-US"/>
                    </w:rPr>
                    <w:t>为改建项目</w:t>
                  </w:r>
                  <w:r>
                    <w:rPr>
                      <w:rFonts w:hint="eastAsia" w:ascii="Times New Roman" w:hAnsi="Times New Roman"/>
                      <w:snapToGrid w:val="0"/>
                      <w:sz w:val="21"/>
                      <w:szCs w:val="21"/>
                    </w:rPr>
                    <w:t>，属于航空、航天器及设备制造项目，不属于高耗水工业行业。</w:t>
                  </w:r>
                </w:p>
              </w:tc>
              <w:tc>
                <w:tcPr>
                  <w:tcW w:w="531" w:type="dxa"/>
                  <w:vAlign w:val="center"/>
                </w:tcPr>
                <w:p w14:paraId="520AAF1B">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2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21" w:type="dxa"/>
                  <w:gridSpan w:val="3"/>
                  <w:vMerge w:val="continue"/>
                  <w:vAlign w:val="center"/>
                </w:tcPr>
                <w:p w14:paraId="520AAF1D">
                  <w:pPr>
                    <w:pStyle w:val="16"/>
                    <w:spacing w:before="0" w:beforeAutospacing="0" w:after="0" w:afterAutospacing="0"/>
                    <w:jc w:val="center"/>
                    <w:outlineLvl w:val="0"/>
                    <w:rPr>
                      <w:rFonts w:hint="eastAsia"/>
                      <w:bCs/>
                      <w:sz w:val="21"/>
                      <w:szCs w:val="21"/>
                      <w:highlight w:val="yellow"/>
                    </w:rPr>
                  </w:pPr>
                </w:p>
              </w:tc>
              <w:tc>
                <w:tcPr>
                  <w:tcW w:w="6956" w:type="dxa"/>
                  <w:gridSpan w:val="2"/>
                  <w:vAlign w:val="center"/>
                </w:tcPr>
                <w:p w14:paraId="520AAF1E">
                  <w:pPr>
                    <w:pStyle w:val="16"/>
                    <w:jc w:val="both"/>
                    <w:outlineLvl w:val="0"/>
                    <w:rPr>
                      <w:rFonts w:ascii="Times New Roman" w:hAnsi="Times New Roman"/>
                      <w:sz w:val="21"/>
                      <w:szCs w:val="21"/>
                    </w:rPr>
                  </w:pPr>
                  <w:r>
                    <w:rPr>
                      <w:rFonts w:hint="eastAsia" w:ascii="Times New Roman" w:hAnsi="Times New Roman"/>
                      <w:sz w:val="21"/>
                      <w:szCs w:val="21"/>
                    </w:rPr>
                    <w:t>4.按照合理有序使用地表水、控制使用地下水、积极利用非常规水源的要求，做好区域水资源统筹调配，逐步降低区域内的水资源开发利用强度，退减被挤占的生态用水，2030年全市浅层地下水开采控制在57390万立方米。</w:t>
                  </w:r>
                </w:p>
              </w:tc>
              <w:tc>
                <w:tcPr>
                  <w:tcW w:w="3902" w:type="dxa"/>
                  <w:vAlign w:val="center"/>
                </w:tcPr>
                <w:p w14:paraId="520AAF1F">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rPr>
                    <w:t>本项目用水由市政统一提供。</w:t>
                  </w:r>
                </w:p>
              </w:tc>
              <w:tc>
                <w:tcPr>
                  <w:tcW w:w="531" w:type="dxa"/>
                  <w:vAlign w:val="center"/>
                </w:tcPr>
                <w:p w14:paraId="520AAF20">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2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210" w:type="dxa"/>
                  <w:gridSpan w:val="7"/>
                  <w:vAlign w:val="center"/>
                </w:tcPr>
                <w:p w14:paraId="520AAF22">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b/>
                      <w:bCs/>
                      <w:snapToGrid w:val="0"/>
                      <w:sz w:val="21"/>
                      <w:szCs w:val="21"/>
                    </w:rPr>
                    <w:t>新乡市各县区分区管控单元生态环境准入清单（牧野区城镇重点单元）</w:t>
                  </w:r>
                </w:p>
              </w:tc>
            </w:tr>
            <w:tr w14:paraId="520AAF2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0" w:type="dxa"/>
                  <w:vAlign w:val="center"/>
                </w:tcPr>
                <w:p w14:paraId="520AAF24">
                  <w:pPr>
                    <w:pStyle w:val="16"/>
                    <w:spacing w:before="0" w:after="0"/>
                    <w:jc w:val="center"/>
                    <w:outlineLvl w:val="0"/>
                    <w:rPr>
                      <w:rFonts w:ascii="Times New Roman" w:hAnsi="Times New Roman"/>
                      <w:snapToGrid w:val="0"/>
                      <w:sz w:val="21"/>
                      <w:szCs w:val="21"/>
                      <w:lang w:val="en-US"/>
                    </w:rPr>
                  </w:pPr>
                  <w:r>
                    <w:rPr>
                      <w:rFonts w:ascii="Times New Roman" w:hAnsi="Times New Roman"/>
                      <w:b/>
                      <w:snapToGrid w:val="0"/>
                      <w:sz w:val="21"/>
                      <w:szCs w:val="21"/>
                      <w:lang w:val="en-US"/>
                    </w:rPr>
                    <w:t>行政区划</w:t>
                  </w:r>
                </w:p>
              </w:tc>
              <w:tc>
                <w:tcPr>
                  <w:tcW w:w="700" w:type="dxa"/>
                  <w:vAlign w:val="center"/>
                </w:tcPr>
                <w:p w14:paraId="520AAF25">
                  <w:pPr>
                    <w:pStyle w:val="16"/>
                    <w:spacing w:before="0" w:beforeAutospacing="0" w:after="0" w:afterAutospacing="0"/>
                    <w:jc w:val="center"/>
                    <w:outlineLvl w:val="0"/>
                    <w:rPr>
                      <w:rFonts w:ascii="Times New Roman" w:hAnsi="Times New Roman"/>
                      <w:snapToGrid w:val="0"/>
                      <w:sz w:val="21"/>
                      <w:szCs w:val="21"/>
                      <w:lang w:val="en-US"/>
                    </w:rPr>
                  </w:pPr>
                  <w:r>
                    <w:rPr>
                      <w:rFonts w:ascii="Times New Roman" w:hAnsi="Times New Roman"/>
                      <w:b/>
                      <w:snapToGrid w:val="0"/>
                      <w:sz w:val="21"/>
                      <w:szCs w:val="21"/>
                      <w:lang w:val="en-US"/>
                    </w:rPr>
                    <w:t>环境管控单元名称</w:t>
                  </w:r>
                </w:p>
              </w:tc>
              <w:tc>
                <w:tcPr>
                  <w:tcW w:w="561" w:type="dxa"/>
                  <w:vAlign w:val="center"/>
                </w:tcPr>
                <w:p w14:paraId="520AAF26">
                  <w:pPr>
                    <w:pStyle w:val="16"/>
                    <w:spacing w:before="0" w:beforeAutospacing="0" w:after="0" w:afterAutospacing="0"/>
                    <w:jc w:val="center"/>
                    <w:outlineLvl w:val="0"/>
                    <w:rPr>
                      <w:rFonts w:ascii="Times New Roman" w:hAnsi="Times New Roman"/>
                      <w:snapToGrid w:val="0"/>
                      <w:sz w:val="21"/>
                      <w:szCs w:val="21"/>
                      <w:lang w:val="en-US"/>
                    </w:rPr>
                  </w:pPr>
                  <w:r>
                    <w:rPr>
                      <w:rFonts w:ascii="Times New Roman" w:hAnsi="Times New Roman"/>
                      <w:b/>
                      <w:snapToGrid w:val="0"/>
                      <w:sz w:val="21"/>
                      <w:szCs w:val="21"/>
                      <w:lang w:val="en-US"/>
                    </w:rPr>
                    <w:t>管控单元分类</w:t>
                  </w:r>
                </w:p>
              </w:tc>
              <w:tc>
                <w:tcPr>
                  <w:tcW w:w="6956" w:type="dxa"/>
                  <w:gridSpan w:val="2"/>
                  <w:vAlign w:val="center"/>
                </w:tcPr>
                <w:p w14:paraId="520AAF27">
                  <w:pPr>
                    <w:autoSpaceDE w:val="0"/>
                    <w:autoSpaceDN w:val="0"/>
                    <w:adjustRightInd w:val="0"/>
                    <w:jc w:val="center"/>
                    <w:rPr>
                      <w:szCs w:val="21"/>
                    </w:rPr>
                  </w:pPr>
                  <w:r>
                    <w:rPr>
                      <w:b/>
                      <w:snapToGrid w:val="0"/>
                      <w:szCs w:val="21"/>
                    </w:rPr>
                    <w:t>管控要求</w:t>
                  </w:r>
                </w:p>
              </w:tc>
              <w:tc>
                <w:tcPr>
                  <w:tcW w:w="3902" w:type="dxa"/>
                  <w:vAlign w:val="center"/>
                </w:tcPr>
                <w:p w14:paraId="520AAF28">
                  <w:pPr>
                    <w:pStyle w:val="16"/>
                    <w:spacing w:before="0" w:beforeAutospacing="0" w:after="0" w:afterAutospacing="0"/>
                    <w:jc w:val="center"/>
                    <w:outlineLvl w:val="0"/>
                    <w:rPr>
                      <w:rFonts w:ascii="Times New Roman" w:hAnsi="Times New Roman"/>
                      <w:snapToGrid w:val="0"/>
                      <w:sz w:val="21"/>
                      <w:szCs w:val="21"/>
                      <w:lang w:val="en-US"/>
                    </w:rPr>
                  </w:pPr>
                  <w:r>
                    <w:rPr>
                      <w:rFonts w:ascii="Times New Roman" w:hAnsi="Times New Roman"/>
                      <w:b/>
                      <w:snapToGrid w:val="0"/>
                      <w:sz w:val="21"/>
                      <w:szCs w:val="21"/>
                      <w:lang w:val="en-US"/>
                    </w:rPr>
                    <w:t>本项目情况</w:t>
                  </w:r>
                </w:p>
              </w:tc>
              <w:tc>
                <w:tcPr>
                  <w:tcW w:w="531" w:type="dxa"/>
                  <w:vAlign w:val="center"/>
                </w:tcPr>
                <w:p w14:paraId="520AAF29">
                  <w:pPr>
                    <w:pStyle w:val="16"/>
                    <w:spacing w:before="0" w:beforeAutospacing="0" w:after="0" w:afterAutospacing="0"/>
                    <w:jc w:val="center"/>
                    <w:outlineLvl w:val="0"/>
                    <w:rPr>
                      <w:rFonts w:ascii="Times New Roman" w:hAnsi="Times New Roman"/>
                      <w:snapToGrid w:val="0"/>
                      <w:sz w:val="21"/>
                      <w:szCs w:val="21"/>
                      <w:lang w:val="en-US"/>
                    </w:rPr>
                  </w:pPr>
                  <w:r>
                    <w:rPr>
                      <w:rFonts w:ascii="Times New Roman" w:hAnsi="Times New Roman"/>
                      <w:b/>
                      <w:snapToGrid w:val="0"/>
                      <w:sz w:val="21"/>
                      <w:szCs w:val="21"/>
                      <w:lang w:val="en-US"/>
                    </w:rPr>
                    <w:t>是否符合要求</w:t>
                  </w:r>
                </w:p>
              </w:tc>
            </w:tr>
            <w:tr w14:paraId="520AAF3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0" w:type="dxa"/>
                  <w:vMerge w:val="restart"/>
                  <w:vAlign w:val="center"/>
                </w:tcPr>
                <w:p w14:paraId="520AAF2B">
                  <w:pPr>
                    <w:pStyle w:val="16"/>
                    <w:spacing w:before="0" w:after="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牧野区北干道街道</w:t>
                  </w:r>
                </w:p>
              </w:tc>
              <w:tc>
                <w:tcPr>
                  <w:tcW w:w="700" w:type="dxa"/>
                  <w:vMerge w:val="restart"/>
                  <w:vAlign w:val="center"/>
                </w:tcPr>
                <w:p w14:paraId="520AAF2C">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牧野区城镇重点单元</w:t>
                  </w:r>
                </w:p>
              </w:tc>
              <w:tc>
                <w:tcPr>
                  <w:tcW w:w="561" w:type="dxa"/>
                  <w:vMerge w:val="restart"/>
                  <w:vAlign w:val="center"/>
                </w:tcPr>
                <w:p w14:paraId="520AAF2D">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重点管控单元2</w:t>
                  </w:r>
                </w:p>
              </w:tc>
              <w:tc>
                <w:tcPr>
                  <w:tcW w:w="1036" w:type="dxa"/>
                  <w:vMerge w:val="restart"/>
                  <w:vAlign w:val="center"/>
                </w:tcPr>
                <w:p w14:paraId="520AAF2E">
                  <w:pPr>
                    <w:autoSpaceDE w:val="0"/>
                    <w:autoSpaceDN w:val="0"/>
                    <w:adjustRightInd w:val="0"/>
                    <w:jc w:val="center"/>
                    <w:rPr>
                      <w:szCs w:val="21"/>
                    </w:rPr>
                  </w:pPr>
                  <w:r>
                    <w:rPr>
                      <w:rFonts w:hint="eastAsia"/>
                      <w:szCs w:val="21"/>
                    </w:rPr>
                    <w:t>空间布局约束</w:t>
                  </w:r>
                </w:p>
              </w:tc>
              <w:tc>
                <w:tcPr>
                  <w:tcW w:w="5920" w:type="dxa"/>
                  <w:vAlign w:val="center"/>
                </w:tcPr>
                <w:p w14:paraId="520AAF2F">
                  <w:pPr>
                    <w:autoSpaceDE w:val="0"/>
                    <w:autoSpaceDN w:val="0"/>
                    <w:adjustRightInd w:val="0"/>
                    <w:rPr>
                      <w:szCs w:val="21"/>
                    </w:rPr>
                  </w:pPr>
                  <w:r>
                    <w:rPr>
                      <w:rFonts w:hint="eastAsia"/>
                      <w:szCs w:val="21"/>
                    </w:rPr>
                    <w:t>1、在居民住宅区等人口密集区域和医院、学校、幼儿园、养老院等其他需要特殊保护的区域及其周边，不得新建、改建和扩建石化、焦化、制药、油漆、塑料、橡胶、造纸、饲料等易产生恶臭气体的生产项目或者从事其他产生恶臭气体的生产经营活动。已建成的，应当逐步搬迁或者升级改造。</w:t>
                  </w:r>
                </w:p>
              </w:tc>
              <w:tc>
                <w:tcPr>
                  <w:tcW w:w="3902" w:type="dxa"/>
                  <w:vAlign w:val="center"/>
                </w:tcPr>
                <w:p w14:paraId="520AAF30">
                  <w:pPr>
                    <w:pStyle w:val="16"/>
                    <w:spacing w:before="0" w:beforeAutospacing="0" w:after="0" w:afterAutospacing="0"/>
                    <w:jc w:val="both"/>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本项目建设路厂区和解放路厂区位置均属于人口密集区域，本项目为改建项目，属于航空、航天器及设备制造，</w:t>
                  </w:r>
                  <w:r>
                    <w:rPr>
                      <w:rFonts w:hint="eastAsia" w:ascii="Times New Roman" w:hAnsi="Times New Roman"/>
                      <w:sz w:val="21"/>
                      <w:szCs w:val="21"/>
                      <w:lang w:val="en-US"/>
                    </w:rPr>
                    <w:t>不属于石化、焦化、制药、油漆、塑料、橡胶、造纸、饲料等易产生恶臭气体的生产项目或者从事其他产生恶臭气体的生产经营活动。</w:t>
                  </w:r>
                </w:p>
              </w:tc>
              <w:tc>
                <w:tcPr>
                  <w:tcW w:w="531" w:type="dxa"/>
                  <w:vAlign w:val="center"/>
                </w:tcPr>
                <w:p w14:paraId="520AAF31">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3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0" w:type="dxa"/>
                  <w:vMerge w:val="continue"/>
                  <w:vAlign w:val="center"/>
                </w:tcPr>
                <w:p w14:paraId="520AAF33">
                  <w:pPr>
                    <w:pStyle w:val="16"/>
                    <w:spacing w:before="0" w:after="0"/>
                    <w:jc w:val="center"/>
                    <w:outlineLvl w:val="0"/>
                    <w:rPr>
                      <w:rFonts w:ascii="Times New Roman" w:hAnsi="Times New Roman"/>
                      <w:snapToGrid w:val="0"/>
                      <w:sz w:val="21"/>
                      <w:szCs w:val="21"/>
                      <w:lang w:val="en-US"/>
                    </w:rPr>
                  </w:pPr>
                </w:p>
              </w:tc>
              <w:tc>
                <w:tcPr>
                  <w:tcW w:w="700" w:type="dxa"/>
                  <w:vMerge w:val="continue"/>
                  <w:vAlign w:val="center"/>
                </w:tcPr>
                <w:p w14:paraId="520AAF34">
                  <w:pPr>
                    <w:pStyle w:val="16"/>
                    <w:spacing w:before="0" w:beforeAutospacing="0" w:after="0" w:afterAutospacing="0"/>
                    <w:jc w:val="center"/>
                    <w:outlineLvl w:val="0"/>
                    <w:rPr>
                      <w:rFonts w:ascii="Times New Roman" w:hAnsi="Times New Roman"/>
                      <w:snapToGrid w:val="0"/>
                      <w:sz w:val="21"/>
                      <w:szCs w:val="21"/>
                      <w:lang w:val="en-US"/>
                    </w:rPr>
                  </w:pPr>
                </w:p>
              </w:tc>
              <w:tc>
                <w:tcPr>
                  <w:tcW w:w="561" w:type="dxa"/>
                  <w:vMerge w:val="continue"/>
                  <w:vAlign w:val="center"/>
                </w:tcPr>
                <w:p w14:paraId="520AAF35">
                  <w:pPr>
                    <w:pStyle w:val="16"/>
                    <w:spacing w:before="0" w:beforeAutospacing="0" w:after="0" w:afterAutospacing="0"/>
                    <w:jc w:val="center"/>
                    <w:outlineLvl w:val="0"/>
                    <w:rPr>
                      <w:rFonts w:ascii="Times New Roman" w:hAnsi="Times New Roman"/>
                      <w:snapToGrid w:val="0"/>
                      <w:sz w:val="21"/>
                      <w:szCs w:val="21"/>
                      <w:lang w:val="en-US"/>
                    </w:rPr>
                  </w:pPr>
                </w:p>
              </w:tc>
              <w:tc>
                <w:tcPr>
                  <w:tcW w:w="1036" w:type="dxa"/>
                  <w:vMerge w:val="continue"/>
                  <w:vAlign w:val="center"/>
                </w:tcPr>
                <w:p w14:paraId="520AAF36">
                  <w:pPr>
                    <w:autoSpaceDE w:val="0"/>
                    <w:autoSpaceDN w:val="0"/>
                    <w:adjustRightInd w:val="0"/>
                    <w:jc w:val="center"/>
                    <w:rPr>
                      <w:szCs w:val="21"/>
                    </w:rPr>
                  </w:pPr>
                </w:p>
              </w:tc>
              <w:tc>
                <w:tcPr>
                  <w:tcW w:w="5920" w:type="dxa"/>
                  <w:vAlign w:val="center"/>
                </w:tcPr>
                <w:p w14:paraId="520AAF37">
                  <w:pPr>
                    <w:autoSpaceDE w:val="0"/>
                    <w:autoSpaceDN w:val="0"/>
                    <w:adjustRightInd w:val="0"/>
                    <w:rPr>
                      <w:szCs w:val="21"/>
                    </w:rPr>
                  </w:pPr>
                  <w:r>
                    <w:rPr>
                      <w:rFonts w:hint="eastAsia"/>
                      <w:szCs w:val="21"/>
                    </w:rPr>
                    <w:t>2、严格控制新建、扩建高排放、高污染项目，包括钢铁、水泥、有色、平板玻璃、建筑陶瓷等行业及其他排放重金属、持久性有机污染物的工业项目等。</w:t>
                  </w:r>
                </w:p>
              </w:tc>
              <w:tc>
                <w:tcPr>
                  <w:tcW w:w="3902" w:type="dxa"/>
                  <w:vAlign w:val="center"/>
                </w:tcPr>
                <w:p w14:paraId="520AAF38">
                  <w:pPr>
                    <w:pStyle w:val="16"/>
                    <w:spacing w:before="0" w:beforeAutospacing="0" w:after="0" w:afterAutospacing="0"/>
                    <w:jc w:val="both"/>
                    <w:outlineLvl w:val="0"/>
                    <w:rPr>
                      <w:rFonts w:ascii="Times New Roman" w:hAnsi="Times New Roman"/>
                      <w:snapToGrid w:val="0"/>
                      <w:sz w:val="21"/>
                      <w:szCs w:val="21"/>
                      <w:lang w:val="en-US"/>
                    </w:rPr>
                  </w:pPr>
                  <w:r>
                    <w:rPr>
                      <w:rFonts w:hint="eastAsia"/>
                      <w:sz w:val="21"/>
                      <w:szCs w:val="21"/>
                    </w:rPr>
                    <w:t>本项目为</w:t>
                  </w:r>
                  <w:r>
                    <w:rPr>
                      <w:rFonts w:hint="eastAsia" w:ascii="Times New Roman" w:hAnsi="Times New Roman"/>
                      <w:snapToGrid w:val="0"/>
                      <w:sz w:val="21"/>
                      <w:szCs w:val="21"/>
                      <w:lang w:val="en-US"/>
                    </w:rPr>
                    <w:t>改建</w:t>
                  </w:r>
                  <w:r>
                    <w:rPr>
                      <w:rFonts w:hint="eastAsia"/>
                      <w:sz w:val="21"/>
                      <w:szCs w:val="21"/>
                    </w:rPr>
                    <w:t>项目，不属于高排放、高污染项目，</w:t>
                  </w:r>
                  <w:r>
                    <w:rPr>
                      <w:rFonts w:hint="eastAsia" w:ascii="Times New Roman" w:hAnsi="Times New Roman"/>
                      <w:snapToGrid w:val="0"/>
                      <w:sz w:val="21"/>
                      <w:szCs w:val="21"/>
                      <w:lang w:val="en-US"/>
                    </w:rPr>
                    <w:t>改建</w:t>
                  </w:r>
                  <w:r>
                    <w:rPr>
                      <w:rFonts w:hint="eastAsia"/>
                      <w:sz w:val="21"/>
                      <w:szCs w:val="21"/>
                    </w:rPr>
                    <w:t>部分不属于排放重金属、持久性有机污染物的工业项目。</w:t>
                  </w:r>
                </w:p>
              </w:tc>
              <w:tc>
                <w:tcPr>
                  <w:tcW w:w="531" w:type="dxa"/>
                  <w:vAlign w:val="center"/>
                </w:tcPr>
                <w:p w14:paraId="520AAF39">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4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0" w:type="dxa"/>
                  <w:vMerge w:val="continue"/>
                  <w:vAlign w:val="center"/>
                </w:tcPr>
                <w:p w14:paraId="520AAF3B">
                  <w:pPr>
                    <w:pStyle w:val="16"/>
                    <w:spacing w:before="0" w:beforeAutospacing="0" w:after="0" w:afterAutospacing="0"/>
                    <w:jc w:val="center"/>
                    <w:outlineLvl w:val="0"/>
                    <w:rPr>
                      <w:rFonts w:ascii="Times New Roman" w:hAnsi="Times New Roman"/>
                      <w:snapToGrid w:val="0"/>
                      <w:sz w:val="21"/>
                      <w:szCs w:val="21"/>
                      <w:lang w:val="en-US"/>
                    </w:rPr>
                  </w:pPr>
                </w:p>
              </w:tc>
              <w:tc>
                <w:tcPr>
                  <w:tcW w:w="700" w:type="dxa"/>
                  <w:vMerge w:val="continue"/>
                  <w:vAlign w:val="center"/>
                </w:tcPr>
                <w:p w14:paraId="520AAF3C">
                  <w:pPr>
                    <w:pStyle w:val="16"/>
                    <w:spacing w:before="0" w:beforeAutospacing="0" w:after="0" w:afterAutospacing="0"/>
                    <w:jc w:val="center"/>
                    <w:outlineLvl w:val="0"/>
                    <w:rPr>
                      <w:rFonts w:ascii="Times New Roman" w:hAnsi="Times New Roman"/>
                      <w:snapToGrid w:val="0"/>
                      <w:sz w:val="21"/>
                      <w:szCs w:val="21"/>
                      <w:lang w:val="en-US"/>
                    </w:rPr>
                  </w:pPr>
                </w:p>
              </w:tc>
              <w:tc>
                <w:tcPr>
                  <w:tcW w:w="561" w:type="dxa"/>
                  <w:vMerge w:val="continue"/>
                  <w:vAlign w:val="center"/>
                </w:tcPr>
                <w:p w14:paraId="520AAF3D">
                  <w:pPr>
                    <w:pStyle w:val="16"/>
                    <w:spacing w:before="0" w:beforeAutospacing="0" w:after="0" w:afterAutospacing="0"/>
                    <w:jc w:val="center"/>
                    <w:outlineLvl w:val="0"/>
                    <w:rPr>
                      <w:rFonts w:ascii="Times New Roman" w:hAnsi="Times New Roman"/>
                      <w:snapToGrid w:val="0"/>
                      <w:sz w:val="21"/>
                      <w:szCs w:val="21"/>
                      <w:lang w:val="en-US"/>
                    </w:rPr>
                  </w:pPr>
                </w:p>
              </w:tc>
              <w:tc>
                <w:tcPr>
                  <w:tcW w:w="1036" w:type="dxa"/>
                  <w:vMerge w:val="continue"/>
                  <w:vAlign w:val="center"/>
                </w:tcPr>
                <w:p w14:paraId="520AAF3E">
                  <w:pPr>
                    <w:autoSpaceDE w:val="0"/>
                    <w:autoSpaceDN w:val="0"/>
                    <w:adjustRightInd w:val="0"/>
                    <w:jc w:val="center"/>
                    <w:rPr>
                      <w:szCs w:val="21"/>
                    </w:rPr>
                  </w:pPr>
                </w:p>
              </w:tc>
              <w:tc>
                <w:tcPr>
                  <w:tcW w:w="5920" w:type="dxa"/>
                  <w:vAlign w:val="center"/>
                </w:tcPr>
                <w:p w14:paraId="520AAF3F">
                  <w:pPr>
                    <w:autoSpaceDE w:val="0"/>
                    <w:autoSpaceDN w:val="0"/>
                    <w:adjustRightInd w:val="0"/>
                    <w:rPr>
                      <w:szCs w:val="21"/>
                    </w:rPr>
                  </w:pPr>
                  <w:r>
                    <w:rPr>
                      <w:rFonts w:hint="eastAsia"/>
                      <w:szCs w:val="21"/>
                    </w:rPr>
                    <w:t>3、严格控制新、改、扩建“两高”项目。</w:t>
                  </w:r>
                </w:p>
              </w:tc>
              <w:tc>
                <w:tcPr>
                  <w:tcW w:w="3902" w:type="dxa"/>
                  <w:vAlign w:val="center"/>
                </w:tcPr>
                <w:p w14:paraId="520AAF40">
                  <w:pPr>
                    <w:pStyle w:val="16"/>
                    <w:jc w:val="both"/>
                    <w:outlineLvl w:val="0"/>
                    <w:rPr>
                      <w:rFonts w:ascii="Times New Roman" w:hAnsi="Times New Roman"/>
                      <w:bCs/>
                      <w:sz w:val="21"/>
                      <w:szCs w:val="21"/>
                      <w:lang w:val="en-US"/>
                    </w:rPr>
                  </w:pPr>
                  <w:r>
                    <w:rPr>
                      <w:rFonts w:hint="eastAsia" w:ascii="Times New Roman" w:hAnsi="Times New Roman"/>
                      <w:bCs/>
                      <w:sz w:val="21"/>
                      <w:szCs w:val="21"/>
                      <w:lang w:val="en-US"/>
                    </w:rPr>
                    <w:t>本项目为</w:t>
                  </w:r>
                  <w:r>
                    <w:rPr>
                      <w:rFonts w:hint="eastAsia" w:ascii="Times New Roman" w:hAnsi="Times New Roman"/>
                      <w:snapToGrid w:val="0"/>
                      <w:sz w:val="21"/>
                      <w:szCs w:val="21"/>
                      <w:lang w:val="en-US"/>
                    </w:rPr>
                    <w:t>改建</w:t>
                  </w:r>
                  <w:r>
                    <w:rPr>
                      <w:rFonts w:hint="eastAsia" w:ascii="Times New Roman" w:hAnsi="Times New Roman"/>
                      <w:bCs/>
                      <w:sz w:val="21"/>
                      <w:szCs w:val="21"/>
                      <w:lang w:val="en-US"/>
                    </w:rPr>
                    <w:t>项目，不属于“两高”项目。</w:t>
                  </w:r>
                </w:p>
              </w:tc>
              <w:tc>
                <w:tcPr>
                  <w:tcW w:w="531" w:type="dxa"/>
                  <w:vAlign w:val="center"/>
                </w:tcPr>
                <w:p w14:paraId="520AAF41">
                  <w:pPr>
                    <w:pStyle w:val="16"/>
                    <w:spacing w:before="0" w:beforeAutospacing="0" w:after="0" w:afterAutospacing="0"/>
                    <w:jc w:val="center"/>
                    <w:outlineLvl w:val="0"/>
                    <w:rPr>
                      <w:rFonts w:ascii="Times New Roman" w:hAnsi="Times New Roman"/>
                      <w:snapToGrid w:val="0"/>
                      <w:sz w:val="21"/>
                      <w:szCs w:val="21"/>
                      <w:highlight w:val="yellow"/>
                      <w:lang w:val="en-US"/>
                    </w:rPr>
                  </w:pPr>
                  <w:r>
                    <w:rPr>
                      <w:rFonts w:hint="eastAsia" w:ascii="Times New Roman" w:hAnsi="Times New Roman"/>
                      <w:snapToGrid w:val="0"/>
                      <w:sz w:val="21"/>
                      <w:szCs w:val="21"/>
                      <w:lang w:val="en-US"/>
                    </w:rPr>
                    <w:t>符合</w:t>
                  </w:r>
                </w:p>
              </w:tc>
            </w:tr>
            <w:tr w14:paraId="520AAF4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0" w:type="dxa"/>
                  <w:vMerge w:val="continue"/>
                  <w:vAlign w:val="center"/>
                </w:tcPr>
                <w:p w14:paraId="520AAF43">
                  <w:pPr>
                    <w:pStyle w:val="16"/>
                    <w:spacing w:before="0" w:beforeAutospacing="0" w:after="0" w:afterAutospacing="0"/>
                    <w:jc w:val="center"/>
                    <w:outlineLvl w:val="0"/>
                    <w:rPr>
                      <w:rFonts w:ascii="Times New Roman" w:hAnsi="Times New Roman"/>
                      <w:snapToGrid w:val="0"/>
                      <w:sz w:val="21"/>
                      <w:szCs w:val="21"/>
                      <w:lang w:val="en-US"/>
                    </w:rPr>
                  </w:pPr>
                </w:p>
              </w:tc>
              <w:tc>
                <w:tcPr>
                  <w:tcW w:w="700" w:type="dxa"/>
                  <w:vMerge w:val="continue"/>
                  <w:vAlign w:val="center"/>
                </w:tcPr>
                <w:p w14:paraId="520AAF44">
                  <w:pPr>
                    <w:pStyle w:val="16"/>
                    <w:spacing w:before="0" w:beforeAutospacing="0" w:after="0" w:afterAutospacing="0"/>
                    <w:jc w:val="center"/>
                    <w:outlineLvl w:val="0"/>
                    <w:rPr>
                      <w:rFonts w:ascii="Times New Roman" w:hAnsi="Times New Roman"/>
                      <w:snapToGrid w:val="0"/>
                      <w:sz w:val="21"/>
                      <w:szCs w:val="21"/>
                      <w:lang w:val="en-US"/>
                    </w:rPr>
                  </w:pPr>
                </w:p>
              </w:tc>
              <w:tc>
                <w:tcPr>
                  <w:tcW w:w="561" w:type="dxa"/>
                  <w:vMerge w:val="continue"/>
                  <w:vAlign w:val="center"/>
                </w:tcPr>
                <w:p w14:paraId="520AAF45">
                  <w:pPr>
                    <w:pStyle w:val="16"/>
                    <w:spacing w:before="0" w:beforeAutospacing="0" w:after="0" w:afterAutospacing="0"/>
                    <w:jc w:val="center"/>
                    <w:outlineLvl w:val="0"/>
                    <w:rPr>
                      <w:rFonts w:ascii="Times New Roman" w:hAnsi="Times New Roman"/>
                      <w:snapToGrid w:val="0"/>
                      <w:sz w:val="21"/>
                      <w:szCs w:val="21"/>
                      <w:lang w:val="en-US"/>
                    </w:rPr>
                  </w:pPr>
                </w:p>
              </w:tc>
              <w:tc>
                <w:tcPr>
                  <w:tcW w:w="1036" w:type="dxa"/>
                  <w:vMerge w:val="restart"/>
                  <w:vAlign w:val="center"/>
                </w:tcPr>
                <w:p w14:paraId="520AAF46">
                  <w:pPr>
                    <w:autoSpaceDE w:val="0"/>
                    <w:autoSpaceDN w:val="0"/>
                    <w:adjustRightInd w:val="0"/>
                    <w:jc w:val="center"/>
                    <w:rPr>
                      <w:szCs w:val="21"/>
                    </w:rPr>
                  </w:pPr>
                  <w:r>
                    <w:rPr>
                      <w:rFonts w:hint="eastAsia"/>
                      <w:szCs w:val="21"/>
                    </w:rPr>
                    <w:t>污染物排放管控</w:t>
                  </w:r>
                </w:p>
              </w:tc>
              <w:tc>
                <w:tcPr>
                  <w:tcW w:w="5920" w:type="dxa"/>
                  <w:vAlign w:val="center"/>
                </w:tcPr>
                <w:p w14:paraId="520AAF47">
                  <w:pPr>
                    <w:autoSpaceDE w:val="0"/>
                    <w:autoSpaceDN w:val="0"/>
                    <w:adjustRightInd w:val="0"/>
                    <w:rPr>
                      <w:szCs w:val="21"/>
                    </w:rPr>
                  </w:pPr>
                  <w:r>
                    <w:rPr>
                      <w:rFonts w:hint="eastAsia"/>
                      <w:szCs w:val="21"/>
                    </w:rPr>
                    <w:t>1、二氧化硫、氮氧化物、颗粒物、VOCs全面执行大气污染物特别排放限值。</w:t>
                  </w:r>
                </w:p>
              </w:tc>
              <w:tc>
                <w:tcPr>
                  <w:tcW w:w="3902" w:type="dxa"/>
                  <w:vAlign w:val="center"/>
                </w:tcPr>
                <w:p w14:paraId="520AAF48">
                  <w:pPr>
                    <w:pStyle w:val="16"/>
                    <w:jc w:val="both"/>
                    <w:outlineLvl w:val="0"/>
                    <w:rPr>
                      <w:rFonts w:ascii="Times New Roman" w:hAnsi="Times New Roman"/>
                      <w:bCs/>
                      <w:sz w:val="21"/>
                      <w:szCs w:val="21"/>
                      <w:lang w:val="en-US"/>
                    </w:rPr>
                  </w:pPr>
                  <w:r>
                    <w:rPr>
                      <w:rFonts w:hint="eastAsia" w:ascii="Times New Roman" w:hAnsi="Times New Roman"/>
                      <w:bCs/>
                      <w:sz w:val="21"/>
                      <w:szCs w:val="21"/>
                      <w:lang w:val="en-US"/>
                    </w:rPr>
                    <w:t>本项目VOCs全面执行大气污染物特别排放限值。</w:t>
                  </w:r>
                </w:p>
              </w:tc>
              <w:tc>
                <w:tcPr>
                  <w:tcW w:w="531" w:type="dxa"/>
                  <w:vAlign w:val="center"/>
                </w:tcPr>
                <w:p w14:paraId="520AAF49">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5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0" w:type="dxa"/>
                  <w:vMerge w:val="continue"/>
                  <w:vAlign w:val="center"/>
                </w:tcPr>
                <w:p w14:paraId="520AAF4B">
                  <w:pPr>
                    <w:pStyle w:val="16"/>
                    <w:spacing w:before="0" w:beforeAutospacing="0" w:after="0" w:afterAutospacing="0"/>
                    <w:jc w:val="center"/>
                    <w:outlineLvl w:val="0"/>
                    <w:rPr>
                      <w:rFonts w:ascii="Times New Roman" w:hAnsi="Times New Roman"/>
                      <w:snapToGrid w:val="0"/>
                      <w:sz w:val="21"/>
                      <w:szCs w:val="21"/>
                      <w:lang w:val="en-US"/>
                    </w:rPr>
                  </w:pPr>
                </w:p>
              </w:tc>
              <w:tc>
                <w:tcPr>
                  <w:tcW w:w="700" w:type="dxa"/>
                  <w:vMerge w:val="continue"/>
                  <w:vAlign w:val="center"/>
                </w:tcPr>
                <w:p w14:paraId="520AAF4C">
                  <w:pPr>
                    <w:pStyle w:val="16"/>
                    <w:spacing w:before="0" w:beforeAutospacing="0" w:after="0" w:afterAutospacing="0"/>
                    <w:jc w:val="center"/>
                    <w:outlineLvl w:val="0"/>
                    <w:rPr>
                      <w:rFonts w:ascii="Times New Roman" w:hAnsi="Times New Roman"/>
                      <w:snapToGrid w:val="0"/>
                      <w:sz w:val="21"/>
                      <w:szCs w:val="21"/>
                      <w:lang w:val="en-US"/>
                    </w:rPr>
                  </w:pPr>
                </w:p>
              </w:tc>
              <w:tc>
                <w:tcPr>
                  <w:tcW w:w="561" w:type="dxa"/>
                  <w:vMerge w:val="continue"/>
                  <w:vAlign w:val="center"/>
                </w:tcPr>
                <w:p w14:paraId="520AAF4D">
                  <w:pPr>
                    <w:pStyle w:val="16"/>
                    <w:spacing w:before="0" w:beforeAutospacing="0" w:after="0" w:afterAutospacing="0"/>
                    <w:jc w:val="center"/>
                    <w:outlineLvl w:val="0"/>
                    <w:rPr>
                      <w:rFonts w:ascii="Times New Roman" w:hAnsi="Times New Roman"/>
                      <w:snapToGrid w:val="0"/>
                      <w:sz w:val="21"/>
                      <w:szCs w:val="21"/>
                      <w:lang w:val="en-US"/>
                    </w:rPr>
                  </w:pPr>
                </w:p>
              </w:tc>
              <w:tc>
                <w:tcPr>
                  <w:tcW w:w="1036" w:type="dxa"/>
                  <w:vMerge w:val="continue"/>
                  <w:vAlign w:val="center"/>
                </w:tcPr>
                <w:p w14:paraId="520AAF4E">
                  <w:pPr>
                    <w:autoSpaceDE w:val="0"/>
                    <w:autoSpaceDN w:val="0"/>
                    <w:adjustRightInd w:val="0"/>
                    <w:jc w:val="center"/>
                    <w:rPr>
                      <w:szCs w:val="21"/>
                    </w:rPr>
                  </w:pPr>
                </w:p>
              </w:tc>
              <w:tc>
                <w:tcPr>
                  <w:tcW w:w="5920" w:type="dxa"/>
                  <w:vAlign w:val="center"/>
                </w:tcPr>
                <w:p w14:paraId="520AAF4F">
                  <w:pPr>
                    <w:autoSpaceDE w:val="0"/>
                    <w:autoSpaceDN w:val="0"/>
                    <w:adjustRightInd w:val="0"/>
                    <w:rPr>
                      <w:szCs w:val="21"/>
                    </w:rPr>
                  </w:pPr>
                  <w:r>
                    <w:rPr>
                      <w:rFonts w:hint="eastAsia"/>
                      <w:szCs w:val="21"/>
                    </w:rPr>
                    <w:t>2、污水处理厂出水执行《城镇污水处理厂污染物排放标准》表1一级A标准及属地管理要求。</w:t>
                  </w:r>
                </w:p>
              </w:tc>
              <w:tc>
                <w:tcPr>
                  <w:tcW w:w="3902" w:type="dxa"/>
                  <w:vAlign w:val="center"/>
                </w:tcPr>
                <w:p w14:paraId="520AAF50">
                  <w:pPr>
                    <w:pStyle w:val="16"/>
                    <w:jc w:val="center"/>
                    <w:outlineLvl w:val="0"/>
                    <w:rPr>
                      <w:rFonts w:ascii="Times New Roman" w:hAnsi="Times New Roman"/>
                      <w:bCs/>
                      <w:sz w:val="21"/>
                      <w:szCs w:val="21"/>
                      <w:lang w:val="en-US"/>
                    </w:rPr>
                  </w:pPr>
                  <w:r>
                    <w:rPr>
                      <w:rFonts w:hint="eastAsia" w:ascii="Times New Roman" w:hAnsi="Times New Roman"/>
                      <w:bCs/>
                      <w:sz w:val="21"/>
                      <w:szCs w:val="21"/>
                      <w:lang w:val="en-US"/>
                    </w:rPr>
                    <w:t>本项目不涉及。</w:t>
                  </w:r>
                </w:p>
              </w:tc>
              <w:tc>
                <w:tcPr>
                  <w:tcW w:w="531" w:type="dxa"/>
                  <w:vAlign w:val="center"/>
                </w:tcPr>
                <w:p w14:paraId="520AAF51">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w:t>
                  </w:r>
                </w:p>
              </w:tc>
            </w:tr>
            <w:tr w14:paraId="520AAF5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0" w:type="dxa"/>
                  <w:vMerge w:val="continue"/>
                  <w:vAlign w:val="center"/>
                </w:tcPr>
                <w:p w14:paraId="520AAF53">
                  <w:pPr>
                    <w:pStyle w:val="16"/>
                    <w:spacing w:before="0" w:beforeAutospacing="0" w:after="0" w:afterAutospacing="0"/>
                    <w:jc w:val="center"/>
                    <w:outlineLvl w:val="0"/>
                    <w:rPr>
                      <w:rFonts w:ascii="Times New Roman" w:hAnsi="Times New Roman"/>
                      <w:snapToGrid w:val="0"/>
                      <w:sz w:val="21"/>
                      <w:szCs w:val="21"/>
                      <w:lang w:val="en-US"/>
                    </w:rPr>
                  </w:pPr>
                </w:p>
              </w:tc>
              <w:tc>
                <w:tcPr>
                  <w:tcW w:w="700" w:type="dxa"/>
                  <w:vMerge w:val="continue"/>
                  <w:vAlign w:val="center"/>
                </w:tcPr>
                <w:p w14:paraId="520AAF54">
                  <w:pPr>
                    <w:pStyle w:val="16"/>
                    <w:spacing w:before="0" w:beforeAutospacing="0" w:after="0" w:afterAutospacing="0"/>
                    <w:jc w:val="center"/>
                    <w:outlineLvl w:val="0"/>
                    <w:rPr>
                      <w:rFonts w:ascii="Times New Roman" w:hAnsi="Times New Roman"/>
                      <w:snapToGrid w:val="0"/>
                      <w:sz w:val="21"/>
                      <w:szCs w:val="21"/>
                      <w:lang w:val="en-US"/>
                    </w:rPr>
                  </w:pPr>
                </w:p>
              </w:tc>
              <w:tc>
                <w:tcPr>
                  <w:tcW w:w="561" w:type="dxa"/>
                  <w:vMerge w:val="continue"/>
                  <w:vAlign w:val="center"/>
                </w:tcPr>
                <w:p w14:paraId="520AAF55">
                  <w:pPr>
                    <w:pStyle w:val="16"/>
                    <w:spacing w:before="0" w:beforeAutospacing="0" w:after="0" w:afterAutospacing="0"/>
                    <w:jc w:val="center"/>
                    <w:outlineLvl w:val="0"/>
                    <w:rPr>
                      <w:rFonts w:ascii="Times New Roman" w:hAnsi="Times New Roman"/>
                      <w:snapToGrid w:val="0"/>
                      <w:sz w:val="21"/>
                      <w:szCs w:val="21"/>
                      <w:lang w:val="en-US"/>
                    </w:rPr>
                  </w:pPr>
                </w:p>
              </w:tc>
              <w:tc>
                <w:tcPr>
                  <w:tcW w:w="1036" w:type="dxa"/>
                  <w:vMerge w:val="restart"/>
                  <w:vAlign w:val="center"/>
                </w:tcPr>
                <w:p w14:paraId="520AAF56">
                  <w:pPr>
                    <w:autoSpaceDE w:val="0"/>
                    <w:autoSpaceDN w:val="0"/>
                    <w:adjustRightInd w:val="0"/>
                    <w:jc w:val="center"/>
                    <w:rPr>
                      <w:szCs w:val="21"/>
                    </w:rPr>
                  </w:pPr>
                  <w:r>
                    <w:rPr>
                      <w:rFonts w:hint="eastAsia"/>
                      <w:szCs w:val="21"/>
                    </w:rPr>
                    <w:t>环境风险防控</w:t>
                  </w:r>
                </w:p>
              </w:tc>
              <w:tc>
                <w:tcPr>
                  <w:tcW w:w="5920" w:type="dxa"/>
                  <w:vAlign w:val="center"/>
                </w:tcPr>
                <w:p w14:paraId="520AAF57">
                  <w:pPr>
                    <w:autoSpaceDE w:val="0"/>
                    <w:autoSpaceDN w:val="0"/>
                    <w:adjustRightInd w:val="0"/>
                    <w:rPr>
                      <w:szCs w:val="21"/>
                    </w:rPr>
                  </w:pPr>
                  <w:r>
                    <w:rPr>
                      <w:rFonts w:hint="eastAsia"/>
                      <w:szCs w:val="21"/>
                    </w:rPr>
                    <w:t>1、对涉重行业企业加强管理，建立土壤和地下水污染隐患排查治理制度、风险防控体系和长效监管机制。</w:t>
                  </w:r>
                </w:p>
              </w:tc>
              <w:tc>
                <w:tcPr>
                  <w:tcW w:w="3902" w:type="dxa"/>
                  <w:vAlign w:val="center"/>
                </w:tcPr>
                <w:p w14:paraId="520AAF58">
                  <w:pPr>
                    <w:pStyle w:val="16"/>
                    <w:spacing w:before="0" w:beforeAutospacing="0" w:after="0" w:afterAutospacing="0"/>
                    <w:jc w:val="both"/>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本企业建设路厂区和解放路厂区部分现有工程均属于涉重行业，企业将加强管理，建立土壤和地下水污染隐患排查治理制度、风险防控体系和长效监管机制。</w:t>
                  </w:r>
                </w:p>
              </w:tc>
              <w:tc>
                <w:tcPr>
                  <w:tcW w:w="531" w:type="dxa"/>
                  <w:vAlign w:val="center"/>
                </w:tcPr>
                <w:p w14:paraId="520AAF59">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6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0" w:type="dxa"/>
                  <w:vMerge w:val="continue"/>
                  <w:vAlign w:val="center"/>
                </w:tcPr>
                <w:p w14:paraId="520AAF5B">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700" w:type="dxa"/>
                  <w:vMerge w:val="continue"/>
                  <w:vAlign w:val="center"/>
                </w:tcPr>
                <w:p w14:paraId="520AAF5C">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561" w:type="dxa"/>
                  <w:vMerge w:val="continue"/>
                  <w:vAlign w:val="center"/>
                </w:tcPr>
                <w:p w14:paraId="520AAF5D">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1036" w:type="dxa"/>
                  <w:vMerge w:val="continue"/>
                  <w:vAlign w:val="center"/>
                </w:tcPr>
                <w:p w14:paraId="520AAF5E">
                  <w:pPr>
                    <w:autoSpaceDE w:val="0"/>
                    <w:autoSpaceDN w:val="0"/>
                    <w:adjustRightInd w:val="0"/>
                    <w:jc w:val="center"/>
                    <w:rPr>
                      <w:szCs w:val="21"/>
                      <w:highlight w:val="yellow"/>
                    </w:rPr>
                  </w:pPr>
                </w:p>
              </w:tc>
              <w:tc>
                <w:tcPr>
                  <w:tcW w:w="5920" w:type="dxa"/>
                  <w:vAlign w:val="center"/>
                </w:tcPr>
                <w:p w14:paraId="520AAF5F">
                  <w:pPr>
                    <w:autoSpaceDE w:val="0"/>
                    <w:autoSpaceDN w:val="0"/>
                    <w:adjustRightInd w:val="0"/>
                    <w:rPr>
                      <w:szCs w:val="21"/>
                    </w:rPr>
                  </w:pPr>
                  <w:r>
                    <w:rPr>
                      <w:rFonts w:hint="eastAsia"/>
                      <w:szCs w:val="21"/>
                    </w:rPr>
                    <w:t>2、高关注地块划分污染风险等级，纳入优先管控名录。</w:t>
                  </w:r>
                </w:p>
              </w:tc>
              <w:tc>
                <w:tcPr>
                  <w:tcW w:w="3902" w:type="dxa"/>
                  <w:vAlign w:val="center"/>
                </w:tcPr>
                <w:p w14:paraId="520AAF60">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本项目选址不属于高关注地块。</w:t>
                  </w:r>
                </w:p>
              </w:tc>
              <w:tc>
                <w:tcPr>
                  <w:tcW w:w="531" w:type="dxa"/>
                  <w:vAlign w:val="center"/>
                </w:tcPr>
                <w:p w14:paraId="520AAF61">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符合</w:t>
                  </w:r>
                </w:p>
              </w:tc>
            </w:tr>
            <w:tr w14:paraId="520AAF6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0" w:type="dxa"/>
                  <w:vMerge w:val="continue"/>
                  <w:vAlign w:val="center"/>
                </w:tcPr>
                <w:p w14:paraId="520AAF63">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700" w:type="dxa"/>
                  <w:vMerge w:val="continue"/>
                  <w:vAlign w:val="center"/>
                </w:tcPr>
                <w:p w14:paraId="520AAF64">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561" w:type="dxa"/>
                  <w:vMerge w:val="continue"/>
                  <w:vAlign w:val="center"/>
                </w:tcPr>
                <w:p w14:paraId="520AAF65">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1036" w:type="dxa"/>
                  <w:vMerge w:val="continue"/>
                  <w:vAlign w:val="center"/>
                </w:tcPr>
                <w:p w14:paraId="520AAF66">
                  <w:pPr>
                    <w:autoSpaceDE w:val="0"/>
                    <w:autoSpaceDN w:val="0"/>
                    <w:adjustRightInd w:val="0"/>
                    <w:jc w:val="center"/>
                    <w:rPr>
                      <w:szCs w:val="21"/>
                      <w:highlight w:val="yellow"/>
                    </w:rPr>
                  </w:pPr>
                </w:p>
              </w:tc>
              <w:tc>
                <w:tcPr>
                  <w:tcW w:w="5920" w:type="dxa"/>
                  <w:vAlign w:val="center"/>
                </w:tcPr>
                <w:p w14:paraId="520AAF67">
                  <w:pPr>
                    <w:autoSpaceDE w:val="0"/>
                    <w:autoSpaceDN w:val="0"/>
                    <w:adjustRightInd w:val="0"/>
                    <w:rPr>
                      <w:szCs w:val="21"/>
                    </w:rPr>
                  </w:pPr>
                  <w:r>
                    <w:rPr>
                      <w:rFonts w:hint="eastAsia"/>
                      <w:szCs w:val="21"/>
                    </w:rPr>
                    <w:t>3、加强环境安全管理工作，建立园区及企业事故环境风险应急体系，制定事故应急预案。在基础设施和各企业内部生产运营管理中，认真落实环境风险防范措施，杜绝发生污染事故。</w:t>
                  </w:r>
                </w:p>
              </w:tc>
              <w:tc>
                <w:tcPr>
                  <w:tcW w:w="3902" w:type="dxa"/>
                  <w:vAlign w:val="center"/>
                </w:tcPr>
                <w:p w14:paraId="520AAF68">
                  <w:pPr>
                    <w:pStyle w:val="16"/>
                    <w:spacing w:before="0" w:beforeAutospacing="0" w:after="0" w:afterAutospacing="0"/>
                    <w:jc w:val="center"/>
                    <w:outlineLvl w:val="0"/>
                    <w:rPr>
                      <w:rFonts w:ascii="Times New Roman" w:hAnsi="Times New Roman"/>
                      <w:sz w:val="21"/>
                      <w:szCs w:val="21"/>
                      <w:lang w:val="en-US"/>
                    </w:rPr>
                  </w:pPr>
                  <w:r>
                    <w:rPr>
                      <w:rFonts w:hint="eastAsia" w:ascii="Times New Roman" w:hAnsi="Times New Roman"/>
                      <w:bCs/>
                      <w:sz w:val="21"/>
                      <w:szCs w:val="21"/>
                      <w:lang w:val="en-US"/>
                    </w:rPr>
                    <w:t>本项目不涉及。</w:t>
                  </w:r>
                </w:p>
              </w:tc>
              <w:tc>
                <w:tcPr>
                  <w:tcW w:w="531" w:type="dxa"/>
                  <w:vAlign w:val="center"/>
                </w:tcPr>
                <w:p w14:paraId="520AAF69">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w:t>
                  </w:r>
                </w:p>
              </w:tc>
            </w:tr>
            <w:tr w14:paraId="520AAF7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0" w:type="dxa"/>
                  <w:vMerge w:val="continue"/>
                  <w:vAlign w:val="center"/>
                </w:tcPr>
                <w:p w14:paraId="520AAF6B">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700" w:type="dxa"/>
                  <w:vMerge w:val="continue"/>
                  <w:vAlign w:val="center"/>
                </w:tcPr>
                <w:p w14:paraId="520AAF6C">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561" w:type="dxa"/>
                  <w:vMerge w:val="continue"/>
                  <w:vAlign w:val="center"/>
                </w:tcPr>
                <w:p w14:paraId="520AAF6D">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1036" w:type="dxa"/>
                  <w:vMerge w:val="continue"/>
                  <w:vAlign w:val="center"/>
                </w:tcPr>
                <w:p w14:paraId="520AAF6E">
                  <w:pPr>
                    <w:autoSpaceDE w:val="0"/>
                    <w:autoSpaceDN w:val="0"/>
                    <w:adjustRightInd w:val="0"/>
                    <w:jc w:val="center"/>
                    <w:rPr>
                      <w:szCs w:val="21"/>
                      <w:highlight w:val="yellow"/>
                    </w:rPr>
                  </w:pPr>
                </w:p>
              </w:tc>
              <w:tc>
                <w:tcPr>
                  <w:tcW w:w="5920" w:type="dxa"/>
                  <w:vAlign w:val="center"/>
                </w:tcPr>
                <w:p w14:paraId="520AAF6F">
                  <w:pPr>
                    <w:autoSpaceDE w:val="0"/>
                    <w:autoSpaceDN w:val="0"/>
                    <w:adjustRightInd w:val="0"/>
                    <w:rPr>
                      <w:szCs w:val="21"/>
                    </w:rPr>
                  </w:pPr>
                  <w:r>
                    <w:rPr>
                      <w:rFonts w:hint="eastAsia"/>
                      <w:szCs w:val="21"/>
                    </w:rPr>
                    <w:t>4、有色金属冶炼、铅酸蓄电池、石油加工、化工、电镀、制革和危险化学品生产、储存、使用等企业在拆除生产设施设备、污染治理设施时，要事先制定企业拆除活动污染防治方案和拆除活动环境应急预案。</w:t>
                  </w:r>
                </w:p>
              </w:tc>
              <w:tc>
                <w:tcPr>
                  <w:tcW w:w="3902" w:type="dxa"/>
                  <w:vAlign w:val="center"/>
                </w:tcPr>
                <w:p w14:paraId="520AAF70">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bCs/>
                      <w:sz w:val="21"/>
                      <w:szCs w:val="21"/>
                      <w:lang w:val="en-US"/>
                    </w:rPr>
                    <w:t>本项目不涉及。</w:t>
                  </w:r>
                </w:p>
              </w:tc>
              <w:tc>
                <w:tcPr>
                  <w:tcW w:w="531" w:type="dxa"/>
                  <w:vAlign w:val="center"/>
                </w:tcPr>
                <w:p w14:paraId="520AAF71">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w:t>
                  </w:r>
                </w:p>
              </w:tc>
            </w:tr>
            <w:tr w14:paraId="520AAF7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0" w:type="dxa"/>
                  <w:vMerge w:val="continue"/>
                  <w:vAlign w:val="center"/>
                </w:tcPr>
                <w:p w14:paraId="520AAF73">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700" w:type="dxa"/>
                  <w:vMerge w:val="continue"/>
                  <w:vAlign w:val="center"/>
                </w:tcPr>
                <w:p w14:paraId="520AAF74">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561" w:type="dxa"/>
                  <w:vMerge w:val="continue"/>
                  <w:vAlign w:val="center"/>
                </w:tcPr>
                <w:p w14:paraId="520AAF75">
                  <w:pPr>
                    <w:pStyle w:val="16"/>
                    <w:spacing w:before="0" w:beforeAutospacing="0" w:after="0" w:afterAutospacing="0"/>
                    <w:jc w:val="center"/>
                    <w:outlineLvl w:val="0"/>
                    <w:rPr>
                      <w:rFonts w:ascii="Times New Roman" w:hAnsi="Times New Roman"/>
                      <w:snapToGrid w:val="0"/>
                      <w:sz w:val="21"/>
                      <w:szCs w:val="21"/>
                      <w:highlight w:val="yellow"/>
                      <w:lang w:val="en-US"/>
                    </w:rPr>
                  </w:pPr>
                </w:p>
              </w:tc>
              <w:tc>
                <w:tcPr>
                  <w:tcW w:w="1036" w:type="dxa"/>
                  <w:vAlign w:val="center"/>
                </w:tcPr>
                <w:p w14:paraId="520AAF76">
                  <w:pPr>
                    <w:autoSpaceDE w:val="0"/>
                    <w:autoSpaceDN w:val="0"/>
                    <w:adjustRightInd w:val="0"/>
                    <w:jc w:val="center"/>
                    <w:rPr>
                      <w:szCs w:val="21"/>
                    </w:rPr>
                  </w:pPr>
                  <w:r>
                    <w:rPr>
                      <w:rFonts w:hint="eastAsia"/>
                      <w:szCs w:val="21"/>
                    </w:rPr>
                    <w:t>资源利用效率要求</w:t>
                  </w:r>
                </w:p>
              </w:tc>
              <w:tc>
                <w:tcPr>
                  <w:tcW w:w="5920" w:type="dxa"/>
                  <w:vAlign w:val="center"/>
                </w:tcPr>
                <w:p w14:paraId="520AAF77">
                  <w:pPr>
                    <w:pStyle w:val="16"/>
                    <w:spacing w:before="0" w:beforeAutospacing="0" w:after="0" w:afterAutospacing="0"/>
                    <w:jc w:val="both"/>
                    <w:outlineLvl w:val="0"/>
                    <w:rPr>
                      <w:rFonts w:ascii="Times New Roman" w:hAnsi="Times New Roman"/>
                      <w:sz w:val="21"/>
                      <w:szCs w:val="21"/>
                      <w:lang w:val="en-US"/>
                    </w:rPr>
                  </w:pPr>
                  <w:r>
                    <w:rPr>
                      <w:rFonts w:hint="eastAsia" w:ascii="Times New Roman" w:hAnsi="Times New Roman"/>
                      <w:sz w:val="21"/>
                      <w:szCs w:val="21"/>
                      <w:lang w:val="en-US"/>
                    </w:rPr>
                    <w:t>加快集中供热、供气、供水、中水回用等市政公用工程建设。</w:t>
                  </w:r>
                </w:p>
              </w:tc>
              <w:tc>
                <w:tcPr>
                  <w:tcW w:w="3902" w:type="dxa"/>
                  <w:vAlign w:val="center"/>
                </w:tcPr>
                <w:p w14:paraId="520AAF78">
                  <w:pPr>
                    <w:pStyle w:val="16"/>
                    <w:spacing w:before="0" w:beforeAutospacing="0" w:after="0" w:afterAutospacing="0"/>
                    <w:jc w:val="center"/>
                    <w:outlineLvl w:val="0"/>
                    <w:rPr>
                      <w:rFonts w:ascii="Times New Roman" w:hAnsi="Times New Roman"/>
                      <w:sz w:val="21"/>
                      <w:szCs w:val="21"/>
                      <w:lang w:val="en-US"/>
                    </w:rPr>
                  </w:pPr>
                  <w:r>
                    <w:rPr>
                      <w:rFonts w:hint="eastAsia" w:ascii="Times New Roman" w:hAnsi="Times New Roman"/>
                      <w:bCs/>
                      <w:sz w:val="21"/>
                      <w:szCs w:val="21"/>
                      <w:lang w:val="en-US"/>
                    </w:rPr>
                    <w:t>本项目不涉及。</w:t>
                  </w:r>
                </w:p>
              </w:tc>
              <w:tc>
                <w:tcPr>
                  <w:tcW w:w="531" w:type="dxa"/>
                  <w:vAlign w:val="center"/>
                </w:tcPr>
                <w:p w14:paraId="520AAF79">
                  <w:pPr>
                    <w:pStyle w:val="16"/>
                    <w:spacing w:before="0" w:beforeAutospacing="0" w:after="0" w:afterAutospacing="0"/>
                    <w:jc w:val="center"/>
                    <w:outlineLvl w:val="0"/>
                    <w:rPr>
                      <w:rFonts w:ascii="Times New Roman" w:hAnsi="Times New Roman"/>
                      <w:snapToGrid w:val="0"/>
                      <w:sz w:val="21"/>
                      <w:szCs w:val="21"/>
                      <w:lang w:val="en-US"/>
                    </w:rPr>
                  </w:pPr>
                  <w:r>
                    <w:rPr>
                      <w:rFonts w:hint="eastAsia" w:ascii="Times New Roman" w:hAnsi="Times New Roman"/>
                      <w:snapToGrid w:val="0"/>
                      <w:sz w:val="21"/>
                      <w:szCs w:val="21"/>
                      <w:lang w:val="en-US"/>
                    </w:rPr>
                    <w:t>/</w:t>
                  </w:r>
                </w:p>
              </w:tc>
            </w:tr>
          </w:tbl>
          <w:p w14:paraId="520AAF7B">
            <w:pPr>
              <w:autoSpaceDE w:val="0"/>
              <w:autoSpaceDN w:val="0"/>
              <w:adjustRightInd w:val="0"/>
              <w:snapToGrid w:val="0"/>
              <w:spacing w:line="460" w:lineRule="exact"/>
              <w:ind w:firstLine="480" w:firstLineChars="200"/>
              <w:rPr>
                <w:sz w:val="24"/>
              </w:rPr>
            </w:pPr>
            <w:r>
              <w:rPr>
                <w:sz w:val="24"/>
              </w:rPr>
              <w:t>由上表可知，本项目符合《</w:t>
            </w:r>
            <w:r>
              <w:rPr>
                <w:rFonts w:hint="eastAsia"/>
                <w:sz w:val="24"/>
              </w:rPr>
              <w:t>新乡市“三线一单”生态环境准入清单（2023年版）-牧野区环境管控单元生态环境准入清单</w:t>
            </w:r>
            <w:r>
              <w:rPr>
                <w:sz w:val="24"/>
              </w:rPr>
              <w:t>》中的相关要求。</w:t>
            </w:r>
          </w:p>
          <w:p w14:paraId="520AAF7C">
            <w:pPr>
              <w:autoSpaceDE w:val="0"/>
              <w:autoSpaceDN w:val="0"/>
              <w:adjustRightInd w:val="0"/>
              <w:snapToGrid w:val="0"/>
              <w:spacing w:line="460" w:lineRule="exact"/>
              <w:ind w:firstLine="482" w:firstLineChars="200"/>
              <w:rPr>
                <w:b/>
                <w:sz w:val="24"/>
              </w:rPr>
            </w:pPr>
            <w:r>
              <w:rPr>
                <w:rFonts w:hint="eastAsia"/>
                <w:b/>
                <w:sz w:val="24"/>
              </w:rPr>
              <w:t>5</w:t>
            </w:r>
            <w:r>
              <w:rPr>
                <w:b/>
                <w:sz w:val="24"/>
              </w:rPr>
              <w:t>、与其他相关政策文件相符性分析</w:t>
            </w:r>
          </w:p>
          <w:p w14:paraId="520AAF7D">
            <w:pPr>
              <w:pStyle w:val="16"/>
              <w:adjustRightInd w:val="0"/>
              <w:snapToGrid w:val="0"/>
              <w:spacing w:before="0" w:beforeAutospacing="0" w:after="0" w:afterAutospacing="0" w:line="460" w:lineRule="exact"/>
              <w:ind w:firstLine="480" w:firstLineChars="200"/>
              <w:jc w:val="both"/>
              <w:outlineLvl w:val="0"/>
              <w:rPr>
                <w:rFonts w:ascii="Times New Roman" w:hAnsi="Times New Roman"/>
                <w:lang w:val="en-US"/>
              </w:rPr>
            </w:pPr>
            <w:r>
              <w:rPr>
                <w:rFonts w:ascii="Times New Roman" w:hAnsi="Times New Roman"/>
                <w:lang w:val="en-US"/>
              </w:rPr>
              <w:t>（1）本项目与</w:t>
            </w:r>
            <w:r>
              <w:rPr>
                <w:rFonts w:hint="eastAsia" w:ascii="Times New Roman" w:hAnsi="Times New Roman"/>
              </w:rPr>
              <w:t>《新乡市生态环境保护委员会办公室关于印发〈新乡市2025年蓝天保卫战实施方案〉〈新乡市2025年碧水保卫战实施方案〉〈新乡市2025年净土保卫战实施方案〉〈新乡市2025年柴油货车污染治理攻坚战实施方案〉的通知》（新环委办〔2025〕38号）（以下简称《通知》）</w:t>
            </w:r>
            <w:r>
              <w:rPr>
                <w:rFonts w:ascii="Times New Roman" w:hAnsi="Times New Roman"/>
                <w:lang w:val="en-US"/>
              </w:rPr>
              <w:t>对比分析</w:t>
            </w:r>
          </w:p>
          <w:p w14:paraId="520AAF7E">
            <w:pPr>
              <w:adjustRightInd w:val="0"/>
              <w:snapToGrid w:val="0"/>
              <w:spacing w:line="460" w:lineRule="exact"/>
              <w:ind w:firstLine="480" w:firstLineChars="200"/>
              <w:textAlignment w:val="baseline"/>
              <w:outlineLvl w:val="0"/>
              <w:rPr>
                <w:rFonts w:eastAsia="黑体"/>
                <w:sz w:val="24"/>
              </w:rPr>
            </w:pPr>
            <w:r>
              <w:rPr>
                <w:rFonts w:eastAsia="黑体"/>
                <w:sz w:val="24"/>
              </w:rPr>
              <w:t xml:space="preserve">表5          </w:t>
            </w:r>
            <w:r>
              <w:rPr>
                <w:rFonts w:hint="eastAsia" w:eastAsia="黑体"/>
                <w:sz w:val="24"/>
              </w:rPr>
              <w:t xml:space="preserve">      </w:t>
            </w:r>
            <w:r>
              <w:rPr>
                <w:rFonts w:eastAsia="黑体"/>
                <w:sz w:val="24"/>
              </w:rPr>
              <w:t xml:space="preserve">          </w:t>
            </w:r>
            <w:r>
              <w:rPr>
                <w:rFonts w:hint="eastAsia" w:eastAsia="黑体"/>
                <w:sz w:val="24"/>
              </w:rPr>
              <w:t xml:space="preserve">     </w:t>
            </w:r>
            <w:r>
              <w:rPr>
                <w:rFonts w:eastAsia="黑体"/>
                <w:sz w:val="24"/>
              </w:rPr>
              <w:t xml:space="preserve">        与《</w:t>
            </w:r>
            <w:r>
              <w:rPr>
                <w:rFonts w:hint="eastAsia" w:eastAsia="黑体"/>
                <w:sz w:val="24"/>
              </w:rPr>
              <w:t>通知</w:t>
            </w:r>
            <w:r>
              <w:rPr>
                <w:rFonts w:eastAsia="黑体"/>
                <w:sz w:val="24"/>
              </w:rPr>
              <w:t>》对比表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1031"/>
              <w:gridCol w:w="7656"/>
              <w:gridCol w:w="4167"/>
              <w:gridCol w:w="582"/>
            </w:tblGrid>
            <w:tr w14:paraId="520AAF8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541" w:type="dxa"/>
                  <w:gridSpan w:val="2"/>
                  <w:vAlign w:val="center"/>
                </w:tcPr>
                <w:p w14:paraId="520AAF7F">
                  <w:pPr>
                    <w:adjustRightInd w:val="0"/>
                    <w:snapToGrid w:val="0"/>
                    <w:jc w:val="center"/>
                    <w:textAlignment w:val="baseline"/>
                    <w:outlineLvl w:val="0"/>
                    <w:rPr>
                      <w:b/>
                      <w:bCs/>
                      <w:szCs w:val="21"/>
                    </w:rPr>
                  </w:pPr>
                  <w:r>
                    <w:rPr>
                      <w:b/>
                      <w:bCs/>
                      <w:szCs w:val="21"/>
                    </w:rPr>
                    <w:t>与本项目相关条文</w:t>
                  </w:r>
                </w:p>
              </w:tc>
              <w:tc>
                <w:tcPr>
                  <w:tcW w:w="4097" w:type="dxa"/>
                  <w:vAlign w:val="center"/>
                </w:tcPr>
                <w:p w14:paraId="520AAF80">
                  <w:pPr>
                    <w:adjustRightInd w:val="0"/>
                    <w:snapToGrid w:val="0"/>
                    <w:jc w:val="center"/>
                    <w:textAlignment w:val="baseline"/>
                    <w:outlineLvl w:val="0"/>
                    <w:rPr>
                      <w:b/>
                      <w:bCs/>
                      <w:szCs w:val="21"/>
                    </w:rPr>
                  </w:pPr>
                  <w:r>
                    <w:rPr>
                      <w:b/>
                      <w:bCs/>
                      <w:szCs w:val="21"/>
                    </w:rPr>
                    <w:t>本项目情况</w:t>
                  </w:r>
                </w:p>
              </w:tc>
              <w:tc>
                <w:tcPr>
                  <w:tcW w:w="572" w:type="dxa"/>
                  <w:vAlign w:val="center"/>
                </w:tcPr>
                <w:p w14:paraId="520AAF81">
                  <w:pPr>
                    <w:adjustRightInd w:val="0"/>
                    <w:snapToGrid w:val="0"/>
                    <w:jc w:val="center"/>
                    <w:textAlignment w:val="baseline"/>
                    <w:outlineLvl w:val="0"/>
                    <w:rPr>
                      <w:b/>
                      <w:bCs/>
                      <w:szCs w:val="21"/>
                    </w:rPr>
                  </w:pPr>
                  <w:r>
                    <w:rPr>
                      <w:b/>
                      <w:bCs/>
                      <w:szCs w:val="21"/>
                    </w:rPr>
                    <w:t>对比结果</w:t>
                  </w:r>
                </w:p>
              </w:tc>
            </w:tr>
            <w:tr w14:paraId="520AAF8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210" w:type="dxa"/>
                  <w:gridSpan w:val="4"/>
                  <w:vAlign w:val="center"/>
                </w:tcPr>
                <w:p w14:paraId="520AAF83">
                  <w:pPr>
                    <w:adjustRightInd w:val="0"/>
                    <w:snapToGrid w:val="0"/>
                    <w:jc w:val="center"/>
                    <w:textAlignment w:val="baseline"/>
                    <w:outlineLvl w:val="0"/>
                    <w:rPr>
                      <w:b/>
                      <w:bCs/>
                      <w:szCs w:val="21"/>
                    </w:rPr>
                  </w:pPr>
                  <w:r>
                    <w:rPr>
                      <w:rFonts w:hint="eastAsia"/>
                      <w:b/>
                      <w:bCs/>
                      <w:szCs w:val="21"/>
                    </w:rPr>
                    <w:t>新乡市2025年蓝天保卫战实施方案</w:t>
                  </w:r>
                </w:p>
              </w:tc>
            </w:tr>
            <w:tr w14:paraId="520AAF8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Align w:val="center"/>
                </w:tcPr>
                <w:p w14:paraId="520AAF85">
                  <w:pPr>
                    <w:adjustRightInd w:val="0"/>
                    <w:snapToGrid w:val="0"/>
                    <w:jc w:val="center"/>
                    <w:textAlignment w:val="baseline"/>
                    <w:outlineLvl w:val="0"/>
                    <w:rPr>
                      <w:szCs w:val="21"/>
                    </w:rPr>
                  </w:pPr>
                  <w:r>
                    <w:rPr>
                      <w:rFonts w:hint="eastAsia"/>
                    </w:rPr>
                    <w:t>2.严管严控“两高”项目</w:t>
                  </w:r>
                </w:p>
              </w:tc>
              <w:tc>
                <w:tcPr>
                  <w:tcW w:w="7527" w:type="dxa"/>
                  <w:vAlign w:val="center"/>
                </w:tcPr>
                <w:p w14:paraId="520AAF86">
                  <w:pPr>
                    <w:adjustRightInd w:val="0"/>
                    <w:snapToGrid w:val="0"/>
                    <w:textAlignment w:val="baseline"/>
                    <w:outlineLvl w:val="0"/>
                  </w:pPr>
                  <w:r>
                    <w:rPr>
                      <w:rFonts w:hint="eastAsia"/>
                    </w:rPr>
                    <w:t>严格落实国家和我省“两高”项目相关要求。严格执行有关行业产能置换政策，被置换产能及其配套设施关停后，新建项目方可投产。国家、省绩效分级重点行业以及涉及锅炉炉窑的其他行业，新改扩建项目原则上达到环境绩效A级和国内清洁生产先进水平。</w:t>
                  </w:r>
                </w:p>
              </w:tc>
              <w:tc>
                <w:tcPr>
                  <w:tcW w:w="4097" w:type="dxa"/>
                  <w:vAlign w:val="center"/>
                </w:tcPr>
                <w:p w14:paraId="520AAF87">
                  <w:pPr>
                    <w:adjustRightInd w:val="0"/>
                    <w:snapToGrid w:val="0"/>
                    <w:textAlignment w:val="baseline"/>
                    <w:outlineLvl w:val="0"/>
                    <w:rPr>
                      <w:szCs w:val="21"/>
                      <w:highlight w:val="yellow"/>
                    </w:rPr>
                  </w:pPr>
                  <w:r>
                    <w:rPr>
                      <w:rFonts w:hint="eastAsia"/>
                    </w:rPr>
                    <w:t>本项目不属于“两高”项目，不属于产能置换项目。本项目为改建项目，将</w:t>
                  </w:r>
                  <w:r>
                    <w:rPr>
                      <w:rFonts w:hint="eastAsia"/>
                      <w:snapToGrid w:val="0"/>
                      <w:szCs w:val="21"/>
                    </w:rPr>
                    <w:t>《河南省重污染天气通用行业应急减排措施制定技术指南》</w:t>
                  </w:r>
                  <w:r>
                    <w:rPr>
                      <w:rFonts w:hint="eastAsia"/>
                      <w:bCs/>
                      <w:snapToGrid w:val="0"/>
                      <w:szCs w:val="21"/>
                    </w:rPr>
                    <w:t>（2024年修订版）</w:t>
                  </w:r>
                  <w:r>
                    <w:rPr>
                      <w:rFonts w:hint="eastAsia"/>
                      <w:snapToGrid w:val="0"/>
                      <w:szCs w:val="21"/>
                    </w:rPr>
                    <w:t>中涉VOCs企业和</w:t>
                  </w:r>
                  <w:r>
                    <w:rPr>
                      <w:snapToGrid w:val="0"/>
                      <w:szCs w:val="21"/>
                    </w:rPr>
                    <w:t>《</w:t>
                  </w:r>
                  <w:r>
                    <w:rPr>
                      <w:rFonts w:hint="eastAsia"/>
                      <w:snapToGrid w:val="0"/>
                      <w:szCs w:val="21"/>
                    </w:rPr>
                    <w:t>重污染天气重点行业应急减排措施制度技术指南</w:t>
                  </w:r>
                  <w:r>
                    <w:rPr>
                      <w:snapToGrid w:val="0"/>
                      <w:szCs w:val="21"/>
                    </w:rPr>
                    <w:t>》</w:t>
                  </w:r>
                  <w:r>
                    <w:rPr>
                      <w:rFonts w:hint="eastAsia"/>
                      <w:snapToGrid w:val="0"/>
                      <w:szCs w:val="21"/>
                    </w:rPr>
                    <w:t>（2020</w:t>
                  </w:r>
                  <w:r>
                    <w:rPr>
                      <w:snapToGrid w:val="0"/>
                      <w:szCs w:val="21"/>
                    </w:rPr>
                    <w:t>年修订版</w:t>
                  </w:r>
                  <w:r>
                    <w:rPr>
                      <w:rFonts w:hint="eastAsia"/>
                      <w:snapToGrid w:val="0"/>
                      <w:szCs w:val="21"/>
                    </w:rPr>
                    <w:t>）中橡胶制品行业的相关要求进行建设</w:t>
                  </w:r>
                  <w:r>
                    <w:rPr>
                      <w:rFonts w:hint="eastAsia"/>
                    </w:rPr>
                    <w:t>，能够达到国内清洁生产先进水平。项目建成后企业将按照要求进行绩效评级。</w:t>
                  </w:r>
                </w:p>
              </w:tc>
              <w:tc>
                <w:tcPr>
                  <w:tcW w:w="572" w:type="dxa"/>
                  <w:vAlign w:val="center"/>
                </w:tcPr>
                <w:p w14:paraId="520AAF88">
                  <w:pPr>
                    <w:adjustRightInd w:val="0"/>
                    <w:snapToGrid w:val="0"/>
                    <w:jc w:val="center"/>
                    <w:textAlignment w:val="baseline"/>
                    <w:outlineLvl w:val="0"/>
                    <w:rPr>
                      <w:szCs w:val="21"/>
                      <w:highlight w:val="yellow"/>
                    </w:rPr>
                  </w:pPr>
                  <w:r>
                    <w:rPr>
                      <w:szCs w:val="21"/>
                    </w:rPr>
                    <w:t>符合</w:t>
                  </w:r>
                </w:p>
              </w:tc>
            </w:tr>
            <w:tr w14:paraId="520AAF8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Align w:val="center"/>
                </w:tcPr>
                <w:p w14:paraId="520AAF8A">
                  <w:pPr>
                    <w:adjustRightInd w:val="0"/>
                    <w:snapToGrid w:val="0"/>
                    <w:jc w:val="center"/>
                    <w:textAlignment w:val="baseline"/>
                    <w:outlineLvl w:val="0"/>
                    <w:rPr>
                      <w:szCs w:val="21"/>
                    </w:rPr>
                  </w:pPr>
                  <w:r>
                    <w:rPr>
                      <w:rFonts w:hint="eastAsia"/>
                    </w:rPr>
                    <w:t>5.实施工业炉窑清洁能源替代</w:t>
                  </w:r>
                </w:p>
              </w:tc>
              <w:tc>
                <w:tcPr>
                  <w:tcW w:w="7527" w:type="dxa"/>
                  <w:vAlign w:val="center"/>
                </w:tcPr>
                <w:p w14:paraId="520AAF8B">
                  <w:pPr>
                    <w:adjustRightInd w:val="0"/>
                    <w:snapToGrid w:val="0"/>
                    <w:textAlignment w:val="baseline"/>
                    <w:outlineLvl w:val="0"/>
                  </w:pPr>
                  <w:r>
                    <w:rPr>
                      <w:rFonts w:hint="eastAsia"/>
                    </w:rPr>
                    <w:t>2025年10月底前，完成卫辉市新乡北新建材有限公司工业炉窑清洁低碳能源替代，基本实现全市使用高污染燃料工业窑炉清零，未完成的纳入秋冬季错峰生产调控。禁止新建、扩建使用高污染燃料的各类工业窑炉，依法取缔违规建设的煤气发生炉，防止死灰复燃。</w:t>
                  </w:r>
                </w:p>
              </w:tc>
              <w:tc>
                <w:tcPr>
                  <w:tcW w:w="4097" w:type="dxa"/>
                  <w:vAlign w:val="center"/>
                </w:tcPr>
                <w:p w14:paraId="520AAF8C">
                  <w:pPr>
                    <w:adjustRightInd w:val="0"/>
                    <w:snapToGrid w:val="0"/>
                    <w:textAlignment w:val="baseline"/>
                    <w:outlineLvl w:val="0"/>
                    <w:rPr>
                      <w:szCs w:val="21"/>
                    </w:rPr>
                  </w:pPr>
                  <w:r>
                    <w:rPr>
                      <w:rFonts w:hint="eastAsia"/>
                      <w:szCs w:val="21"/>
                    </w:rPr>
                    <w:t>本项目为航空、航天器及设备制造项目，能源使用电能。</w:t>
                  </w:r>
                </w:p>
              </w:tc>
              <w:tc>
                <w:tcPr>
                  <w:tcW w:w="572" w:type="dxa"/>
                  <w:vAlign w:val="center"/>
                </w:tcPr>
                <w:p w14:paraId="520AAF8D">
                  <w:pPr>
                    <w:adjustRightInd w:val="0"/>
                    <w:snapToGrid w:val="0"/>
                    <w:jc w:val="center"/>
                    <w:textAlignment w:val="baseline"/>
                    <w:outlineLvl w:val="0"/>
                    <w:rPr>
                      <w:szCs w:val="21"/>
                    </w:rPr>
                  </w:pPr>
                  <w:r>
                    <w:rPr>
                      <w:szCs w:val="21"/>
                    </w:rPr>
                    <w:t>符合</w:t>
                  </w:r>
                </w:p>
              </w:tc>
            </w:tr>
            <w:tr w14:paraId="520AAF9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Align w:val="center"/>
                </w:tcPr>
                <w:p w14:paraId="520AAF8F">
                  <w:pPr>
                    <w:adjustRightInd w:val="0"/>
                    <w:snapToGrid w:val="0"/>
                    <w:jc w:val="center"/>
                    <w:textAlignment w:val="baseline"/>
                    <w:outlineLvl w:val="0"/>
                  </w:pPr>
                  <w:r>
                    <w:rPr>
                      <w:rFonts w:hint="eastAsia"/>
                    </w:rPr>
                    <w:t>9.实施挥发性有机物综合治理</w:t>
                  </w:r>
                </w:p>
              </w:tc>
              <w:tc>
                <w:tcPr>
                  <w:tcW w:w="7527" w:type="dxa"/>
                  <w:vAlign w:val="center"/>
                </w:tcPr>
                <w:p w14:paraId="520AAF90">
                  <w:pPr>
                    <w:adjustRightInd w:val="0"/>
                    <w:snapToGrid w:val="0"/>
                    <w:textAlignment w:val="baseline"/>
                    <w:outlineLvl w:val="0"/>
                  </w:pPr>
                  <w:r>
                    <w:rPr>
                      <w:rFonts w:hint="eastAsia"/>
                    </w:rPr>
                    <w:t>实施涉VOCs重点企业“夏病冬治”，2025年5月15日前完成对全市2000余家工业涂装、包装印刷、医药化工等行业企业的帮扶指导，加强全流程综合治理，减少VOCs排放。重点开展挥发性有机液体储罐、装卸、敞开液面、泄漏检测与修复（LDAR）、废气收集、废气旁路、治理设施、加油站、非正常工况、产品VOCs含量等10个关键环节的VOCs治理突出问题排查整治，在汽车、机械制造、家具、汽修、塑料软包装、印铁制罐、包装印刷等领域深入推广使用低（无）VOCs含量涂料和油墨。2025年5月10日前，开展一轮次活性炭更换和泄漏检测与修复，完成26家企业泄漏检测与修复，11个VOCs综合治理任务。</w:t>
                  </w:r>
                </w:p>
              </w:tc>
              <w:tc>
                <w:tcPr>
                  <w:tcW w:w="4097" w:type="dxa"/>
                  <w:vAlign w:val="center"/>
                </w:tcPr>
                <w:p w14:paraId="520AAF91">
                  <w:pPr>
                    <w:adjustRightInd w:val="0"/>
                    <w:snapToGrid w:val="0"/>
                    <w:textAlignment w:val="baseline"/>
                    <w:outlineLvl w:val="0"/>
                    <w:rPr>
                      <w:szCs w:val="21"/>
                    </w:rPr>
                  </w:pPr>
                  <w:r>
                    <w:rPr>
                      <w:rFonts w:hint="eastAsia"/>
                      <w:szCs w:val="21"/>
                    </w:rPr>
                    <w:t>本项目为航空、航天器及设备制造项目，液压油试验工序废气采用“干式过滤+活性炭吸脱附-催化燃烧装置”进行治理。滑油试验工序废气采用“活性炭吸附/脱附-催化燃烧装置”进行治理。</w:t>
                  </w:r>
                  <w:r>
                    <w:rPr>
                      <w:szCs w:val="21"/>
                    </w:rPr>
                    <w:t>液体冷却子系统试验</w:t>
                  </w:r>
                  <w:r>
                    <w:rPr>
                      <w:rFonts w:hint="eastAsia"/>
                      <w:szCs w:val="21"/>
                    </w:rPr>
                    <w:t>工序废气采用“干式过滤+活性炭吸附/脱附-催化燃烧装置”进行治理。硫化废气采用“活性炭吸脱附-催化燃烧装置”进行治理。</w:t>
                  </w:r>
                </w:p>
              </w:tc>
              <w:tc>
                <w:tcPr>
                  <w:tcW w:w="572" w:type="dxa"/>
                  <w:vAlign w:val="center"/>
                </w:tcPr>
                <w:p w14:paraId="520AAF92">
                  <w:pPr>
                    <w:adjustRightInd w:val="0"/>
                    <w:snapToGrid w:val="0"/>
                    <w:jc w:val="center"/>
                    <w:textAlignment w:val="baseline"/>
                    <w:outlineLvl w:val="0"/>
                    <w:rPr>
                      <w:szCs w:val="21"/>
                    </w:rPr>
                  </w:pPr>
                  <w:r>
                    <w:rPr>
                      <w:szCs w:val="21"/>
                    </w:rPr>
                    <w:t>符合</w:t>
                  </w:r>
                </w:p>
              </w:tc>
            </w:tr>
            <w:tr w14:paraId="520AAF9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210" w:type="dxa"/>
                  <w:gridSpan w:val="4"/>
                  <w:vAlign w:val="center"/>
                </w:tcPr>
                <w:p w14:paraId="520AAF94">
                  <w:pPr>
                    <w:adjustRightInd w:val="0"/>
                    <w:snapToGrid w:val="0"/>
                    <w:jc w:val="center"/>
                    <w:textAlignment w:val="baseline"/>
                    <w:outlineLvl w:val="0"/>
                    <w:rPr>
                      <w:b/>
                      <w:bCs/>
                      <w:szCs w:val="21"/>
                      <w:highlight w:val="yellow"/>
                    </w:rPr>
                  </w:pPr>
                  <w:r>
                    <w:rPr>
                      <w:rFonts w:hint="eastAsia"/>
                      <w:b/>
                      <w:bCs/>
                      <w:szCs w:val="21"/>
                    </w:rPr>
                    <w:t>新乡市202</w:t>
                  </w:r>
                  <w:r>
                    <w:rPr>
                      <w:b/>
                      <w:bCs/>
                      <w:szCs w:val="21"/>
                    </w:rPr>
                    <w:t>5</w:t>
                  </w:r>
                  <w:r>
                    <w:rPr>
                      <w:rFonts w:hint="eastAsia"/>
                      <w:b/>
                      <w:bCs/>
                      <w:szCs w:val="21"/>
                    </w:rPr>
                    <w:t>年碧水保卫战实施方案</w:t>
                  </w:r>
                </w:p>
              </w:tc>
            </w:tr>
            <w:tr w14:paraId="520AAF9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Align w:val="center"/>
                </w:tcPr>
                <w:p w14:paraId="520AAF96">
                  <w:pPr>
                    <w:adjustRightInd w:val="0"/>
                    <w:snapToGrid w:val="0"/>
                    <w:jc w:val="center"/>
                    <w:textAlignment w:val="baseline"/>
                    <w:outlineLvl w:val="0"/>
                    <w:rPr>
                      <w:szCs w:val="21"/>
                    </w:rPr>
                  </w:pPr>
                  <w:r>
                    <w:rPr>
                      <w:rFonts w:hint="eastAsia"/>
                    </w:rPr>
                    <w:t>13.推动企业绿色转型发展</w:t>
                  </w:r>
                </w:p>
              </w:tc>
              <w:tc>
                <w:tcPr>
                  <w:tcW w:w="7527" w:type="dxa"/>
                  <w:vAlign w:val="center"/>
                </w:tcPr>
                <w:p w14:paraId="520AAF97">
                  <w:pPr>
                    <w:adjustRightInd w:val="0"/>
                    <w:snapToGrid w:val="0"/>
                    <w:textAlignment w:val="baseline"/>
                    <w:outlineLvl w:val="0"/>
                  </w:pPr>
                  <w:r>
                    <w:rPr>
                      <w:rFonts w:hint="eastAsia"/>
                    </w:rPr>
                    <w:t>坚决遏制“两高一低”项目盲目发展，严把新建项目准入关；严格落实生态环境分区管控，加快推进工业企业绿色转型发展；培育壮大节能、节水、环保和资源综合利用产业，提高能源资源利用效率；对有色金属、化工、电镀、制革、造纸、印染、农副食品加工等行业，全面推进清洁生产改造或清洁化改造。2025年全面实施27家重点行业企业强制性清洁生产审核。</w:t>
                  </w:r>
                </w:p>
              </w:tc>
              <w:tc>
                <w:tcPr>
                  <w:tcW w:w="4097" w:type="dxa"/>
                  <w:vAlign w:val="center"/>
                </w:tcPr>
                <w:p w14:paraId="520AAF98">
                  <w:pPr>
                    <w:adjustRightInd w:val="0"/>
                    <w:snapToGrid w:val="0"/>
                    <w:textAlignment w:val="baseline"/>
                    <w:outlineLvl w:val="0"/>
                    <w:rPr>
                      <w:szCs w:val="21"/>
                    </w:rPr>
                  </w:pPr>
                  <w:r>
                    <w:rPr>
                      <w:rFonts w:hint="eastAsia"/>
                      <w:szCs w:val="21"/>
                    </w:rPr>
                    <w:t>本项目为航空、航天器及设备制造项目，</w:t>
                  </w:r>
                  <w:r>
                    <w:rPr>
                      <w:rFonts w:hint="eastAsia"/>
                    </w:rPr>
                    <w:t>不属于“两高一低”项目，企业现有工程涉及电镀，已按要求进行清洁生产审核，减少耗水量，提高能源利用效率。</w:t>
                  </w:r>
                </w:p>
              </w:tc>
              <w:tc>
                <w:tcPr>
                  <w:tcW w:w="572" w:type="dxa"/>
                  <w:vAlign w:val="center"/>
                </w:tcPr>
                <w:p w14:paraId="520AAF99">
                  <w:pPr>
                    <w:adjustRightInd w:val="0"/>
                    <w:snapToGrid w:val="0"/>
                    <w:jc w:val="center"/>
                    <w:textAlignment w:val="baseline"/>
                    <w:outlineLvl w:val="0"/>
                    <w:rPr>
                      <w:szCs w:val="21"/>
                    </w:rPr>
                  </w:pPr>
                  <w:r>
                    <w:rPr>
                      <w:rFonts w:hint="eastAsia"/>
                      <w:szCs w:val="21"/>
                    </w:rPr>
                    <w:t>符合</w:t>
                  </w:r>
                </w:p>
              </w:tc>
            </w:tr>
            <w:tr w14:paraId="520AAF9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Align w:val="center"/>
                </w:tcPr>
                <w:p w14:paraId="520AAF9B">
                  <w:pPr>
                    <w:adjustRightInd w:val="0"/>
                    <w:snapToGrid w:val="0"/>
                    <w:jc w:val="center"/>
                    <w:textAlignment w:val="baseline"/>
                    <w:outlineLvl w:val="0"/>
                    <w:rPr>
                      <w:szCs w:val="21"/>
                    </w:rPr>
                  </w:pPr>
                  <w:r>
                    <w:rPr>
                      <w:rFonts w:hint="eastAsia"/>
                    </w:rPr>
                    <w:t>16.严格防范水生态环境风险防控</w:t>
                  </w:r>
                </w:p>
              </w:tc>
              <w:tc>
                <w:tcPr>
                  <w:tcW w:w="7527" w:type="dxa"/>
                  <w:vAlign w:val="center"/>
                </w:tcPr>
                <w:p w14:paraId="520AAF9C">
                  <w:pPr>
                    <w:adjustRightInd w:val="0"/>
                    <w:snapToGrid w:val="0"/>
                    <w:textAlignment w:val="baseline"/>
                    <w:outlineLvl w:val="0"/>
                  </w:pPr>
                  <w:r>
                    <w:rPr>
                      <w:rFonts w:hint="eastAsia"/>
                    </w:rPr>
                    <w:t>以涉危涉重企业、工业园区为重点，全面排查相关企业危废、高浓废液的产生量、特征污染物，严格储存、转移、处置管理，严防非法倾倒和填埋现象发生；强化应急设施建设，通过建设事故调蓄池、应急闸坝等预防性设施，消除水环境安全隐患；有序推进化工园区环境应急三级防控体系建设；完善上下游水污染防治应急联动机制，避免发生跨界水污染事件；强化饮用水水源保护区、南水北调中线工程总干渠（新乡段）保护区以及其他敏感水体的“一废一品”监管；根据我市制定的卫河、共产主义渠、文岩渠、天然渠、人民胜利渠、西柳青河等重点河流“一河一策一图”应急处置方案，开展应急演练，提升突发环境事件应急处置能力；加强汛期有关部门联防联控，严格落实排水闸门管理机制，防范汛期水环境风险。</w:t>
                  </w:r>
                </w:p>
              </w:tc>
              <w:tc>
                <w:tcPr>
                  <w:tcW w:w="4097" w:type="dxa"/>
                  <w:vAlign w:val="center"/>
                </w:tcPr>
                <w:p w14:paraId="520AAF9D">
                  <w:pPr>
                    <w:adjustRightInd w:val="0"/>
                    <w:snapToGrid w:val="0"/>
                    <w:textAlignment w:val="baseline"/>
                    <w:outlineLvl w:val="0"/>
                    <w:rPr>
                      <w:szCs w:val="21"/>
                    </w:rPr>
                  </w:pPr>
                  <w:r>
                    <w:rPr>
                      <w:rFonts w:hint="eastAsia"/>
                    </w:rPr>
                    <w:t>企业设置有事故废水收集池、应急闸坝等设施，可满足事故状态下废水暂存需要。企业将配合其他部门进行上下游水污染防治应急联动。企业将加强汛期与有关部门联防联控，防范汛期水环境风险。</w:t>
                  </w:r>
                </w:p>
              </w:tc>
              <w:tc>
                <w:tcPr>
                  <w:tcW w:w="572" w:type="dxa"/>
                  <w:vAlign w:val="center"/>
                </w:tcPr>
                <w:p w14:paraId="520AAF9E">
                  <w:pPr>
                    <w:adjustRightInd w:val="0"/>
                    <w:snapToGrid w:val="0"/>
                    <w:jc w:val="center"/>
                    <w:textAlignment w:val="baseline"/>
                    <w:outlineLvl w:val="0"/>
                    <w:rPr>
                      <w:szCs w:val="21"/>
                    </w:rPr>
                  </w:pPr>
                  <w:r>
                    <w:rPr>
                      <w:rFonts w:hint="eastAsia"/>
                      <w:szCs w:val="21"/>
                    </w:rPr>
                    <w:t>符合</w:t>
                  </w:r>
                </w:p>
              </w:tc>
            </w:tr>
            <w:tr w14:paraId="520AAFA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210" w:type="dxa"/>
                  <w:gridSpan w:val="4"/>
                  <w:vAlign w:val="center"/>
                </w:tcPr>
                <w:p w14:paraId="520AAFA0">
                  <w:pPr>
                    <w:adjustRightInd w:val="0"/>
                    <w:snapToGrid w:val="0"/>
                    <w:jc w:val="center"/>
                    <w:textAlignment w:val="baseline"/>
                    <w:outlineLvl w:val="0"/>
                    <w:rPr>
                      <w:b/>
                      <w:bCs/>
                      <w:szCs w:val="21"/>
                      <w:highlight w:val="yellow"/>
                    </w:rPr>
                  </w:pPr>
                  <w:r>
                    <w:rPr>
                      <w:rFonts w:hint="eastAsia"/>
                      <w:b/>
                      <w:bCs/>
                      <w:szCs w:val="21"/>
                    </w:rPr>
                    <w:t>新乡市202</w:t>
                  </w:r>
                  <w:r>
                    <w:rPr>
                      <w:b/>
                      <w:bCs/>
                      <w:szCs w:val="21"/>
                    </w:rPr>
                    <w:t>5</w:t>
                  </w:r>
                  <w:r>
                    <w:rPr>
                      <w:rFonts w:hint="eastAsia"/>
                      <w:b/>
                      <w:bCs/>
                      <w:szCs w:val="21"/>
                    </w:rPr>
                    <w:t>年净土保卫战实施方案</w:t>
                  </w:r>
                </w:p>
              </w:tc>
            </w:tr>
            <w:tr w14:paraId="520AAFA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Align w:val="center"/>
                </w:tcPr>
                <w:p w14:paraId="520AAFA2">
                  <w:pPr>
                    <w:adjustRightInd w:val="0"/>
                    <w:snapToGrid w:val="0"/>
                    <w:jc w:val="center"/>
                    <w:textAlignment w:val="baseline"/>
                    <w:outlineLvl w:val="0"/>
                    <w:rPr>
                      <w:szCs w:val="21"/>
                    </w:rPr>
                  </w:pPr>
                  <w:r>
                    <w:rPr>
                      <w:rFonts w:hint="eastAsia"/>
                    </w:rPr>
                    <w:t>7.加强重点监管单位规范化管理</w:t>
                  </w:r>
                </w:p>
              </w:tc>
              <w:tc>
                <w:tcPr>
                  <w:tcW w:w="7527" w:type="dxa"/>
                  <w:vAlign w:val="center"/>
                </w:tcPr>
                <w:p w14:paraId="520AAFA3">
                  <w:pPr>
                    <w:adjustRightInd w:val="0"/>
                    <w:snapToGrid w:val="0"/>
                    <w:textAlignment w:val="baseline"/>
                    <w:outlineLvl w:val="0"/>
                  </w:pPr>
                  <w:r>
                    <w:rPr>
                      <w:rFonts w:hint="eastAsia"/>
                    </w:rPr>
                    <w:t>动态更新土壤污染重点监管单位名录，并向社会公开。指导土壤污染重点监管单位按照排污许可证规定和标准规范落实控制有毒有害物质排放、土壤污染隐患排查、自行监测等要求。做好土壤污染重点监管单位隐患排查问题整改，并将隐患排查报告及相关材料上传至重点监管单位土壤和地下水环境管理信息系统。</w:t>
                  </w:r>
                </w:p>
              </w:tc>
              <w:tc>
                <w:tcPr>
                  <w:tcW w:w="4097" w:type="dxa"/>
                  <w:vAlign w:val="center"/>
                </w:tcPr>
                <w:p w14:paraId="520AAFA4">
                  <w:pPr>
                    <w:adjustRightInd w:val="0"/>
                    <w:snapToGrid w:val="0"/>
                    <w:jc w:val="center"/>
                    <w:textAlignment w:val="baseline"/>
                    <w:outlineLvl w:val="0"/>
                    <w:rPr>
                      <w:szCs w:val="21"/>
                    </w:rPr>
                  </w:pPr>
                  <w:r>
                    <w:rPr>
                      <w:rFonts w:hint="eastAsia"/>
                      <w:szCs w:val="21"/>
                    </w:rPr>
                    <w:t>本企业不属于土壤污染重点监管单位</w:t>
                  </w:r>
                  <w:r>
                    <w:rPr>
                      <w:rFonts w:hint="eastAsia"/>
                    </w:rPr>
                    <w:t>。</w:t>
                  </w:r>
                </w:p>
              </w:tc>
              <w:tc>
                <w:tcPr>
                  <w:tcW w:w="572" w:type="dxa"/>
                  <w:vAlign w:val="center"/>
                </w:tcPr>
                <w:p w14:paraId="520AAFA5">
                  <w:pPr>
                    <w:adjustRightInd w:val="0"/>
                    <w:snapToGrid w:val="0"/>
                    <w:jc w:val="center"/>
                    <w:textAlignment w:val="baseline"/>
                    <w:outlineLvl w:val="0"/>
                    <w:rPr>
                      <w:szCs w:val="21"/>
                    </w:rPr>
                  </w:pPr>
                  <w:r>
                    <w:rPr>
                      <w:rFonts w:hint="eastAsia"/>
                      <w:szCs w:val="21"/>
                    </w:rPr>
                    <w:t>/</w:t>
                  </w:r>
                </w:p>
              </w:tc>
            </w:tr>
            <w:tr w14:paraId="520AAFA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210" w:type="dxa"/>
                  <w:gridSpan w:val="4"/>
                  <w:vAlign w:val="center"/>
                </w:tcPr>
                <w:p w14:paraId="520AAFA7">
                  <w:pPr>
                    <w:adjustRightInd w:val="0"/>
                    <w:snapToGrid w:val="0"/>
                    <w:jc w:val="center"/>
                    <w:textAlignment w:val="baseline"/>
                    <w:outlineLvl w:val="0"/>
                    <w:rPr>
                      <w:b/>
                      <w:bCs/>
                      <w:szCs w:val="21"/>
                      <w:highlight w:val="yellow"/>
                    </w:rPr>
                  </w:pPr>
                  <w:r>
                    <w:rPr>
                      <w:rFonts w:hint="eastAsia"/>
                      <w:b/>
                      <w:bCs/>
                      <w:szCs w:val="21"/>
                    </w:rPr>
                    <w:t>新乡市202</w:t>
                  </w:r>
                  <w:r>
                    <w:rPr>
                      <w:b/>
                      <w:bCs/>
                      <w:szCs w:val="21"/>
                    </w:rPr>
                    <w:t>5</w:t>
                  </w:r>
                  <w:r>
                    <w:rPr>
                      <w:rFonts w:hint="eastAsia"/>
                      <w:b/>
                      <w:bCs/>
                      <w:szCs w:val="21"/>
                    </w:rPr>
                    <w:t>年柴油货车污染治理攻坚战实施方案</w:t>
                  </w:r>
                </w:p>
              </w:tc>
            </w:tr>
            <w:tr w14:paraId="520AAFA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Align w:val="center"/>
                </w:tcPr>
                <w:p w14:paraId="520AAFA9">
                  <w:pPr>
                    <w:adjustRightInd w:val="0"/>
                    <w:snapToGrid w:val="0"/>
                    <w:jc w:val="center"/>
                    <w:textAlignment w:val="baseline"/>
                    <w:outlineLvl w:val="0"/>
                    <w:rPr>
                      <w:szCs w:val="21"/>
                    </w:rPr>
                  </w:pPr>
                  <w:r>
                    <w:rPr>
                      <w:rFonts w:hint="eastAsia"/>
                    </w:rPr>
                    <w:t>2.提升重点行业清洁运输比例</w:t>
                  </w:r>
                </w:p>
              </w:tc>
              <w:tc>
                <w:tcPr>
                  <w:tcW w:w="7527" w:type="dxa"/>
                  <w:vAlign w:val="center"/>
                </w:tcPr>
                <w:p w14:paraId="520AAFAA">
                  <w:pPr>
                    <w:adjustRightInd w:val="0"/>
                    <w:snapToGrid w:val="0"/>
                    <w:textAlignment w:val="baseline"/>
                    <w:outlineLvl w:val="0"/>
                  </w:pPr>
                  <w:r>
                    <w:rPr>
                      <w:rFonts w:hint="eastAsia"/>
                    </w:rPr>
                    <w:t>大宗货物中长距离运输优先采用铁路，短距离运输优先采用封闭式皮带廊道或新能源车。鼓励工矿企业等用车单位通过与运输企业（个人）签订合作协议等方式实现清洁运输。探索将清洁运输作为煤矿、火电、煤化工等行业新改扩建项目审核和监管重点。2025年9月底前，水泥企业完成超低排放清洁运输改造。2025年底前，火电、煤炭、化工、水泥等行业大宗货物清洁运输比例达到80%以上；砂石骨料、耐材、环保绩效A、B级和绩效引领性企业清洁运输比例力争达到80%。</w:t>
                  </w:r>
                </w:p>
              </w:tc>
              <w:tc>
                <w:tcPr>
                  <w:tcW w:w="4097" w:type="dxa"/>
                  <w:vAlign w:val="center"/>
                </w:tcPr>
                <w:p w14:paraId="520AAFAB">
                  <w:pPr>
                    <w:adjustRightInd w:val="0"/>
                    <w:snapToGrid w:val="0"/>
                    <w:textAlignment w:val="baseline"/>
                    <w:outlineLvl w:val="0"/>
                    <w:rPr>
                      <w:szCs w:val="21"/>
                      <w:highlight w:val="yellow"/>
                    </w:rPr>
                  </w:pPr>
                  <w:r>
                    <w:rPr>
                      <w:rFonts w:hint="eastAsia"/>
                      <w:szCs w:val="21"/>
                    </w:rPr>
                    <w:t>本项目不涉及大宗货物，不属于煤矿、火电、煤化工、水泥、煤炭等行业，企业将按照</w:t>
                  </w:r>
                  <w:r>
                    <w:rPr>
                      <w:rFonts w:hint="eastAsia"/>
                      <w:snapToGrid w:val="0"/>
                      <w:szCs w:val="21"/>
                    </w:rPr>
                    <w:t>《河南省重污染天气通用行业应急减排措施制定技术指南》</w:t>
                  </w:r>
                  <w:r>
                    <w:rPr>
                      <w:rFonts w:hint="eastAsia"/>
                      <w:bCs/>
                      <w:snapToGrid w:val="0"/>
                      <w:szCs w:val="21"/>
                    </w:rPr>
                    <w:t>（2024年修订版）</w:t>
                  </w:r>
                  <w:r>
                    <w:rPr>
                      <w:rFonts w:hint="eastAsia"/>
                      <w:snapToGrid w:val="0"/>
                      <w:szCs w:val="21"/>
                    </w:rPr>
                    <w:t>中涉VOCs企业和</w:t>
                  </w:r>
                  <w:r>
                    <w:rPr>
                      <w:snapToGrid w:val="0"/>
                      <w:szCs w:val="21"/>
                    </w:rPr>
                    <w:t>《</w:t>
                  </w:r>
                  <w:r>
                    <w:rPr>
                      <w:rFonts w:hint="eastAsia"/>
                      <w:snapToGrid w:val="0"/>
                      <w:szCs w:val="21"/>
                    </w:rPr>
                    <w:t>重污染天气重点行业应急减排措施制度技术指南</w:t>
                  </w:r>
                  <w:r>
                    <w:rPr>
                      <w:snapToGrid w:val="0"/>
                      <w:szCs w:val="21"/>
                    </w:rPr>
                    <w:t>》</w:t>
                  </w:r>
                  <w:r>
                    <w:rPr>
                      <w:rFonts w:hint="eastAsia"/>
                      <w:snapToGrid w:val="0"/>
                      <w:szCs w:val="21"/>
                    </w:rPr>
                    <w:t>（2020</w:t>
                  </w:r>
                  <w:r>
                    <w:rPr>
                      <w:snapToGrid w:val="0"/>
                      <w:szCs w:val="21"/>
                    </w:rPr>
                    <w:t>年修订版</w:t>
                  </w:r>
                  <w:r>
                    <w:rPr>
                      <w:rFonts w:hint="eastAsia"/>
                      <w:snapToGrid w:val="0"/>
                      <w:szCs w:val="21"/>
                    </w:rPr>
                    <w:t>）中橡胶制品行业的相关要求进行建设</w:t>
                  </w:r>
                  <w:r>
                    <w:rPr>
                      <w:rFonts w:hint="eastAsia"/>
                      <w:szCs w:val="21"/>
                    </w:rPr>
                    <w:t>，清洁生产运输比例达到8</w:t>
                  </w:r>
                  <w:r>
                    <w:rPr>
                      <w:szCs w:val="21"/>
                    </w:rPr>
                    <w:t>0%</w:t>
                  </w:r>
                  <w:r>
                    <w:rPr>
                      <w:rFonts w:hint="eastAsia"/>
                      <w:szCs w:val="21"/>
                    </w:rPr>
                    <w:t>以上。</w:t>
                  </w:r>
                </w:p>
              </w:tc>
              <w:tc>
                <w:tcPr>
                  <w:tcW w:w="572" w:type="dxa"/>
                  <w:vAlign w:val="center"/>
                </w:tcPr>
                <w:p w14:paraId="520AAFAC">
                  <w:pPr>
                    <w:adjustRightInd w:val="0"/>
                    <w:snapToGrid w:val="0"/>
                    <w:jc w:val="center"/>
                    <w:textAlignment w:val="baseline"/>
                    <w:outlineLvl w:val="0"/>
                    <w:rPr>
                      <w:szCs w:val="21"/>
                      <w:highlight w:val="yellow"/>
                    </w:rPr>
                  </w:pPr>
                  <w:r>
                    <w:rPr>
                      <w:szCs w:val="21"/>
                    </w:rPr>
                    <w:t>符合</w:t>
                  </w:r>
                </w:p>
              </w:tc>
            </w:tr>
          </w:tbl>
          <w:p w14:paraId="520AAFAE">
            <w:pPr>
              <w:pStyle w:val="16"/>
              <w:snapToGrid w:val="0"/>
              <w:spacing w:before="0" w:beforeAutospacing="0" w:after="0" w:afterAutospacing="0" w:line="520" w:lineRule="exact"/>
              <w:ind w:firstLine="480" w:firstLineChars="200"/>
              <w:jc w:val="both"/>
              <w:outlineLvl w:val="0"/>
              <w:rPr>
                <w:rFonts w:ascii="Times New Roman" w:hAnsi="Times New Roman"/>
                <w:lang w:val="en-US"/>
              </w:rPr>
            </w:pPr>
            <w:r>
              <w:rPr>
                <w:rFonts w:ascii="Times New Roman" w:hAnsi="Times New Roman"/>
                <w:lang w:val="en-US"/>
              </w:rPr>
              <w:t>由上表可知，本项目符合《</w:t>
            </w:r>
            <w:r>
              <w:rPr>
                <w:rFonts w:hint="eastAsia" w:ascii="Times New Roman" w:hAnsi="Times New Roman"/>
                <w:lang w:val="en-US"/>
              </w:rPr>
              <w:t>通知</w:t>
            </w:r>
            <w:r>
              <w:rPr>
                <w:rFonts w:ascii="Times New Roman" w:hAnsi="Times New Roman"/>
                <w:lang w:val="en-US"/>
              </w:rPr>
              <w:t>》相关要求。</w:t>
            </w:r>
          </w:p>
          <w:p w14:paraId="2C6AEF20">
            <w:pPr>
              <w:pStyle w:val="16"/>
              <w:adjustRightInd w:val="0"/>
              <w:snapToGrid w:val="0"/>
              <w:spacing w:before="0" w:beforeAutospacing="0" w:after="0" w:afterAutospacing="0" w:line="460" w:lineRule="exact"/>
              <w:ind w:firstLine="480" w:firstLineChars="200"/>
              <w:jc w:val="both"/>
              <w:outlineLvl w:val="0"/>
              <w:rPr>
                <w:rFonts w:ascii="Times New Roman" w:hAnsi="Times New Roman"/>
                <w:bCs/>
                <w:lang w:val="en-US"/>
              </w:rPr>
            </w:pPr>
            <w:r>
              <w:rPr>
                <w:rFonts w:hint="eastAsia" w:ascii="Times New Roman" w:hAnsi="Times New Roman"/>
                <w:bCs/>
                <w:lang w:val="en-US"/>
              </w:rPr>
              <w:t>（2）与</w:t>
            </w:r>
            <w:r>
              <w:rPr>
                <w:rFonts w:ascii="Times New Roman" w:hAnsi="Times New Roman"/>
                <w:bCs/>
                <w:lang w:val="en-US"/>
              </w:rPr>
              <w:t>《新乡市空气质量持续改善行动计划的通知》（新政文〔2024〕92号）</w:t>
            </w:r>
            <w:r>
              <w:rPr>
                <w:rFonts w:hint="eastAsia" w:ascii="Times New Roman" w:hAnsi="Times New Roman"/>
                <w:bCs/>
                <w:lang w:val="en-US"/>
              </w:rPr>
              <w:t>相符性分析</w:t>
            </w:r>
          </w:p>
          <w:p w14:paraId="15009AE7">
            <w:pPr>
              <w:adjustRightInd w:val="0"/>
              <w:snapToGrid w:val="0"/>
              <w:spacing w:line="460" w:lineRule="exact"/>
              <w:ind w:firstLine="480" w:firstLineChars="200"/>
              <w:textAlignment w:val="baseline"/>
              <w:outlineLvl w:val="0"/>
              <w:rPr>
                <w:rFonts w:eastAsia="黑体"/>
                <w:bCs/>
                <w:sz w:val="24"/>
              </w:rPr>
            </w:pPr>
            <w:r>
              <w:rPr>
                <w:rFonts w:eastAsia="黑体"/>
                <w:bCs/>
                <w:sz w:val="24"/>
              </w:rPr>
              <w:t>表6</w:t>
            </w:r>
            <w:r>
              <w:rPr>
                <w:rFonts w:hint="eastAsia" w:eastAsia="黑体"/>
                <w:bCs/>
                <w:sz w:val="24"/>
              </w:rPr>
              <w:t xml:space="preserve">         本项目与</w:t>
            </w:r>
            <w:r>
              <w:rPr>
                <w:rFonts w:eastAsia="黑体"/>
                <w:bCs/>
                <w:sz w:val="24"/>
              </w:rPr>
              <w:t>《新乡市空气质量持续改善行动计划的通知》（新政文〔2024〕92号）对比分析</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1031"/>
              <w:gridCol w:w="8074"/>
              <w:gridCol w:w="3749"/>
              <w:gridCol w:w="582"/>
            </w:tblGrid>
            <w:tr w14:paraId="6DC3FEA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952" w:type="dxa"/>
                  <w:gridSpan w:val="2"/>
                  <w:vAlign w:val="center"/>
                </w:tcPr>
                <w:p w14:paraId="6CF6EDDE">
                  <w:pPr>
                    <w:adjustRightInd w:val="0"/>
                    <w:snapToGrid w:val="0"/>
                    <w:jc w:val="center"/>
                    <w:textAlignment w:val="baseline"/>
                    <w:outlineLvl w:val="0"/>
                    <w:rPr>
                      <w:b/>
                      <w:bCs/>
                      <w:szCs w:val="21"/>
                    </w:rPr>
                  </w:pPr>
                  <w:r>
                    <w:rPr>
                      <w:b/>
                      <w:bCs/>
                      <w:szCs w:val="21"/>
                    </w:rPr>
                    <w:t>与本项目相关条文</w:t>
                  </w:r>
                </w:p>
              </w:tc>
              <w:tc>
                <w:tcPr>
                  <w:tcW w:w="3686" w:type="dxa"/>
                  <w:vAlign w:val="center"/>
                </w:tcPr>
                <w:p w14:paraId="58104AD1">
                  <w:pPr>
                    <w:adjustRightInd w:val="0"/>
                    <w:snapToGrid w:val="0"/>
                    <w:jc w:val="center"/>
                    <w:textAlignment w:val="baseline"/>
                    <w:outlineLvl w:val="0"/>
                    <w:rPr>
                      <w:b/>
                      <w:bCs/>
                      <w:szCs w:val="21"/>
                    </w:rPr>
                  </w:pPr>
                  <w:r>
                    <w:rPr>
                      <w:b/>
                      <w:bCs/>
                      <w:szCs w:val="21"/>
                    </w:rPr>
                    <w:t>本项目情况</w:t>
                  </w:r>
                </w:p>
              </w:tc>
              <w:tc>
                <w:tcPr>
                  <w:tcW w:w="572" w:type="dxa"/>
                  <w:vAlign w:val="center"/>
                </w:tcPr>
                <w:p w14:paraId="041326CB">
                  <w:pPr>
                    <w:adjustRightInd w:val="0"/>
                    <w:snapToGrid w:val="0"/>
                    <w:jc w:val="center"/>
                    <w:textAlignment w:val="baseline"/>
                    <w:outlineLvl w:val="0"/>
                    <w:rPr>
                      <w:b/>
                      <w:bCs/>
                      <w:szCs w:val="21"/>
                    </w:rPr>
                  </w:pPr>
                  <w:r>
                    <w:rPr>
                      <w:b/>
                      <w:bCs/>
                      <w:szCs w:val="21"/>
                    </w:rPr>
                    <w:t>对比结果</w:t>
                  </w:r>
                </w:p>
              </w:tc>
            </w:tr>
            <w:tr w14:paraId="2861E02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Merge w:val="restart"/>
                  <w:vAlign w:val="center"/>
                </w:tcPr>
                <w:p w14:paraId="3EC844D4">
                  <w:pPr>
                    <w:adjustRightInd w:val="0"/>
                    <w:snapToGrid w:val="0"/>
                    <w:jc w:val="center"/>
                    <w:textAlignment w:val="baseline"/>
                    <w:outlineLvl w:val="0"/>
                    <w:rPr>
                      <w:szCs w:val="21"/>
                    </w:rPr>
                  </w:pPr>
                  <w:r>
                    <w:rPr>
                      <w:rFonts w:hint="eastAsia"/>
                      <w:szCs w:val="21"/>
                    </w:rPr>
                    <w:t>二、优化产业结构，促进产业绿色发展</w:t>
                  </w:r>
                </w:p>
              </w:tc>
              <w:tc>
                <w:tcPr>
                  <w:tcW w:w="7938" w:type="dxa"/>
                  <w:vAlign w:val="center"/>
                </w:tcPr>
                <w:p w14:paraId="2405581A">
                  <w:pPr>
                    <w:adjustRightInd w:val="0"/>
                    <w:snapToGrid w:val="0"/>
                    <w:textAlignment w:val="baseline"/>
                    <w:outlineLvl w:val="0"/>
                  </w:pPr>
                  <w:r>
                    <w:rPr>
                      <w:rFonts w:hint="eastAsia"/>
                    </w:rPr>
                    <w:t>（一）严管严控“两高”项目。严格落实国家和我省“两高”项目相关要求。严格执行有关行业产能置换政策，被置换产能及其配套设施关停后，新建项目方可投产。国家、省绩效分级重点行业以及涉及锅炉炉窑的其他行业，新（改、扩）建项目原则上达到环境绩效A级和国内清洁生产先进水平。</w:t>
                  </w:r>
                </w:p>
              </w:tc>
              <w:tc>
                <w:tcPr>
                  <w:tcW w:w="3686" w:type="dxa"/>
                  <w:vAlign w:val="center"/>
                </w:tcPr>
                <w:p w14:paraId="7C11A42D">
                  <w:pPr>
                    <w:adjustRightInd w:val="0"/>
                    <w:snapToGrid w:val="0"/>
                    <w:textAlignment w:val="baseline"/>
                    <w:outlineLvl w:val="0"/>
                    <w:rPr>
                      <w:szCs w:val="21"/>
                      <w:highlight w:val="yellow"/>
                    </w:rPr>
                  </w:pPr>
                  <w:r>
                    <w:rPr>
                      <w:rFonts w:hint="eastAsia"/>
                    </w:rPr>
                    <w:t>本项目不属于“两高”项目，不属于产能置换项目。本项目为改建项目，将</w:t>
                  </w:r>
                  <w:r>
                    <w:rPr>
                      <w:rFonts w:hint="eastAsia"/>
                      <w:snapToGrid w:val="0"/>
                      <w:szCs w:val="21"/>
                    </w:rPr>
                    <w:t>《河南省重污染天气通用行业应急减排措施制定技术指南》</w:t>
                  </w:r>
                  <w:r>
                    <w:rPr>
                      <w:rFonts w:hint="eastAsia"/>
                      <w:bCs/>
                      <w:snapToGrid w:val="0"/>
                      <w:szCs w:val="21"/>
                    </w:rPr>
                    <w:t>（2024年修订版）</w:t>
                  </w:r>
                  <w:r>
                    <w:rPr>
                      <w:rFonts w:hint="eastAsia"/>
                      <w:snapToGrid w:val="0"/>
                      <w:szCs w:val="21"/>
                    </w:rPr>
                    <w:t>中涉VOCs企业和</w:t>
                  </w:r>
                  <w:r>
                    <w:rPr>
                      <w:snapToGrid w:val="0"/>
                      <w:szCs w:val="21"/>
                    </w:rPr>
                    <w:t>《</w:t>
                  </w:r>
                  <w:r>
                    <w:rPr>
                      <w:rFonts w:hint="eastAsia"/>
                      <w:snapToGrid w:val="0"/>
                      <w:szCs w:val="21"/>
                    </w:rPr>
                    <w:t>重污染天气重点行业应急减排措施制度技术指南</w:t>
                  </w:r>
                  <w:r>
                    <w:rPr>
                      <w:snapToGrid w:val="0"/>
                      <w:szCs w:val="21"/>
                    </w:rPr>
                    <w:t>》</w:t>
                  </w:r>
                  <w:r>
                    <w:rPr>
                      <w:rFonts w:hint="eastAsia"/>
                      <w:snapToGrid w:val="0"/>
                      <w:szCs w:val="21"/>
                    </w:rPr>
                    <w:t>（2020</w:t>
                  </w:r>
                  <w:r>
                    <w:rPr>
                      <w:snapToGrid w:val="0"/>
                      <w:szCs w:val="21"/>
                    </w:rPr>
                    <w:t>年修订版</w:t>
                  </w:r>
                  <w:r>
                    <w:rPr>
                      <w:rFonts w:hint="eastAsia"/>
                      <w:snapToGrid w:val="0"/>
                      <w:szCs w:val="21"/>
                    </w:rPr>
                    <w:t>）中橡胶制品行业的相关要求进行建设</w:t>
                  </w:r>
                  <w:r>
                    <w:rPr>
                      <w:rFonts w:hint="eastAsia"/>
                    </w:rPr>
                    <w:t>，能够达到国内清洁生产先进水平。项目建成后企业将按照要求进行绩效评级。</w:t>
                  </w:r>
                </w:p>
              </w:tc>
              <w:tc>
                <w:tcPr>
                  <w:tcW w:w="572" w:type="dxa"/>
                  <w:vAlign w:val="center"/>
                </w:tcPr>
                <w:p w14:paraId="4BD43E2B">
                  <w:pPr>
                    <w:adjustRightInd w:val="0"/>
                    <w:snapToGrid w:val="0"/>
                    <w:jc w:val="center"/>
                    <w:textAlignment w:val="baseline"/>
                    <w:outlineLvl w:val="0"/>
                    <w:rPr>
                      <w:szCs w:val="21"/>
                      <w:highlight w:val="yellow"/>
                    </w:rPr>
                  </w:pPr>
                  <w:r>
                    <w:rPr>
                      <w:szCs w:val="21"/>
                    </w:rPr>
                    <w:t>符合</w:t>
                  </w:r>
                </w:p>
              </w:tc>
            </w:tr>
            <w:tr w14:paraId="329A810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Merge w:val="continue"/>
                  <w:vAlign w:val="center"/>
                </w:tcPr>
                <w:p w14:paraId="09998932">
                  <w:pPr>
                    <w:adjustRightInd w:val="0"/>
                    <w:snapToGrid w:val="0"/>
                    <w:jc w:val="center"/>
                    <w:textAlignment w:val="baseline"/>
                    <w:outlineLvl w:val="0"/>
                    <w:rPr>
                      <w:szCs w:val="21"/>
                    </w:rPr>
                  </w:pPr>
                </w:p>
              </w:tc>
              <w:tc>
                <w:tcPr>
                  <w:tcW w:w="7938" w:type="dxa"/>
                  <w:vAlign w:val="center"/>
                </w:tcPr>
                <w:p w14:paraId="6230E674">
                  <w:pPr>
                    <w:adjustRightInd w:val="0"/>
                    <w:snapToGrid w:val="0"/>
                    <w:textAlignment w:val="baseline"/>
                    <w:outlineLvl w:val="0"/>
                  </w:pPr>
                  <w:r>
                    <w:rPr>
                      <w:rFonts w:hint="eastAsia"/>
                    </w:rPr>
                    <w:t>（二）加快淘汰落后产能。落实《产业结构调整指导目录（2024年本）》，进一步提高落后产能能耗、环保、质量、安全、技术等要求，将大气污染物排放强度高、清洁生产水平低、治理难度大以及产能过剩行业的工艺和装备纳入淘汰范围，逐步退出限制类涉气行业工艺和装备。</w:t>
                  </w:r>
                </w:p>
              </w:tc>
              <w:tc>
                <w:tcPr>
                  <w:tcW w:w="3686" w:type="dxa"/>
                  <w:vAlign w:val="center"/>
                </w:tcPr>
                <w:p w14:paraId="0905DF30">
                  <w:pPr>
                    <w:adjustRightInd w:val="0"/>
                    <w:snapToGrid w:val="0"/>
                    <w:textAlignment w:val="baseline"/>
                    <w:outlineLvl w:val="0"/>
                  </w:pPr>
                  <w:r>
                    <w:rPr>
                      <w:rFonts w:hint="eastAsia"/>
                    </w:rPr>
                    <w:t>根据</w:t>
                  </w:r>
                  <w:r>
                    <w:t>《产业结构调整指导目录</w:t>
                  </w:r>
                  <w:r>
                    <w:rPr>
                      <w:rFonts w:hint="eastAsia"/>
                    </w:rPr>
                    <w:t>（2</w:t>
                  </w:r>
                  <w:r>
                    <w:t>024</w:t>
                  </w:r>
                  <w:r>
                    <w:rPr>
                      <w:rFonts w:hint="eastAsia"/>
                    </w:rPr>
                    <w:t>年本）</w:t>
                  </w:r>
                  <w:r>
                    <w:t>》，</w:t>
                  </w:r>
                  <w:r>
                    <w:rPr>
                      <w:rFonts w:hint="eastAsia"/>
                    </w:rPr>
                    <w:t>本项目属于鼓励类。</w:t>
                  </w:r>
                </w:p>
              </w:tc>
              <w:tc>
                <w:tcPr>
                  <w:tcW w:w="572" w:type="dxa"/>
                  <w:vAlign w:val="center"/>
                </w:tcPr>
                <w:p w14:paraId="414FEF42">
                  <w:pPr>
                    <w:adjustRightInd w:val="0"/>
                    <w:snapToGrid w:val="0"/>
                    <w:jc w:val="center"/>
                    <w:textAlignment w:val="baseline"/>
                    <w:outlineLvl w:val="0"/>
                    <w:rPr>
                      <w:szCs w:val="21"/>
                    </w:rPr>
                  </w:pPr>
                  <w:r>
                    <w:rPr>
                      <w:rFonts w:hint="eastAsia"/>
                      <w:szCs w:val="21"/>
                    </w:rPr>
                    <w:t>符合</w:t>
                  </w:r>
                </w:p>
              </w:tc>
            </w:tr>
            <w:tr w14:paraId="583CC0E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Align w:val="center"/>
                </w:tcPr>
                <w:p w14:paraId="4DE0D431">
                  <w:pPr>
                    <w:adjustRightInd w:val="0"/>
                    <w:snapToGrid w:val="0"/>
                    <w:jc w:val="center"/>
                    <w:textAlignment w:val="baseline"/>
                    <w:outlineLvl w:val="0"/>
                    <w:rPr>
                      <w:szCs w:val="21"/>
                    </w:rPr>
                  </w:pPr>
                  <w:r>
                    <w:rPr>
                      <w:rFonts w:hint="eastAsia"/>
                    </w:rPr>
                    <w:t>三、优化能源结构，加快能源绿色低碳发展</w:t>
                  </w:r>
                </w:p>
              </w:tc>
              <w:tc>
                <w:tcPr>
                  <w:tcW w:w="7938" w:type="dxa"/>
                  <w:vAlign w:val="center"/>
                </w:tcPr>
                <w:p w14:paraId="45393318">
                  <w:pPr>
                    <w:adjustRightInd w:val="0"/>
                    <w:snapToGrid w:val="0"/>
                    <w:textAlignment w:val="baseline"/>
                    <w:outlineLvl w:val="0"/>
                  </w:pPr>
                  <w:r>
                    <w:rPr>
                      <w:rFonts w:hint="eastAsia"/>
                    </w:rPr>
                    <w:t>（四）实施工业炉窑清洁能源替代。全市不再新增燃料类煤气发生炉，新（改、扩）建加热炉、热处理炉、干燥炉、熔化炉原则上采用清洁低碳能源。2024年底前，完成陶瓷行业2座分散建设的燃料类煤气发生炉清洁能源替代，或者园区（集群）集中供气、分散使用；7家使用高污染燃料的加热炉、冲天炉等工业炉窑改用清洁低碳能源。2025年年底前，淘汰不能稳定达标的燃煤锅炉和以煤、石油焦、渣油、重油等为燃料的工业窑炉，完成固定床间歇式煤气发生炉新型煤气化工艺改造。</w:t>
                  </w:r>
                </w:p>
              </w:tc>
              <w:tc>
                <w:tcPr>
                  <w:tcW w:w="3686" w:type="dxa"/>
                  <w:vAlign w:val="center"/>
                </w:tcPr>
                <w:p w14:paraId="3E69EAA6">
                  <w:pPr>
                    <w:adjustRightInd w:val="0"/>
                    <w:snapToGrid w:val="0"/>
                    <w:textAlignment w:val="baseline"/>
                    <w:outlineLvl w:val="0"/>
                    <w:rPr>
                      <w:szCs w:val="21"/>
                    </w:rPr>
                  </w:pPr>
                  <w:r>
                    <w:rPr>
                      <w:rFonts w:hint="eastAsia"/>
                      <w:szCs w:val="21"/>
                    </w:rPr>
                    <w:t>本项目为航空、航天器及设备制造项目，能源使用电能。</w:t>
                  </w:r>
                </w:p>
              </w:tc>
              <w:tc>
                <w:tcPr>
                  <w:tcW w:w="572" w:type="dxa"/>
                  <w:vAlign w:val="center"/>
                </w:tcPr>
                <w:p w14:paraId="005BAE5C">
                  <w:pPr>
                    <w:adjustRightInd w:val="0"/>
                    <w:snapToGrid w:val="0"/>
                    <w:jc w:val="center"/>
                    <w:textAlignment w:val="baseline"/>
                    <w:outlineLvl w:val="0"/>
                    <w:rPr>
                      <w:szCs w:val="21"/>
                    </w:rPr>
                  </w:pPr>
                  <w:r>
                    <w:rPr>
                      <w:szCs w:val="21"/>
                    </w:rPr>
                    <w:t>符合</w:t>
                  </w:r>
                </w:p>
              </w:tc>
            </w:tr>
            <w:tr w14:paraId="7B34623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Merge w:val="restart"/>
                  <w:vAlign w:val="center"/>
                </w:tcPr>
                <w:p w14:paraId="2DC17B0C">
                  <w:pPr>
                    <w:adjustRightInd w:val="0"/>
                    <w:snapToGrid w:val="0"/>
                    <w:jc w:val="center"/>
                    <w:textAlignment w:val="baseline"/>
                    <w:outlineLvl w:val="0"/>
                  </w:pPr>
                  <w:r>
                    <w:rPr>
                      <w:rFonts w:hint="eastAsia"/>
                    </w:rPr>
                    <w:t>六、加强多污染物减排，降低排放强度和总量</w:t>
                  </w:r>
                </w:p>
              </w:tc>
              <w:tc>
                <w:tcPr>
                  <w:tcW w:w="7938" w:type="dxa"/>
                  <w:vAlign w:val="center"/>
                </w:tcPr>
                <w:p w14:paraId="729A3966">
                  <w:pPr>
                    <w:adjustRightInd w:val="0"/>
                    <w:snapToGrid w:val="0"/>
                    <w:textAlignment w:val="baseline"/>
                    <w:outlineLvl w:val="0"/>
                  </w:pPr>
                  <w:r>
                    <w:rPr>
                      <w:rFonts w:hint="eastAsia"/>
                    </w:rPr>
                    <w:t>（二）加强VOCs全流程综合治理。按照“应收尽收、分质收集”原则，将无组织排放转变为有组织排放集中治理。含VOCs有机废水储罐、装置区集水井（池）有机废气要密闭收集处理，企业污水处理场排放的高浓度有机废气要单独收集处理。依据废气排放特征配套建设适宜高效治理设施，加强治理设施运行维护。企业生产设施开停、检维修期间，按照要求及时收集处理退料、清洗、吹扫等作业产生的 废气。不得将火炬燃烧装置作为日常大气污染处理设施，火炬系统应安装温度监控、废气流量计、助燃气体流量计等，相关数据接入DCS系统。规范开展VOCs泄漏检测与修复（LDAR）工作，定期开展储罐部件密封性检测，化工行业集中的县（市、区）和重点工业园区，要在年年底前建立统一的 信息管理平台。2024年年底前，挥发性有机液体储罐基本使用低泄漏的储罐呼吸阀、紧急泄压阀；汽车罐车基本使用自封式快速接头。</w:t>
                  </w:r>
                </w:p>
              </w:tc>
              <w:tc>
                <w:tcPr>
                  <w:tcW w:w="3686" w:type="dxa"/>
                  <w:vAlign w:val="center"/>
                </w:tcPr>
                <w:p w14:paraId="2198E72E">
                  <w:pPr>
                    <w:adjustRightInd w:val="0"/>
                    <w:snapToGrid w:val="0"/>
                    <w:textAlignment w:val="baseline"/>
                    <w:outlineLvl w:val="0"/>
                    <w:rPr>
                      <w:szCs w:val="21"/>
                    </w:rPr>
                  </w:pPr>
                  <w:r>
                    <w:rPr>
                      <w:rFonts w:hint="eastAsia"/>
                      <w:szCs w:val="21"/>
                    </w:rPr>
                    <w:t>本项目为航空、航天器及设备制造项目，</w:t>
                  </w:r>
                  <w:r>
                    <w:rPr>
                      <w:rFonts w:hint="eastAsia"/>
                    </w:rPr>
                    <w:t>按照“应收尽收、分质收集”原则，试验台装配作业区四面封闭且上方设置集气罩对废气进行收集</w:t>
                  </w:r>
                  <w:r>
                    <w:rPr>
                      <w:rFonts w:hint="eastAsia"/>
                      <w:szCs w:val="21"/>
                    </w:rPr>
                    <w:t>。</w:t>
                  </w:r>
                </w:p>
              </w:tc>
              <w:tc>
                <w:tcPr>
                  <w:tcW w:w="572" w:type="dxa"/>
                  <w:vAlign w:val="center"/>
                </w:tcPr>
                <w:p w14:paraId="01E9A38F">
                  <w:pPr>
                    <w:adjustRightInd w:val="0"/>
                    <w:snapToGrid w:val="0"/>
                    <w:jc w:val="center"/>
                    <w:textAlignment w:val="baseline"/>
                    <w:outlineLvl w:val="0"/>
                    <w:rPr>
                      <w:szCs w:val="21"/>
                    </w:rPr>
                  </w:pPr>
                  <w:r>
                    <w:rPr>
                      <w:szCs w:val="21"/>
                    </w:rPr>
                    <w:t>符合</w:t>
                  </w:r>
                </w:p>
              </w:tc>
            </w:tr>
            <w:tr w14:paraId="03ACCA8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Merge w:val="continue"/>
                  <w:vAlign w:val="center"/>
                </w:tcPr>
                <w:p w14:paraId="549EA096">
                  <w:pPr>
                    <w:adjustRightInd w:val="0"/>
                    <w:snapToGrid w:val="0"/>
                    <w:jc w:val="center"/>
                    <w:textAlignment w:val="baseline"/>
                    <w:outlineLvl w:val="0"/>
                    <w:rPr>
                      <w:szCs w:val="21"/>
                    </w:rPr>
                  </w:pPr>
                </w:p>
              </w:tc>
              <w:tc>
                <w:tcPr>
                  <w:tcW w:w="7938" w:type="dxa"/>
                  <w:vAlign w:val="center"/>
                </w:tcPr>
                <w:p w14:paraId="64838C75">
                  <w:pPr>
                    <w:adjustRightInd w:val="0"/>
                    <w:snapToGrid w:val="0"/>
                    <w:textAlignment w:val="baseline"/>
                    <w:outlineLvl w:val="0"/>
                  </w:pPr>
                  <w:r>
                    <w:rPr>
                      <w:rFonts w:hint="eastAsia"/>
                    </w:rPr>
                    <w:t>（四）开展低效失效污染治理设施排查整治。对涉工业炉窑、涉VOCs行业以及燃煤、燃油、生物质锅炉，开展低效失效大气污染治理设施排查整治，建立排查整治清单，淘汰不成熟、不适用、无法稳定达标排放的治理工艺；整治关键组件缺失、质量低劣、自动化水平低的治理设施，提升治理设施的运行维护水平；健全监测监控体系，提升自动监测和手工监测数据质量。对于能立行立改的问题，督促企业抓紧整改到位，确需一定整改周期，明确提升改造措施和时限。2024年10月底前，未配套高效除尘、脱硫、脱硝设施的企业完成升级改造，未按时完成改造提升的，实施秋冬季生产调控。</w:t>
                  </w:r>
                </w:p>
              </w:tc>
              <w:tc>
                <w:tcPr>
                  <w:tcW w:w="3686" w:type="dxa"/>
                  <w:vAlign w:val="center"/>
                </w:tcPr>
                <w:p w14:paraId="25B048E9">
                  <w:pPr>
                    <w:adjustRightInd w:val="0"/>
                    <w:snapToGrid w:val="0"/>
                    <w:textAlignment w:val="baseline"/>
                    <w:outlineLvl w:val="0"/>
                    <w:rPr>
                      <w:szCs w:val="21"/>
                    </w:rPr>
                  </w:pPr>
                  <w:r>
                    <w:rPr>
                      <w:rFonts w:hint="eastAsia"/>
                      <w:szCs w:val="21"/>
                    </w:rPr>
                    <w:t>本项目为航空、航天器及设备制造项目，液压油试验工序废气采用“干式过滤+活性炭吸脱附-催化燃烧装置”进行治理。滑油试验工序废气采用“活性炭吸附/脱附-催化燃烧装置”进行治理。</w:t>
                  </w:r>
                  <w:r>
                    <w:rPr>
                      <w:szCs w:val="21"/>
                    </w:rPr>
                    <w:t>液体冷却子系统试验</w:t>
                  </w:r>
                  <w:r>
                    <w:rPr>
                      <w:rFonts w:hint="eastAsia"/>
                      <w:szCs w:val="21"/>
                    </w:rPr>
                    <w:t>工序废气采用“干式过滤+活性炭吸附/脱附-催化燃烧装置”进行治理。硫化废气采用“活性炭吸脱附-催化燃烧装置”进行治理，不属低效大气污染治理设施。</w:t>
                  </w:r>
                </w:p>
              </w:tc>
              <w:tc>
                <w:tcPr>
                  <w:tcW w:w="572" w:type="dxa"/>
                  <w:vAlign w:val="center"/>
                </w:tcPr>
                <w:p w14:paraId="76E9D567">
                  <w:pPr>
                    <w:adjustRightInd w:val="0"/>
                    <w:snapToGrid w:val="0"/>
                    <w:jc w:val="center"/>
                    <w:textAlignment w:val="baseline"/>
                    <w:outlineLvl w:val="0"/>
                    <w:rPr>
                      <w:szCs w:val="21"/>
                    </w:rPr>
                  </w:pPr>
                  <w:r>
                    <w:rPr>
                      <w:rFonts w:hint="eastAsia"/>
                      <w:szCs w:val="21"/>
                    </w:rPr>
                    <w:t>符合</w:t>
                  </w:r>
                </w:p>
              </w:tc>
            </w:tr>
            <w:tr w14:paraId="7D865F8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Align w:val="center"/>
                </w:tcPr>
                <w:p w14:paraId="16E36010">
                  <w:pPr>
                    <w:adjustRightInd w:val="0"/>
                    <w:snapToGrid w:val="0"/>
                    <w:jc w:val="center"/>
                    <w:textAlignment w:val="baseline"/>
                    <w:outlineLvl w:val="0"/>
                    <w:rPr>
                      <w:szCs w:val="21"/>
                    </w:rPr>
                  </w:pPr>
                  <w:r>
                    <w:rPr>
                      <w:rFonts w:hint="eastAsia"/>
                      <w:szCs w:val="21"/>
                    </w:rPr>
                    <w:t>七、完善制度机制，提升大气环境管理水平</w:t>
                  </w:r>
                </w:p>
              </w:tc>
              <w:tc>
                <w:tcPr>
                  <w:tcW w:w="7938" w:type="dxa"/>
                  <w:vAlign w:val="center"/>
                </w:tcPr>
                <w:p w14:paraId="2BE8FB50">
                  <w:pPr>
                    <w:adjustRightInd w:val="0"/>
                    <w:snapToGrid w:val="0"/>
                    <w:textAlignment w:val="baseline"/>
                    <w:outlineLvl w:val="0"/>
                  </w:pPr>
                  <w:r>
                    <w:rPr>
                      <w:rFonts w:hint="eastAsia"/>
                    </w:rPr>
                    <w:t>（四）开展环境绩效等级提升行动。加强应急减排清单标准化管理，建立“有进有出”动态调整机制。支持铸造、建材、化工、工业涂装等重点行业企业通过设备更新、技术改造、治理升级等措施提升环境绩效等级。优化重点行业绩效分级管理，分行业分类别建立绩效提升企业清单，加快培育一批绩效水平高、行业带动强的省级绿色标杆企业，推动全市工业企业治理能力整体提升。2024年12月底前，长垣市、辉县市、新乡县、延津县等重点县（市）力争创建5家以上A、B级和绩效引领企业，其他县（市、区）力争创建3家以上A、B级和绩效引领企业；建成区内企业全部达到B级及以上要求；全市烧结砖瓦窑企业全部达到B级及以上要求，水泥粉磨企业全部达到绩效引领要求。</w:t>
                  </w:r>
                </w:p>
              </w:tc>
              <w:tc>
                <w:tcPr>
                  <w:tcW w:w="3686" w:type="dxa"/>
                  <w:vAlign w:val="center"/>
                </w:tcPr>
                <w:p w14:paraId="23FDFA11">
                  <w:pPr>
                    <w:adjustRightInd w:val="0"/>
                    <w:snapToGrid w:val="0"/>
                    <w:textAlignment w:val="baseline"/>
                    <w:outlineLvl w:val="0"/>
                    <w:rPr>
                      <w:szCs w:val="21"/>
                    </w:rPr>
                  </w:pPr>
                  <w:r>
                    <w:rPr>
                      <w:rFonts w:hint="eastAsia"/>
                    </w:rPr>
                    <w:t>本项目为改建项目，将</w:t>
                  </w:r>
                  <w:r>
                    <w:rPr>
                      <w:rFonts w:hint="eastAsia"/>
                      <w:snapToGrid w:val="0"/>
                      <w:szCs w:val="21"/>
                    </w:rPr>
                    <w:t>《河南省重污染天气通用行业应急减排措施制定技术指南》</w:t>
                  </w:r>
                  <w:r>
                    <w:rPr>
                      <w:rFonts w:hint="eastAsia"/>
                      <w:bCs/>
                      <w:snapToGrid w:val="0"/>
                      <w:szCs w:val="21"/>
                    </w:rPr>
                    <w:t>（2024年修订版）</w:t>
                  </w:r>
                  <w:r>
                    <w:rPr>
                      <w:rFonts w:hint="eastAsia"/>
                      <w:snapToGrid w:val="0"/>
                      <w:szCs w:val="21"/>
                    </w:rPr>
                    <w:t>中涉VOCs企业和</w:t>
                  </w:r>
                  <w:r>
                    <w:rPr>
                      <w:snapToGrid w:val="0"/>
                      <w:szCs w:val="21"/>
                    </w:rPr>
                    <w:t>《</w:t>
                  </w:r>
                  <w:r>
                    <w:rPr>
                      <w:rFonts w:hint="eastAsia"/>
                      <w:snapToGrid w:val="0"/>
                      <w:szCs w:val="21"/>
                    </w:rPr>
                    <w:t>重污染天气重点行业应急减排措施制度技术指南</w:t>
                  </w:r>
                  <w:r>
                    <w:rPr>
                      <w:snapToGrid w:val="0"/>
                      <w:szCs w:val="21"/>
                    </w:rPr>
                    <w:t>》</w:t>
                  </w:r>
                  <w:r>
                    <w:rPr>
                      <w:rFonts w:hint="eastAsia"/>
                      <w:snapToGrid w:val="0"/>
                      <w:szCs w:val="21"/>
                    </w:rPr>
                    <w:t>（2020</w:t>
                  </w:r>
                  <w:r>
                    <w:rPr>
                      <w:snapToGrid w:val="0"/>
                      <w:szCs w:val="21"/>
                    </w:rPr>
                    <w:t>年修订版</w:t>
                  </w:r>
                  <w:r>
                    <w:rPr>
                      <w:rFonts w:hint="eastAsia"/>
                      <w:snapToGrid w:val="0"/>
                      <w:szCs w:val="21"/>
                    </w:rPr>
                    <w:t>）中橡胶制品行业的相关要求进行建设</w:t>
                  </w:r>
                  <w:r>
                    <w:rPr>
                      <w:rFonts w:hint="eastAsia"/>
                    </w:rPr>
                    <w:t>，能够达到国内清洁生产先进水平。项目建成后企业将按照要求进行绩效评级。</w:t>
                  </w:r>
                </w:p>
              </w:tc>
              <w:tc>
                <w:tcPr>
                  <w:tcW w:w="572" w:type="dxa"/>
                  <w:vAlign w:val="center"/>
                </w:tcPr>
                <w:p w14:paraId="616F1506">
                  <w:pPr>
                    <w:adjustRightInd w:val="0"/>
                    <w:snapToGrid w:val="0"/>
                    <w:jc w:val="center"/>
                    <w:textAlignment w:val="baseline"/>
                    <w:outlineLvl w:val="0"/>
                    <w:rPr>
                      <w:szCs w:val="21"/>
                    </w:rPr>
                  </w:pPr>
                  <w:r>
                    <w:rPr>
                      <w:rFonts w:hint="eastAsia"/>
                      <w:szCs w:val="21"/>
                    </w:rPr>
                    <w:t>符合</w:t>
                  </w:r>
                </w:p>
              </w:tc>
            </w:tr>
          </w:tbl>
          <w:p w14:paraId="3C17F125">
            <w:pPr>
              <w:pStyle w:val="16"/>
              <w:adjustRightInd w:val="0"/>
              <w:snapToGrid w:val="0"/>
              <w:spacing w:before="0" w:beforeAutospacing="0" w:after="0" w:afterAutospacing="0" w:line="460" w:lineRule="exact"/>
              <w:ind w:firstLine="480" w:firstLineChars="200"/>
              <w:jc w:val="both"/>
              <w:outlineLvl w:val="0"/>
              <w:rPr>
                <w:rFonts w:ascii="Times New Roman" w:hAnsi="Times New Roman"/>
                <w:bCs/>
                <w:lang w:val="en-US"/>
              </w:rPr>
            </w:pPr>
            <w:r>
              <w:rPr>
                <w:rFonts w:hint="eastAsia" w:ascii="Times New Roman" w:hAnsi="Times New Roman"/>
                <w:bCs/>
                <w:lang w:val="en-US"/>
              </w:rPr>
              <w:t>（3）与</w:t>
            </w:r>
            <w:r>
              <w:rPr>
                <w:rFonts w:ascii="Times New Roman" w:hAnsi="Times New Roman"/>
                <w:bCs/>
                <w:lang w:val="en-US"/>
              </w:rPr>
              <w:t>《新乡市推动生态环境质量稳定向好三年行动计划（2023年—2025年）》</w:t>
            </w:r>
            <w:r>
              <w:rPr>
                <w:rFonts w:hint="eastAsia" w:ascii="Times New Roman" w:hAnsi="Times New Roman"/>
                <w:bCs/>
                <w:lang w:val="en-US"/>
              </w:rPr>
              <w:t>相符性分析</w:t>
            </w:r>
          </w:p>
          <w:p w14:paraId="45C12E0D">
            <w:pPr>
              <w:adjustRightInd w:val="0"/>
              <w:snapToGrid w:val="0"/>
              <w:spacing w:line="460" w:lineRule="exact"/>
              <w:ind w:firstLine="480" w:firstLineChars="200"/>
              <w:textAlignment w:val="baseline"/>
              <w:outlineLvl w:val="0"/>
              <w:rPr>
                <w:rFonts w:eastAsia="黑体"/>
                <w:bCs/>
                <w:sz w:val="24"/>
              </w:rPr>
            </w:pPr>
            <w:r>
              <w:rPr>
                <w:rFonts w:eastAsia="黑体"/>
                <w:bCs/>
                <w:sz w:val="24"/>
              </w:rPr>
              <w:t>表</w:t>
            </w:r>
            <w:r>
              <w:rPr>
                <w:rFonts w:hint="eastAsia" w:eastAsia="黑体"/>
                <w:bCs/>
                <w:sz w:val="24"/>
              </w:rPr>
              <w:t>7         本项目与</w:t>
            </w:r>
            <w:r>
              <w:rPr>
                <w:rFonts w:eastAsia="黑体"/>
                <w:bCs/>
                <w:sz w:val="24"/>
              </w:rPr>
              <w:t>《新乡市推动生态环境质量稳定向好三年行动计划（2023年—2025年）》对比分析</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1031"/>
              <w:gridCol w:w="7656"/>
              <w:gridCol w:w="4167"/>
              <w:gridCol w:w="582"/>
            </w:tblGrid>
            <w:tr w14:paraId="51DF1A3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541" w:type="dxa"/>
                  <w:gridSpan w:val="2"/>
                  <w:vAlign w:val="center"/>
                </w:tcPr>
                <w:p w14:paraId="1F10833D">
                  <w:pPr>
                    <w:adjustRightInd w:val="0"/>
                    <w:snapToGrid w:val="0"/>
                    <w:jc w:val="center"/>
                    <w:textAlignment w:val="baseline"/>
                    <w:outlineLvl w:val="0"/>
                    <w:rPr>
                      <w:b/>
                      <w:bCs/>
                      <w:szCs w:val="21"/>
                    </w:rPr>
                  </w:pPr>
                  <w:r>
                    <w:rPr>
                      <w:b/>
                      <w:bCs/>
                      <w:szCs w:val="21"/>
                    </w:rPr>
                    <w:t>与本项目相关条文</w:t>
                  </w:r>
                </w:p>
              </w:tc>
              <w:tc>
                <w:tcPr>
                  <w:tcW w:w="4097" w:type="dxa"/>
                  <w:vAlign w:val="center"/>
                </w:tcPr>
                <w:p w14:paraId="57877ED2">
                  <w:pPr>
                    <w:adjustRightInd w:val="0"/>
                    <w:snapToGrid w:val="0"/>
                    <w:jc w:val="center"/>
                    <w:textAlignment w:val="baseline"/>
                    <w:outlineLvl w:val="0"/>
                    <w:rPr>
                      <w:b/>
                      <w:bCs/>
                      <w:szCs w:val="21"/>
                    </w:rPr>
                  </w:pPr>
                  <w:r>
                    <w:rPr>
                      <w:b/>
                      <w:bCs/>
                      <w:szCs w:val="21"/>
                    </w:rPr>
                    <w:t>本项目情况</w:t>
                  </w:r>
                </w:p>
              </w:tc>
              <w:tc>
                <w:tcPr>
                  <w:tcW w:w="572" w:type="dxa"/>
                  <w:vAlign w:val="center"/>
                </w:tcPr>
                <w:p w14:paraId="041918F5">
                  <w:pPr>
                    <w:adjustRightInd w:val="0"/>
                    <w:snapToGrid w:val="0"/>
                    <w:jc w:val="center"/>
                    <w:textAlignment w:val="baseline"/>
                    <w:outlineLvl w:val="0"/>
                    <w:rPr>
                      <w:b/>
                      <w:bCs/>
                      <w:szCs w:val="21"/>
                    </w:rPr>
                  </w:pPr>
                  <w:r>
                    <w:rPr>
                      <w:b/>
                      <w:bCs/>
                      <w:szCs w:val="21"/>
                    </w:rPr>
                    <w:t>对比结果</w:t>
                  </w:r>
                </w:p>
              </w:tc>
            </w:tr>
            <w:tr w14:paraId="0330DF1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14" w:type="dxa"/>
                  <w:vAlign w:val="center"/>
                </w:tcPr>
                <w:p w14:paraId="76FE6894">
                  <w:pPr>
                    <w:adjustRightInd w:val="0"/>
                    <w:snapToGrid w:val="0"/>
                    <w:jc w:val="center"/>
                    <w:textAlignment w:val="baseline"/>
                    <w:outlineLvl w:val="0"/>
                    <w:rPr>
                      <w:szCs w:val="21"/>
                    </w:rPr>
                  </w:pPr>
                  <w:r>
                    <w:rPr>
                      <w:rFonts w:hint="eastAsia"/>
                    </w:rPr>
                    <w:t>（四）工业行业升级改造行动</w:t>
                  </w:r>
                </w:p>
              </w:tc>
              <w:tc>
                <w:tcPr>
                  <w:tcW w:w="7527" w:type="dxa"/>
                  <w:vAlign w:val="center"/>
                </w:tcPr>
                <w:p w14:paraId="18FEEE7A">
                  <w:pPr>
                    <w:adjustRightInd w:val="0"/>
                    <w:snapToGrid w:val="0"/>
                    <w:textAlignment w:val="baseline"/>
                    <w:outlineLvl w:val="0"/>
                  </w:pPr>
                  <w:r>
                    <w:rPr>
                      <w:rFonts w:hint="eastAsia"/>
                    </w:rPr>
                    <w:t>10.加快淘汰落后低效产能。落实国家《产业结构调整指导目录》，按照《河南省淘汰落后产能综合标准体系》最新修订本，严格执行质量、环保、能耗、安全等法规标准，依法依规淘汰大气污染物排放强度高、治理难度大以及产能过剩行业的工艺和装备，实施落后产能“动态清零”。坚决遏制“两高”项目盲目发展。</w:t>
                  </w:r>
                </w:p>
              </w:tc>
              <w:tc>
                <w:tcPr>
                  <w:tcW w:w="4097" w:type="dxa"/>
                  <w:vAlign w:val="center"/>
                </w:tcPr>
                <w:p w14:paraId="070F89C7">
                  <w:pPr>
                    <w:adjustRightInd w:val="0"/>
                    <w:snapToGrid w:val="0"/>
                    <w:textAlignment w:val="baseline"/>
                    <w:outlineLvl w:val="0"/>
                    <w:rPr>
                      <w:szCs w:val="21"/>
                      <w:highlight w:val="yellow"/>
                    </w:rPr>
                  </w:pPr>
                  <w:r>
                    <w:rPr>
                      <w:rFonts w:hint="eastAsia"/>
                    </w:rPr>
                    <w:t>根据</w:t>
                  </w:r>
                  <w:r>
                    <w:t>《产业结构调整指导目录</w:t>
                  </w:r>
                  <w:r>
                    <w:rPr>
                      <w:rFonts w:hint="eastAsia"/>
                    </w:rPr>
                    <w:t>（2</w:t>
                  </w:r>
                  <w:r>
                    <w:t>024</w:t>
                  </w:r>
                  <w:r>
                    <w:rPr>
                      <w:rFonts w:hint="eastAsia"/>
                    </w:rPr>
                    <w:t>年本）</w:t>
                  </w:r>
                  <w:r>
                    <w:t>》，</w:t>
                  </w:r>
                  <w:r>
                    <w:rPr>
                      <w:rFonts w:hint="eastAsia"/>
                    </w:rPr>
                    <w:t>本项目属于鼓励类。本项目不属于“两高”项目。</w:t>
                  </w:r>
                </w:p>
              </w:tc>
              <w:tc>
                <w:tcPr>
                  <w:tcW w:w="572" w:type="dxa"/>
                  <w:vAlign w:val="center"/>
                </w:tcPr>
                <w:p w14:paraId="7A254765">
                  <w:pPr>
                    <w:adjustRightInd w:val="0"/>
                    <w:snapToGrid w:val="0"/>
                    <w:jc w:val="center"/>
                    <w:textAlignment w:val="baseline"/>
                    <w:outlineLvl w:val="0"/>
                    <w:rPr>
                      <w:szCs w:val="21"/>
                      <w:highlight w:val="yellow"/>
                    </w:rPr>
                  </w:pPr>
                  <w:r>
                    <w:rPr>
                      <w:szCs w:val="21"/>
                    </w:rPr>
                    <w:t>符合</w:t>
                  </w:r>
                </w:p>
              </w:tc>
            </w:tr>
          </w:tbl>
          <w:p w14:paraId="520AAFAF">
            <w:pPr>
              <w:pStyle w:val="16"/>
              <w:adjustRightInd w:val="0"/>
              <w:snapToGrid w:val="0"/>
              <w:spacing w:before="0" w:beforeAutospacing="0" w:after="0" w:afterAutospacing="0" w:line="460" w:lineRule="exact"/>
              <w:ind w:firstLine="480" w:firstLineChars="200"/>
              <w:jc w:val="both"/>
              <w:outlineLvl w:val="0"/>
              <w:rPr>
                <w:rFonts w:ascii="Times New Roman" w:hAnsi="Times New Roman"/>
                <w:bCs/>
                <w:lang w:val="en-US"/>
              </w:rPr>
            </w:pPr>
            <w:r>
              <w:rPr>
                <w:rFonts w:hint="eastAsia" w:ascii="Times New Roman" w:hAnsi="Times New Roman"/>
                <w:bCs/>
                <w:lang w:val="en-US"/>
              </w:rPr>
              <w:t>（4）</w:t>
            </w:r>
            <w:r>
              <w:rPr>
                <w:rFonts w:ascii="Times New Roman" w:hAnsi="Times New Roman"/>
                <w:bCs/>
                <w:lang w:val="en-US"/>
              </w:rPr>
              <w:t>与</w:t>
            </w:r>
            <w:r>
              <w:rPr>
                <w:rFonts w:hint="eastAsia" w:ascii="Times New Roman" w:hAnsi="Times New Roman"/>
                <w:bCs/>
                <w:lang w:val="en-US"/>
              </w:rPr>
              <w:t>《河南省重污染天气通用行业应急减排措施制定技术指南（2024年修订版）》相符性分析</w:t>
            </w:r>
          </w:p>
          <w:p w14:paraId="520AAFB0">
            <w:pPr>
              <w:pStyle w:val="16"/>
              <w:adjustRightInd w:val="0"/>
              <w:snapToGrid w:val="0"/>
              <w:spacing w:before="0" w:beforeAutospacing="0" w:after="0" w:afterAutospacing="0" w:line="460" w:lineRule="exact"/>
              <w:ind w:firstLine="480" w:firstLineChars="200"/>
              <w:jc w:val="both"/>
              <w:outlineLvl w:val="0"/>
              <w:rPr>
                <w:rFonts w:ascii="Times New Roman" w:hAnsi="Times New Roman"/>
                <w:bCs/>
                <w:lang w:val="en-US"/>
              </w:rPr>
            </w:pPr>
            <w:r>
              <w:rPr>
                <w:rFonts w:hint="eastAsia" w:ascii="Times New Roman" w:hAnsi="Times New Roman"/>
                <w:bCs/>
                <w:lang w:val="en-US"/>
              </w:rPr>
              <w:t>本项目属于航空、航天器及设备制造项目，建设路厂区不属于国家、省绩效分级重点行业，为通用行业，本项目建设路厂区与《河南省重污染天气通用行业应急减排措施制定技术指南》（2024年修订版）中涉VOCs企业</w:t>
            </w:r>
            <w:r>
              <w:rPr>
                <w:rFonts w:hint="eastAsia"/>
                <w:bCs/>
                <w:szCs w:val="21"/>
              </w:rPr>
              <w:t>绩效引领性指标</w:t>
            </w:r>
            <w:r>
              <w:rPr>
                <w:rFonts w:hint="eastAsia" w:ascii="Times New Roman" w:hAnsi="Times New Roman"/>
                <w:bCs/>
                <w:lang w:val="en-US"/>
              </w:rPr>
              <w:t>要求对比情况见下表：</w:t>
            </w:r>
          </w:p>
          <w:p w14:paraId="520AAFB1">
            <w:pPr>
              <w:adjustRightInd w:val="0"/>
              <w:snapToGrid w:val="0"/>
              <w:spacing w:line="460" w:lineRule="exact"/>
              <w:ind w:firstLine="480" w:firstLineChars="200"/>
              <w:textAlignment w:val="baseline"/>
              <w:outlineLvl w:val="0"/>
              <w:rPr>
                <w:rFonts w:eastAsia="黑体"/>
                <w:bCs/>
                <w:sz w:val="24"/>
              </w:rPr>
            </w:pPr>
            <w:r>
              <w:rPr>
                <w:rFonts w:eastAsia="黑体"/>
                <w:bCs/>
                <w:sz w:val="24"/>
              </w:rPr>
              <w:t>表</w:t>
            </w:r>
            <w:r>
              <w:rPr>
                <w:rFonts w:hint="eastAsia" w:eastAsia="黑体"/>
                <w:bCs/>
                <w:sz w:val="24"/>
              </w:rPr>
              <w:t>8         本项目与《河南省重污染天气通用行业应急减排措施制定技术指南（2024年修订版）》</w:t>
            </w:r>
            <w:r>
              <w:rPr>
                <w:rFonts w:eastAsia="黑体"/>
                <w:bCs/>
                <w:sz w:val="24"/>
              </w:rPr>
              <w:t>对比分析</w:t>
            </w:r>
          </w:p>
          <w:tbl>
            <w:tblPr>
              <w:tblStyle w:val="18"/>
              <w:tblW w:w="4995"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515"/>
              <w:gridCol w:w="521"/>
              <w:gridCol w:w="5909"/>
              <w:gridCol w:w="5911"/>
              <w:gridCol w:w="567"/>
            </w:tblGrid>
            <w:tr w14:paraId="520AAFB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Align w:val="center"/>
                </w:tcPr>
                <w:p w14:paraId="520AAFB2">
                  <w:pPr>
                    <w:pStyle w:val="46"/>
                    <w:rPr>
                      <w:bCs/>
                      <w:color w:val="auto"/>
                    </w:rPr>
                  </w:pPr>
                  <w:r>
                    <w:rPr>
                      <w:rFonts w:hint="eastAsia"/>
                      <w:bCs/>
                      <w:color w:val="auto"/>
                    </w:rPr>
                    <w:t>项目</w:t>
                  </w:r>
                </w:p>
              </w:tc>
              <w:tc>
                <w:tcPr>
                  <w:tcW w:w="2201" w:type="pct"/>
                  <w:vAlign w:val="center"/>
                </w:tcPr>
                <w:p w14:paraId="520AAFB3">
                  <w:pPr>
                    <w:pStyle w:val="46"/>
                    <w:rPr>
                      <w:bCs/>
                      <w:color w:val="auto"/>
                    </w:rPr>
                  </w:pPr>
                  <w:r>
                    <w:rPr>
                      <w:rFonts w:hint="eastAsia"/>
                      <w:bCs/>
                      <w:color w:val="auto"/>
                      <w:szCs w:val="21"/>
                    </w:rPr>
                    <w:t>通用涉</w:t>
                  </w:r>
                  <w:r>
                    <w:rPr>
                      <w:bCs/>
                      <w:color w:val="auto"/>
                      <w:szCs w:val="21"/>
                    </w:rPr>
                    <w:t>VOCs</w:t>
                  </w:r>
                  <w:r>
                    <w:rPr>
                      <w:rFonts w:hint="eastAsia"/>
                      <w:bCs/>
                      <w:color w:val="auto"/>
                      <w:szCs w:val="21"/>
                    </w:rPr>
                    <w:t>企业绩效引领性指标</w:t>
                  </w:r>
                </w:p>
              </w:tc>
              <w:tc>
                <w:tcPr>
                  <w:tcW w:w="2202" w:type="pct"/>
                  <w:vAlign w:val="center"/>
                </w:tcPr>
                <w:p w14:paraId="520AAFB4">
                  <w:pPr>
                    <w:pStyle w:val="46"/>
                    <w:rPr>
                      <w:bCs/>
                      <w:color w:val="auto"/>
                    </w:rPr>
                  </w:pPr>
                  <w:r>
                    <w:rPr>
                      <w:rFonts w:hint="eastAsia"/>
                      <w:bCs/>
                      <w:color w:val="auto"/>
                    </w:rPr>
                    <w:t>本项目拟建设情况</w:t>
                  </w:r>
                </w:p>
              </w:tc>
              <w:tc>
                <w:tcPr>
                  <w:tcW w:w="211" w:type="pct"/>
                  <w:vAlign w:val="center"/>
                </w:tcPr>
                <w:p w14:paraId="520AAFB5">
                  <w:pPr>
                    <w:pStyle w:val="46"/>
                    <w:rPr>
                      <w:bCs/>
                      <w:color w:val="auto"/>
                    </w:rPr>
                  </w:pPr>
                  <w:r>
                    <w:rPr>
                      <w:rFonts w:hint="eastAsia"/>
                      <w:bCs/>
                      <w:color w:val="auto"/>
                    </w:rPr>
                    <w:t>对比结果</w:t>
                  </w:r>
                </w:p>
              </w:tc>
            </w:tr>
            <w:tr w14:paraId="520AAFB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Align w:val="center"/>
                </w:tcPr>
                <w:p w14:paraId="520AAFB7">
                  <w:pPr>
                    <w:pStyle w:val="46"/>
                    <w:rPr>
                      <w:b w:val="0"/>
                      <w:bCs/>
                      <w:color w:val="auto"/>
                    </w:rPr>
                  </w:pPr>
                  <w:r>
                    <w:rPr>
                      <w:rFonts w:hint="eastAsia"/>
                      <w:b w:val="0"/>
                      <w:bCs/>
                      <w:color w:val="auto"/>
                    </w:rPr>
                    <w:t>生产工艺和装备</w:t>
                  </w:r>
                </w:p>
              </w:tc>
              <w:tc>
                <w:tcPr>
                  <w:tcW w:w="2201" w:type="pct"/>
                  <w:vAlign w:val="center"/>
                </w:tcPr>
                <w:p w14:paraId="520AAFB8">
                  <w:pPr>
                    <w:pStyle w:val="46"/>
                    <w:adjustRightInd w:val="0"/>
                    <w:snapToGrid w:val="0"/>
                    <w:jc w:val="both"/>
                    <w:rPr>
                      <w:b w:val="0"/>
                      <w:bCs/>
                      <w:color w:val="auto"/>
                      <w:szCs w:val="21"/>
                    </w:rPr>
                  </w:pPr>
                  <w:r>
                    <w:rPr>
                      <w:rFonts w:hint="eastAsia"/>
                      <w:b w:val="0"/>
                      <w:bCs/>
                      <w:color w:val="auto"/>
                      <w:szCs w:val="21"/>
                    </w:rPr>
                    <w:t>不属于《产业结构调整指导目录（2024年版）》淘汰类，不属于省级和市级政府部门明确列入已经限期淘汰类项目。</w:t>
                  </w:r>
                </w:p>
              </w:tc>
              <w:tc>
                <w:tcPr>
                  <w:tcW w:w="2202" w:type="pct"/>
                  <w:vAlign w:val="center"/>
                </w:tcPr>
                <w:p w14:paraId="520AAFB9">
                  <w:pPr>
                    <w:pStyle w:val="46"/>
                    <w:jc w:val="both"/>
                    <w:rPr>
                      <w:b w:val="0"/>
                      <w:bCs/>
                      <w:color w:val="auto"/>
                    </w:rPr>
                  </w:pPr>
                  <w:r>
                    <w:rPr>
                      <w:rFonts w:hint="eastAsia"/>
                      <w:b w:val="0"/>
                      <w:bCs/>
                      <w:color w:val="auto"/>
                    </w:rPr>
                    <w:t>经查阅《产业结构调整指导目录（2024年本）》，本项目属于鼓励类十八、航空航天第1条航空航天产品，其生产工艺、设备均不在“限制类”、“淘汰类”之列，符合国家产业政策。</w:t>
                  </w:r>
                </w:p>
              </w:tc>
              <w:tc>
                <w:tcPr>
                  <w:tcW w:w="211" w:type="pct"/>
                  <w:vAlign w:val="center"/>
                </w:tcPr>
                <w:p w14:paraId="520AAFBA">
                  <w:pPr>
                    <w:pStyle w:val="46"/>
                    <w:rPr>
                      <w:b w:val="0"/>
                      <w:bCs/>
                      <w:color w:val="auto"/>
                      <w:szCs w:val="28"/>
                    </w:rPr>
                  </w:pPr>
                  <w:r>
                    <w:rPr>
                      <w:rFonts w:hint="eastAsia"/>
                      <w:b w:val="0"/>
                      <w:bCs/>
                      <w:color w:val="auto"/>
                      <w:szCs w:val="28"/>
                    </w:rPr>
                    <w:t>满足</w:t>
                  </w:r>
                </w:p>
              </w:tc>
            </w:tr>
            <w:tr w14:paraId="520AAFC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restart"/>
                  <w:vAlign w:val="center"/>
                </w:tcPr>
                <w:p w14:paraId="520AAFBC">
                  <w:pPr>
                    <w:pStyle w:val="46"/>
                    <w:rPr>
                      <w:b w:val="0"/>
                      <w:bCs/>
                      <w:color w:val="auto"/>
                    </w:rPr>
                  </w:pPr>
                  <w:r>
                    <w:rPr>
                      <w:rFonts w:hint="eastAsia"/>
                      <w:b w:val="0"/>
                      <w:bCs/>
                      <w:color w:val="auto"/>
                    </w:rPr>
                    <w:t>物料储存</w:t>
                  </w:r>
                </w:p>
              </w:tc>
              <w:tc>
                <w:tcPr>
                  <w:tcW w:w="2201" w:type="pct"/>
                  <w:vAlign w:val="center"/>
                </w:tcPr>
                <w:p w14:paraId="520AAFBD">
                  <w:pPr>
                    <w:pStyle w:val="46"/>
                    <w:adjustRightInd w:val="0"/>
                    <w:snapToGrid w:val="0"/>
                    <w:jc w:val="both"/>
                    <w:rPr>
                      <w:b w:val="0"/>
                      <w:bCs/>
                      <w:color w:val="auto"/>
                      <w:szCs w:val="21"/>
                    </w:rPr>
                  </w:pPr>
                  <w:r>
                    <w:rPr>
                      <w:rFonts w:hint="eastAsia"/>
                      <w:b w:val="0"/>
                      <w:bCs/>
                      <w:color w:val="auto"/>
                      <w:szCs w:val="21"/>
                    </w:rPr>
                    <w:t>1.涉VOCs的原辅材料密闭存储；</w:t>
                  </w:r>
                </w:p>
              </w:tc>
              <w:tc>
                <w:tcPr>
                  <w:tcW w:w="2202" w:type="pct"/>
                  <w:vAlign w:val="center"/>
                </w:tcPr>
                <w:p w14:paraId="520AAFBE">
                  <w:pPr>
                    <w:pStyle w:val="46"/>
                    <w:rPr>
                      <w:b w:val="0"/>
                      <w:bCs/>
                      <w:color w:val="auto"/>
                    </w:rPr>
                  </w:pPr>
                  <w:r>
                    <w:rPr>
                      <w:rFonts w:hint="eastAsia"/>
                      <w:b w:val="0"/>
                      <w:bCs/>
                      <w:color w:val="auto"/>
                    </w:rPr>
                    <w:t>本项目涉及VOCs原辅材料密闭储存。</w:t>
                  </w:r>
                </w:p>
              </w:tc>
              <w:tc>
                <w:tcPr>
                  <w:tcW w:w="211" w:type="pct"/>
                  <w:vAlign w:val="center"/>
                </w:tcPr>
                <w:p w14:paraId="520AAFBF">
                  <w:pPr>
                    <w:pStyle w:val="46"/>
                    <w:rPr>
                      <w:b w:val="0"/>
                      <w:bCs/>
                      <w:color w:val="auto"/>
                      <w:szCs w:val="28"/>
                    </w:rPr>
                  </w:pPr>
                  <w:r>
                    <w:rPr>
                      <w:rFonts w:hint="eastAsia"/>
                      <w:b w:val="0"/>
                      <w:bCs/>
                      <w:color w:val="auto"/>
                      <w:szCs w:val="28"/>
                    </w:rPr>
                    <w:t>满足</w:t>
                  </w:r>
                </w:p>
              </w:tc>
            </w:tr>
            <w:tr w14:paraId="520AAFC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continue"/>
                  <w:vAlign w:val="center"/>
                </w:tcPr>
                <w:p w14:paraId="520AAFC1">
                  <w:pPr>
                    <w:pStyle w:val="46"/>
                    <w:rPr>
                      <w:b w:val="0"/>
                      <w:bCs/>
                      <w:color w:val="auto"/>
                    </w:rPr>
                  </w:pPr>
                </w:p>
              </w:tc>
              <w:tc>
                <w:tcPr>
                  <w:tcW w:w="2201" w:type="pct"/>
                  <w:vAlign w:val="center"/>
                </w:tcPr>
                <w:p w14:paraId="520AAFC2">
                  <w:pPr>
                    <w:pStyle w:val="46"/>
                    <w:adjustRightInd w:val="0"/>
                    <w:snapToGrid w:val="0"/>
                    <w:jc w:val="both"/>
                    <w:rPr>
                      <w:b w:val="0"/>
                      <w:bCs/>
                      <w:color w:val="auto"/>
                      <w:szCs w:val="21"/>
                    </w:rPr>
                  </w:pPr>
                  <w:r>
                    <w:rPr>
                      <w:rFonts w:hint="eastAsia"/>
                      <w:b w:val="0"/>
                      <w:bCs/>
                      <w:color w:val="auto"/>
                      <w:szCs w:val="21"/>
                    </w:rPr>
                    <w:t>2.盛装过VOCs物料的包装容器、含VOCs废料（渣、液）、废吸附剂等通过加盖、封装等方式密闭储存；</w:t>
                  </w:r>
                </w:p>
              </w:tc>
              <w:tc>
                <w:tcPr>
                  <w:tcW w:w="2202" w:type="pct"/>
                  <w:vAlign w:val="center"/>
                </w:tcPr>
                <w:p w14:paraId="520AAFC3">
                  <w:pPr>
                    <w:pStyle w:val="46"/>
                    <w:jc w:val="both"/>
                    <w:rPr>
                      <w:b w:val="0"/>
                      <w:bCs/>
                      <w:color w:val="auto"/>
                    </w:rPr>
                  </w:pPr>
                  <w:r>
                    <w:rPr>
                      <w:rFonts w:hint="eastAsia"/>
                      <w:b w:val="0"/>
                      <w:bCs/>
                      <w:color w:val="auto"/>
                    </w:rPr>
                    <w:t>本项目涉VOCs原辅材料主要为15#航空液压油、滑油、乙二醇，其中15#航空液压油、滑油采用密闭桶装储存于原料库内，乙二醇不在厂区内暂存，</w:t>
                  </w:r>
                  <w:r>
                    <w:rPr>
                      <w:rFonts w:hint="eastAsia"/>
                      <w:b w:val="0"/>
                      <w:bCs/>
                      <w:color w:val="auto"/>
                      <w:szCs w:val="21"/>
                    </w:rPr>
                    <w:t>含VOCs的危险废物采用密闭包装后暂存于厂区危废贮存库（间）内。</w:t>
                  </w:r>
                </w:p>
              </w:tc>
              <w:tc>
                <w:tcPr>
                  <w:tcW w:w="211" w:type="pct"/>
                  <w:vAlign w:val="center"/>
                </w:tcPr>
                <w:p w14:paraId="520AAFC4">
                  <w:pPr>
                    <w:pStyle w:val="46"/>
                    <w:rPr>
                      <w:b w:val="0"/>
                      <w:bCs/>
                      <w:color w:val="auto"/>
                      <w:szCs w:val="28"/>
                    </w:rPr>
                  </w:pPr>
                  <w:r>
                    <w:rPr>
                      <w:rFonts w:hint="eastAsia"/>
                      <w:b w:val="0"/>
                      <w:bCs/>
                      <w:color w:val="auto"/>
                      <w:szCs w:val="28"/>
                    </w:rPr>
                    <w:t>满足</w:t>
                  </w:r>
                </w:p>
              </w:tc>
            </w:tr>
            <w:tr w14:paraId="520AAFC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continue"/>
                  <w:vAlign w:val="center"/>
                </w:tcPr>
                <w:p w14:paraId="520AAFC6">
                  <w:pPr>
                    <w:pStyle w:val="46"/>
                    <w:rPr>
                      <w:b w:val="0"/>
                      <w:bCs/>
                      <w:color w:val="auto"/>
                    </w:rPr>
                  </w:pPr>
                </w:p>
              </w:tc>
              <w:tc>
                <w:tcPr>
                  <w:tcW w:w="2201" w:type="pct"/>
                  <w:vAlign w:val="center"/>
                </w:tcPr>
                <w:p w14:paraId="520AAFC7">
                  <w:pPr>
                    <w:pStyle w:val="46"/>
                    <w:jc w:val="both"/>
                    <w:rPr>
                      <w:b w:val="0"/>
                      <w:bCs/>
                      <w:color w:val="auto"/>
                      <w:szCs w:val="21"/>
                    </w:rPr>
                  </w:pPr>
                  <w:r>
                    <w:rPr>
                      <w:rFonts w:hint="eastAsia"/>
                      <w:b w:val="0"/>
                      <w:bCs/>
                      <w:color w:val="auto"/>
                      <w:szCs w:val="21"/>
                    </w:rPr>
                    <w:t>3.生产车间内涉VOCs物料应密闭储存。</w:t>
                  </w:r>
                </w:p>
              </w:tc>
              <w:tc>
                <w:tcPr>
                  <w:tcW w:w="2202" w:type="pct"/>
                  <w:vAlign w:val="center"/>
                </w:tcPr>
                <w:p w14:paraId="520AAFC8">
                  <w:pPr>
                    <w:pStyle w:val="46"/>
                    <w:rPr>
                      <w:b w:val="0"/>
                      <w:bCs/>
                      <w:color w:val="auto"/>
                    </w:rPr>
                  </w:pPr>
                  <w:r>
                    <w:rPr>
                      <w:rFonts w:hint="eastAsia"/>
                      <w:b w:val="0"/>
                      <w:bCs/>
                      <w:color w:val="auto"/>
                      <w:szCs w:val="21"/>
                    </w:rPr>
                    <w:t>生产车间内使用VOCs原料的设备保持密闭。</w:t>
                  </w:r>
                </w:p>
              </w:tc>
              <w:tc>
                <w:tcPr>
                  <w:tcW w:w="211" w:type="pct"/>
                  <w:vAlign w:val="center"/>
                </w:tcPr>
                <w:p w14:paraId="520AAFC9">
                  <w:pPr>
                    <w:pStyle w:val="46"/>
                    <w:rPr>
                      <w:b w:val="0"/>
                      <w:bCs/>
                      <w:color w:val="auto"/>
                      <w:szCs w:val="28"/>
                    </w:rPr>
                  </w:pPr>
                  <w:r>
                    <w:rPr>
                      <w:rFonts w:hint="eastAsia"/>
                      <w:b w:val="0"/>
                      <w:bCs/>
                      <w:color w:val="auto"/>
                      <w:szCs w:val="28"/>
                    </w:rPr>
                    <w:t>满足</w:t>
                  </w:r>
                </w:p>
              </w:tc>
            </w:tr>
            <w:tr w14:paraId="520AAFC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Align w:val="center"/>
                </w:tcPr>
                <w:p w14:paraId="520AAFCB">
                  <w:pPr>
                    <w:pStyle w:val="46"/>
                    <w:rPr>
                      <w:b w:val="0"/>
                      <w:bCs/>
                      <w:color w:val="auto"/>
                    </w:rPr>
                  </w:pPr>
                  <w:r>
                    <w:rPr>
                      <w:rFonts w:hint="eastAsia"/>
                      <w:b w:val="0"/>
                      <w:bCs/>
                      <w:color w:val="auto"/>
                    </w:rPr>
                    <w:t>物料转移和输送</w:t>
                  </w:r>
                </w:p>
              </w:tc>
              <w:tc>
                <w:tcPr>
                  <w:tcW w:w="2201" w:type="pct"/>
                  <w:vAlign w:val="center"/>
                </w:tcPr>
                <w:p w14:paraId="520AAFCC">
                  <w:pPr>
                    <w:pStyle w:val="46"/>
                    <w:jc w:val="both"/>
                    <w:rPr>
                      <w:b w:val="0"/>
                      <w:bCs/>
                      <w:color w:val="auto"/>
                      <w:szCs w:val="21"/>
                    </w:rPr>
                  </w:pPr>
                  <w:r>
                    <w:rPr>
                      <w:rFonts w:hint="eastAsia"/>
                      <w:b w:val="0"/>
                      <w:bCs/>
                      <w:color w:val="auto"/>
                      <w:szCs w:val="21"/>
                    </w:rPr>
                    <w:t>涉VOCs物料采用密闭管道或密闭容器等输送。</w:t>
                  </w:r>
                </w:p>
              </w:tc>
              <w:tc>
                <w:tcPr>
                  <w:tcW w:w="2202" w:type="pct"/>
                  <w:vAlign w:val="center"/>
                </w:tcPr>
                <w:p w14:paraId="520AAFCD">
                  <w:pPr>
                    <w:pStyle w:val="46"/>
                    <w:rPr>
                      <w:b w:val="0"/>
                      <w:bCs/>
                      <w:color w:val="auto"/>
                    </w:rPr>
                  </w:pPr>
                  <w:r>
                    <w:rPr>
                      <w:rFonts w:hint="eastAsia"/>
                      <w:b w:val="0"/>
                      <w:bCs/>
                      <w:color w:val="auto"/>
                    </w:rPr>
                    <w:t>本项目涉VOCs物料采用密闭桶转移和输送。</w:t>
                  </w:r>
                </w:p>
              </w:tc>
              <w:tc>
                <w:tcPr>
                  <w:tcW w:w="211" w:type="pct"/>
                  <w:vAlign w:val="center"/>
                </w:tcPr>
                <w:p w14:paraId="520AAFCE">
                  <w:pPr>
                    <w:pStyle w:val="46"/>
                    <w:rPr>
                      <w:b w:val="0"/>
                      <w:bCs/>
                      <w:color w:val="auto"/>
                      <w:szCs w:val="28"/>
                    </w:rPr>
                  </w:pPr>
                  <w:r>
                    <w:rPr>
                      <w:rFonts w:hint="eastAsia"/>
                      <w:b w:val="0"/>
                      <w:bCs/>
                      <w:color w:val="auto"/>
                      <w:szCs w:val="28"/>
                    </w:rPr>
                    <w:t>满足</w:t>
                  </w:r>
                </w:p>
              </w:tc>
            </w:tr>
            <w:tr w14:paraId="520AAFD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restart"/>
                  <w:vAlign w:val="center"/>
                </w:tcPr>
                <w:p w14:paraId="520AAFD0">
                  <w:pPr>
                    <w:pStyle w:val="46"/>
                    <w:rPr>
                      <w:b w:val="0"/>
                      <w:bCs/>
                      <w:color w:val="auto"/>
                    </w:rPr>
                  </w:pPr>
                  <w:r>
                    <w:rPr>
                      <w:rFonts w:hint="eastAsia"/>
                      <w:b w:val="0"/>
                      <w:bCs/>
                      <w:color w:val="auto"/>
                    </w:rPr>
                    <w:t>工艺过程</w:t>
                  </w:r>
                </w:p>
              </w:tc>
              <w:tc>
                <w:tcPr>
                  <w:tcW w:w="2201" w:type="pct"/>
                  <w:vAlign w:val="center"/>
                </w:tcPr>
                <w:p w14:paraId="520AAFD1">
                  <w:pPr>
                    <w:pStyle w:val="46"/>
                    <w:jc w:val="both"/>
                    <w:rPr>
                      <w:b w:val="0"/>
                      <w:bCs/>
                      <w:color w:val="auto"/>
                      <w:szCs w:val="21"/>
                    </w:rPr>
                  </w:pPr>
                  <w:r>
                    <w:rPr>
                      <w:rFonts w:hint="eastAsia"/>
                      <w:b w:val="0"/>
                      <w:bCs/>
                      <w:color w:val="auto"/>
                      <w:szCs w:val="21"/>
                    </w:rPr>
                    <w:t>1.原辅材料调配、使用（施胶、干燥等）、回收等过程采用密闭设备或在密闭空间内操作；</w:t>
                  </w:r>
                </w:p>
              </w:tc>
              <w:tc>
                <w:tcPr>
                  <w:tcW w:w="2202" w:type="pct"/>
                  <w:vAlign w:val="center"/>
                </w:tcPr>
                <w:p w14:paraId="520AAFD2">
                  <w:pPr>
                    <w:pStyle w:val="46"/>
                    <w:jc w:val="both"/>
                    <w:rPr>
                      <w:b w:val="0"/>
                      <w:bCs/>
                      <w:color w:val="auto"/>
                    </w:rPr>
                  </w:pPr>
                  <w:r>
                    <w:rPr>
                      <w:rFonts w:hint="eastAsia"/>
                      <w:b w:val="0"/>
                      <w:bCs/>
                      <w:color w:val="auto"/>
                      <w:szCs w:val="21"/>
                    </w:rPr>
                    <w:t>本项目油类试验、</w:t>
                  </w:r>
                  <w:r>
                    <w:rPr>
                      <w:b w:val="0"/>
                      <w:bCs/>
                      <w:color w:val="auto"/>
                      <w:szCs w:val="21"/>
                    </w:rPr>
                    <w:t>液体冷却子系统试验</w:t>
                  </w:r>
                  <w:r>
                    <w:rPr>
                      <w:rFonts w:hint="eastAsia"/>
                      <w:b w:val="0"/>
                      <w:bCs/>
                      <w:color w:val="auto"/>
                      <w:szCs w:val="21"/>
                    </w:rPr>
                    <w:t>过程均在密闭厂房进行操作。</w:t>
                  </w:r>
                </w:p>
              </w:tc>
              <w:tc>
                <w:tcPr>
                  <w:tcW w:w="211" w:type="pct"/>
                  <w:vAlign w:val="center"/>
                </w:tcPr>
                <w:p w14:paraId="520AAFD3">
                  <w:pPr>
                    <w:pStyle w:val="46"/>
                    <w:rPr>
                      <w:b w:val="0"/>
                      <w:bCs/>
                      <w:color w:val="auto"/>
                      <w:szCs w:val="28"/>
                    </w:rPr>
                  </w:pPr>
                  <w:r>
                    <w:rPr>
                      <w:rFonts w:hint="eastAsia"/>
                      <w:b w:val="0"/>
                      <w:bCs/>
                      <w:color w:val="auto"/>
                    </w:rPr>
                    <w:t>满足</w:t>
                  </w:r>
                </w:p>
              </w:tc>
            </w:tr>
            <w:tr w14:paraId="520AAFD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continue"/>
                  <w:vAlign w:val="center"/>
                </w:tcPr>
                <w:p w14:paraId="520AAFD5">
                  <w:pPr>
                    <w:pStyle w:val="46"/>
                    <w:rPr>
                      <w:b w:val="0"/>
                      <w:bCs/>
                      <w:color w:val="auto"/>
                    </w:rPr>
                  </w:pPr>
                </w:p>
              </w:tc>
              <w:tc>
                <w:tcPr>
                  <w:tcW w:w="2201" w:type="pct"/>
                  <w:vAlign w:val="center"/>
                </w:tcPr>
                <w:p w14:paraId="520AAFD6">
                  <w:pPr>
                    <w:pStyle w:val="46"/>
                    <w:jc w:val="both"/>
                    <w:rPr>
                      <w:b w:val="0"/>
                      <w:bCs/>
                      <w:color w:val="auto"/>
                      <w:szCs w:val="21"/>
                    </w:rPr>
                  </w:pPr>
                  <w:r>
                    <w:rPr>
                      <w:rFonts w:hint="eastAsia"/>
                      <w:b w:val="0"/>
                      <w:bCs/>
                      <w:color w:val="auto"/>
                      <w:szCs w:val="21"/>
                    </w:rPr>
                    <w:t>2.涉VOCs原料装卸、储存、转移和输送、工艺过程等环节的废气全部收集引至VOCs处理系统。</w:t>
                  </w:r>
                </w:p>
              </w:tc>
              <w:tc>
                <w:tcPr>
                  <w:tcW w:w="2202" w:type="pct"/>
                  <w:vAlign w:val="center"/>
                </w:tcPr>
                <w:p w14:paraId="520AAFD7">
                  <w:pPr>
                    <w:pStyle w:val="46"/>
                    <w:jc w:val="both"/>
                    <w:rPr>
                      <w:b w:val="0"/>
                      <w:bCs/>
                      <w:color w:val="auto"/>
                    </w:rPr>
                  </w:pPr>
                  <w:r>
                    <w:rPr>
                      <w:rFonts w:hint="eastAsia"/>
                      <w:b w:val="0"/>
                      <w:bCs/>
                      <w:color w:val="auto"/>
                      <w:szCs w:val="21"/>
                    </w:rPr>
                    <w:t>本项目涉</w:t>
                  </w:r>
                  <w:r>
                    <w:rPr>
                      <w:b w:val="0"/>
                      <w:bCs/>
                      <w:color w:val="auto"/>
                      <w:szCs w:val="21"/>
                    </w:rPr>
                    <w:t>VOCs</w:t>
                  </w:r>
                  <w:r>
                    <w:rPr>
                      <w:rFonts w:hint="eastAsia"/>
                      <w:b w:val="0"/>
                      <w:bCs/>
                      <w:color w:val="auto"/>
                      <w:szCs w:val="21"/>
                    </w:rPr>
                    <w:t>原料装卸、储存、转移和输送、工艺过程等环节的废气全部收集后经活性炭吸附/脱附-催化燃烧装置处理后达标排放。</w:t>
                  </w:r>
                </w:p>
              </w:tc>
              <w:tc>
                <w:tcPr>
                  <w:tcW w:w="211" w:type="pct"/>
                  <w:vAlign w:val="center"/>
                </w:tcPr>
                <w:p w14:paraId="520AAFD8">
                  <w:pPr>
                    <w:pStyle w:val="46"/>
                    <w:rPr>
                      <w:b w:val="0"/>
                      <w:bCs/>
                      <w:color w:val="auto"/>
                      <w:szCs w:val="28"/>
                    </w:rPr>
                  </w:pPr>
                  <w:r>
                    <w:rPr>
                      <w:rFonts w:hint="eastAsia"/>
                      <w:b w:val="0"/>
                      <w:bCs/>
                      <w:color w:val="auto"/>
                    </w:rPr>
                    <w:t>满足</w:t>
                  </w:r>
                </w:p>
              </w:tc>
            </w:tr>
            <w:tr w14:paraId="520AAFD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Align w:val="center"/>
                </w:tcPr>
                <w:p w14:paraId="520AAFDA">
                  <w:pPr>
                    <w:pStyle w:val="46"/>
                    <w:rPr>
                      <w:b w:val="0"/>
                      <w:bCs/>
                      <w:color w:val="auto"/>
                    </w:rPr>
                  </w:pPr>
                  <w:r>
                    <w:rPr>
                      <w:rFonts w:hint="eastAsia"/>
                      <w:b w:val="0"/>
                      <w:bCs/>
                      <w:color w:val="auto"/>
                    </w:rPr>
                    <w:t>排放限值</w:t>
                  </w:r>
                </w:p>
              </w:tc>
              <w:tc>
                <w:tcPr>
                  <w:tcW w:w="2201" w:type="pct"/>
                  <w:vAlign w:val="center"/>
                </w:tcPr>
                <w:p w14:paraId="520AAFDB">
                  <w:pPr>
                    <w:pStyle w:val="46"/>
                    <w:jc w:val="both"/>
                    <w:rPr>
                      <w:b w:val="0"/>
                      <w:bCs/>
                      <w:color w:val="auto"/>
                      <w:szCs w:val="21"/>
                    </w:rPr>
                  </w:pPr>
                  <w:r>
                    <w:rPr>
                      <w:rFonts w:hint="eastAsia"/>
                      <w:b w:val="0"/>
                      <w:bCs/>
                      <w:color w:val="auto"/>
                      <w:szCs w:val="21"/>
                    </w:rPr>
                    <w:t>NMHC排放限值不高于30mg/m</w:t>
                  </w:r>
                  <w:r>
                    <w:rPr>
                      <w:rFonts w:hint="eastAsia"/>
                      <w:b w:val="0"/>
                      <w:bCs/>
                      <w:color w:val="auto"/>
                      <w:szCs w:val="21"/>
                      <w:vertAlign w:val="superscript"/>
                    </w:rPr>
                    <w:t>3</w:t>
                  </w:r>
                  <w:r>
                    <w:rPr>
                      <w:rFonts w:hint="eastAsia"/>
                      <w:b w:val="0"/>
                      <w:bCs/>
                      <w:color w:val="auto"/>
                      <w:szCs w:val="21"/>
                    </w:rPr>
                    <w:t>；其他污染物排放浓度达到相关污染物排放标准。</w:t>
                  </w:r>
                </w:p>
              </w:tc>
              <w:tc>
                <w:tcPr>
                  <w:tcW w:w="2202" w:type="pct"/>
                  <w:vAlign w:val="center"/>
                </w:tcPr>
                <w:p w14:paraId="520AAFDC">
                  <w:pPr>
                    <w:pStyle w:val="46"/>
                    <w:jc w:val="both"/>
                    <w:rPr>
                      <w:b w:val="0"/>
                      <w:bCs/>
                      <w:color w:val="auto"/>
                    </w:rPr>
                  </w:pPr>
                  <w:r>
                    <w:rPr>
                      <w:rFonts w:hint="eastAsia"/>
                      <w:b w:val="0"/>
                      <w:bCs/>
                      <w:color w:val="auto"/>
                    </w:rPr>
                    <w:t>本项目建设路厂区非甲烷总烃排放浓度为0.13~2.4</w:t>
                  </w:r>
                  <w:r>
                    <w:rPr>
                      <w:rFonts w:hint="eastAsia"/>
                      <w:b w:val="0"/>
                      <w:bCs/>
                      <w:color w:val="auto"/>
                      <w:szCs w:val="21"/>
                    </w:rPr>
                    <w:t>mg/m</w:t>
                  </w:r>
                  <w:r>
                    <w:rPr>
                      <w:rFonts w:hint="eastAsia"/>
                      <w:b w:val="0"/>
                      <w:bCs/>
                      <w:color w:val="auto"/>
                      <w:szCs w:val="21"/>
                      <w:vertAlign w:val="superscript"/>
                    </w:rPr>
                    <w:t>3</w:t>
                  </w:r>
                  <w:r>
                    <w:rPr>
                      <w:rFonts w:hint="eastAsia"/>
                      <w:b w:val="0"/>
                      <w:bCs/>
                      <w:color w:val="auto"/>
                      <w:szCs w:val="21"/>
                    </w:rPr>
                    <w:t>，本项目建成后总排口排气筒</w:t>
                  </w:r>
                  <w:r>
                    <w:rPr>
                      <w:rFonts w:hint="eastAsia"/>
                      <w:b w:val="0"/>
                      <w:bCs/>
                      <w:color w:val="auto"/>
                    </w:rPr>
                    <w:t>非甲烷总烃排放浓度为4~29.2</w:t>
                  </w:r>
                  <w:r>
                    <w:rPr>
                      <w:rFonts w:hint="eastAsia"/>
                      <w:b w:val="0"/>
                      <w:bCs/>
                      <w:color w:val="auto"/>
                      <w:szCs w:val="21"/>
                    </w:rPr>
                    <w:t>mg/m</w:t>
                  </w:r>
                  <w:r>
                    <w:rPr>
                      <w:rFonts w:hint="eastAsia"/>
                      <w:b w:val="0"/>
                      <w:bCs/>
                      <w:color w:val="auto"/>
                      <w:szCs w:val="21"/>
                      <w:vertAlign w:val="superscript"/>
                    </w:rPr>
                    <w:t>3</w:t>
                  </w:r>
                  <w:r>
                    <w:rPr>
                      <w:rFonts w:hint="eastAsia"/>
                      <w:b w:val="0"/>
                      <w:bCs/>
                      <w:color w:val="auto"/>
                      <w:szCs w:val="21"/>
                    </w:rPr>
                    <w:t>，小于30mg/m</w:t>
                  </w:r>
                  <w:r>
                    <w:rPr>
                      <w:rFonts w:hint="eastAsia"/>
                      <w:b w:val="0"/>
                      <w:bCs/>
                      <w:color w:val="auto"/>
                      <w:szCs w:val="21"/>
                      <w:vertAlign w:val="superscript"/>
                    </w:rPr>
                    <w:t>3</w:t>
                  </w:r>
                  <w:r>
                    <w:rPr>
                      <w:rFonts w:hint="eastAsia"/>
                      <w:b w:val="0"/>
                      <w:bCs/>
                      <w:color w:val="auto"/>
                      <w:szCs w:val="21"/>
                    </w:rPr>
                    <w:t>。</w:t>
                  </w:r>
                </w:p>
              </w:tc>
              <w:tc>
                <w:tcPr>
                  <w:tcW w:w="211" w:type="pct"/>
                  <w:vAlign w:val="center"/>
                </w:tcPr>
                <w:p w14:paraId="520AAFDD">
                  <w:pPr>
                    <w:pStyle w:val="46"/>
                    <w:rPr>
                      <w:b w:val="0"/>
                      <w:bCs/>
                      <w:color w:val="auto"/>
                      <w:szCs w:val="28"/>
                    </w:rPr>
                  </w:pPr>
                  <w:r>
                    <w:rPr>
                      <w:rFonts w:hint="eastAsia"/>
                      <w:b w:val="0"/>
                      <w:bCs/>
                      <w:color w:val="auto"/>
                    </w:rPr>
                    <w:t>满足</w:t>
                  </w:r>
                </w:p>
              </w:tc>
            </w:tr>
            <w:tr w14:paraId="520AAFE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restart"/>
                  <w:vAlign w:val="center"/>
                </w:tcPr>
                <w:p w14:paraId="520AAFDF">
                  <w:pPr>
                    <w:pStyle w:val="46"/>
                    <w:rPr>
                      <w:b w:val="0"/>
                      <w:bCs/>
                      <w:color w:val="auto"/>
                    </w:rPr>
                  </w:pPr>
                  <w:r>
                    <w:rPr>
                      <w:rFonts w:hint="eastAsia"/>
                      <w:b w:val="0"/>
                      <w:bCs/>
                      <w:color w:val="auto"/>
                    </w:rPr>
                    <w:t>监测监控水平</w:t>
                  </w:r>
                </w:p>
              </w:tc>
              <w:tc>
                <w:tcPr>
                  <w:tcW w:w="2201" w:type="pct"/>
                  <w:vAlign w:val="center"/>
                </w:tcPr>
                <w:p w14:paraId="520AAFE0">
                  <w:pPr>
                    <w:pStyle w:val="46"/>
                    <w:snapToGrid w:val="0"/>
                    <w:jc w:val="both"/>
                    <w:rPr>
                      <w:b w:val="0"/>
                      <w:bCs/>
                      <w:color w:val="auto"/>
                      <w:szCs w:val="21"/>
                    </w:rPr>
                  </w:pPr>
                  <w:r>
                    <w:rPr>
                      <w:rFonts w:hint="eastAsia"/>
                      <w:b w:val="0"/>
                      <w:bCs/>
                      <w:color w:val="auto"/>
                      <w:szCs w:val="21"/>
                    </w:rPr>
                    <w:t>1.有组织排放口按排污许可、环境影响评价或环境现状评估等要求安装烟气排放自动监控设施（CEMS），并按要求与省厅联网；重点排污单位风量大于10000m</w:t>
                  </w:r>
                  <w:r>
                    <w:rPr>
                      <w:rFonts w:hint="eastAsia"/>
                      <w:b w:val="0"/>
                      <w:bCs/>
                      <w:color w:val="auto"/>
                      <w:szCs w:val="21"/>
                      <w:vertAlign w:val="superscript"/>
                    </w:rPr>
                    <w:t>3</w:t>
                  </w:r>
                  <w:r>
                    <w:rPr>
                      <w:rFonts w:hint="eastAsia"/>
                      <w:b w:val="0"/>
                      <w:bCs/>
                      <w:color w:val="auto"/>
                      <w:szCs w:val="21"/>
                    </w:rPr>
                    <w:t>/h的主要排放口安装NMHC在线监测设施（FID检测器）并按要求与省厅联网；其他企业NMHC初始排放速率大于2kg/h且排放口风量大于20000m</w:t>
                  </w:r>
                  <w:r>
                    <w:rPr>
                      <w:rFonts w:hint="eastAsia"/>
                      <w:b w:val="0"/>
                      <w:bCs/>
                      <w:color w:val="auto"/>
                      <w:szCs w:val="21"/>
                      <w:vertAlign w:val="superscript"/>
                    </w:rPr>
                    <w:t>3</w:t>
                  </w:r>
                  <w:r>
                    <w:rPr>
                      <w:rFonts w:hint="eastAsia"/>
                      <w:b w:val="0"/>
                      <w:bCs/>
                      <w:color w:val="auto"/>
                      <w:szCs w:val="21"/>
                    </w:rPr>
                    <w:t>/h的废气排放口安装NMHC在线监测设施（FID检测器），并按要求与省厅联网；在线监测数据至少保存最近12个月的1分钟均值、36个月的1小时均值及60个月的日均值和月均值。（投产或安装时间不满一年以上的企业，以现有数据为准）；</w:t>
                  </w:r>
                </w:p>
              </w:tc>
              <w:tc>
                <w:tcPr>
                  <w:tcW w:w="2202" w:type="pct"/>
                  <w:vAlign w:val="center"/>
                </w:tcPr>
                <w:p w14:paraId="520AAFE1">
                  <w:pPr>
                    <w:pStyle w:val="46"/>
                    <w:jc w:val="both"/>
                    <w:rPr>
                      <w:b w:val="0"/>
                      <w:bCs/>
                      <w:color w:val="auto"/>
                    </w:rPr>
                  </w:pPr>
                  <w:r>
                    <w:rPr>
                      <w:rFonts w:hint="eastAsia"/>
                      <w:b w:val="0"/>
                      <w:bCs/>
                      <w:color w:val="auto"/>
                    </w:rPr>
                    <w:t>本项目建成后D</w:t>
                  </w:r>
                  <w:r>
                    <w:rPr>
                      <w:b w:val="0"/>
                      <w:bCs/>
                      <w:color w:val="auto"/>
                    </w:rPr>
                    <w:t>A0</w:t>
                  </w:r>
                  <w:r>
                    <w:rPr>
                      <w:rFonts w:hint="eastAsia"/>
                      <w:b w:val="0"/>
                      <w:bCs/>
                      <w:color w:val="auto"/>
                    </w:rPr>
                    <w:t>25废气排放口风量为40300m</w:t>
                  </w:r>
                  <w:r>
                    <w:rPr>
                      <w:rFonts w:hint="eastAsia"/>
                      <w:b w:val="0"/>
                      <w:bCs/>
                      <w:color w:val="auto"/>
                      <w:vertAlign w:val="superscript"/>
                    </w:rPr>
                    <w:t>3</w:t>
                  </w:r>
                  <w:r>
                    <w:rPr>
                      <w:rFonts w:hint="eastAsia"/>
                      <w:b w:val="0"/>
                      <w:bCs/>
                      <w:color w:val="auto"/>
                    </w:rPr>
                    <w:t>/h，D</w:t>
                  </w:r>
                  <w:r>
                    <w:rPr>
                      <w:b w:val="0"/>
                      <w:bCs/>
                      <w:color w:val="auto"/>
                    </w:rPr>
                    <w:t>A0</w:t>
                  </w:r>
                  <w:r>
                    <w:rPr>
                      <w:rFonts w:hint="eastAsia"/>
                      <w:b w:val="0"/>
                      <w:bCs/>
                      <w:color w:val="auto"/>
                    </w:rPr>
                    <w:t>26废气排放口风量为31500m</w:t>
                  </w:r>
                  <w:r>
                    <w:rPr>
                      <w:rFonts w:hint="eastAsia"/>
                      <w:b w:val="0"/>
                      <w:bCs/>
                      <w:color w:val="auto"/>
                      <w:vertAlign w:val="superscript"/>
                    </w:rPr>
                    <w:t>3</w:t>
                  </w:r>
                  <w:r>
                    <w:rPr>
                      <w:rFonts w:hint="eastAsia"/>
                      <w:b w:val="0"/>
                      <w:bCs/>
                      <w:color w:val="auto"/>
                    </w:rPr>
                    <w:t>/h，D</w:t>
                  </w:r>
                  <w:r>
                    <w:rPr>
                      <w:b w:val="0"/>
                      <w:bCs/>
                      <w:color w:val="auto"/>
                    </w:rPr>
                    <w:t>A0</w:t>
                  </w:r>
                  <w:r>
                    <w:rPr>
                      <w:rFonts w:hint="eastAsia"/>
                      <w:b w:val="0"/>
                      <w:bCs/>
                      <w:color w:val="auto"/>
                    </w:rPr>
                    <w:t>30废气排放口风量为19500m</w:t>
                  </w:r>
                  <w:r>
                    <w:rPr>
                      <w:rFonts w:hint="eastAsia"/>
                      <w:b w:val="0"/>
                      <w:bCs/>
                      <w:color w:val="auto"/>
                      <w:vertAlign w:val="superscript"/>
                    </w:rPr>
                    <w:t>3</w:t>
                  </w:r>
                  <w:r>
                    <w:rPr>
                      <w:rFonts w:hint="eastAsia"/>
                      <w:b w:val="0"/>
                      <w:bCs/>
                      <w:color w:val="auto"/>
                    </w:rPr>
                    <w:t>/h，但三根排气筒NMHC排放速率均小于2kg/h，且均为一般排放口，无需安装烟气排放自动监控设施（CEMS）。</w:t>
                  </w:r>
                </w:p>
              </w:tc>
              <w:tc>
                <w:tcPr>
                  <w:tcW w:w="211" w:type="pct"/>
                  <w:vAlign w:val="center"/>
                </w:tcPr>
                <w:p w14:paraId="520AAFE2">
                  <w:pPr>
                    <w:pStyle w:val="46"/>
                    <w:rPr>
                      <w:b w:val="0"/>
                      <w:bCs/>
                      <w:color w:val="auto"/>
                    </w:rPr>
                  </w:pPr>
                  <w:r>
                    <w:rPr>
                      <w:rFonts w:hint="eastAsia"/>
                      <w:b w:val="0"/>
                      <w:bCs/>
                      <w:color w:val="auto"/>
                      <w:szCs w:val="28"/>
                    </w:rPr>
                    <w:t>满足</w:t>
                  </w:r>
                </w:p>
              </w:tc>
            </w:tr>
            <w:tr w14:paraId="520AAFE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continue"/>
                  <w:vAlign w:val="center"/>
                </w:tcPr>
                <w:p w14:paraId="520AAFE4">
                  <w:pPr>
                    <w:pStyle w:val="46"/>
                    <w:rPr>
                      <w:b w:val="0"/>
                      <w:bCs/>
                      <w:color w:val="auto"/>
                    </w:rPr>
                  </w:pPr>
                </w:p>
              </w:tc>
              <w:tc>
                <w:tcPr>
                  <w:tcW w:w="2201" w:type="pct"/>
                  <w:vAlign w:val="center"/>
                </w:tcPr>
                <w:p w14:paraId="520AAFE5">
                  <w:pPr>
                    <w:pStyle w:val="46"/>
                    <w:snapToGrid w:val="0"/>
                    <w:jc w:val="both"/>
                    <w:rPr>
                      <w:b w:val="0"/>
                      <w:bCs/>
                      <w:color w:val="auto"/>
                      <w:szCs w:val="21"/>
                    </w:rPr>
                  </w:pPr>
                  <w:r>
                    <w:rPr>
                      <w:rFonts w:hint="eastAsia"/>
                      <w:b w:val="0"/>
                      <w:bCs/>
                      <w:color w:val="auto"/>
                      <w:szCs w:val="21"/>
                    </w:rPr>
                    <w:t>2.按生态环境部门要求规范设置废气排放口标志牌、二维码标识和采样平台、采样孔；各废气排放口按照排污许可要求开展自行监测；</w:t>
                  </w:r>
                </w:p>
              </w:tc>
              <w:tc>
                <w:tcPr>
                  <w:tcW w:w="2202" w:type="pct"/>
                  <w:vAlign w:val="center"/>
                </w:tcPr>
                <w:p w14:paraId="520AAFE6">
                  <w:pPr>
                    <w:pStyle w:val="46"/>
                    <w:jc w:val="both"/>
                    <w:rPr>
                      <w:b w:val="0"/>
                      <w:bCs/>
                      <w:color w:val="auto"/>
                    </w:rPr>
                  </w:pPr>
                  <w:r>
                    <w:rPr>
                      <w:rFonts w:hint="eastAsia"/>
                      <w:b w:val="0"/>
                      <w:bCs/>
                      <w:color w:val="auto"/>
                    </w:rPr>
                    <w:t>本项目将按照生态环境部门要求规范设置废气排放口标志牌、二维码标识和采样平台、采样孔，将按照排污许可</w:t>
                  </w:r>
                  <w:r>
                    <w:rPr>
                      <w:rFonts w:hint="eastAsia"/>
                      <w:b w:val="0"/>
                      <w:bCs/>
                      <w:color w:val="auto"/>
                      <w:szCs w:val="21"/>
                    </w:rPr>
                    <w:t>要求开展自行监测</w:t>
                  </w:r>
                  <w:r>
                    <w:rPr>
                      <w:rFonts w:hint="eastAsia"/>
                      <w:b w:val="0"/>
                      <w:bCs/>
                      <w:color w:val="auto"/>
                    </w:rPr>
                    <w:t>。</w:t>
                  </w:r>
                </w:p>
              </w:tc>
              <w:tc>
                <w:tcPr>
                  <w:tcW w:w="211" w:type="pct"/>
                  <w:vAlign w:val="center"/>
                </w:tcPr>
                <w:p w14:paraId="520AAFE7">
                  <w:pPr>
                    <w:pStyle w:val="46"/>
                    <w:rPr>
                      <w:b w:val="0"/>
                      <w:bCs/>
                      <w:color w:val="auto"/>
                    </w:rPr>
                  </w:pPr>
                  <w:r>
                    <w:rPr>
                      <w:rFonts w:hint="eastAsia"/>
                      <w:b w:val="0"/>
                      <w:bCs/>
                      <w:color w:val="auto"/>
                      <w:szCs w:val="28"/>
                    </w:rPr>
                    <w:t>满足</w:t>
                  </w:r>
                </w:p>
              </w:tc>
            </w:tr>
            <w:tr w14:paraId="520AAFE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continue"/>
                  <w:vAlign w:val="center"/>
                </w:tcPr>
                <w:p w14:paraId="520AAFE9">
                  <w:pPr>
                    <w:pStyle w:val="46"/>
                    <w:rPr>
                      <w:b w:val="0"/>
                      <w:bCs/>
                      <w:color w:val="auto"/>
                    </w:rPr>
                  </w:pPr>
                </w:p>
              </w:tc>
              <w:tc>
                <w:tcPr>
                  <w:tcW w:w="2201" w:type="pct"/>
                  <w:vAlign w:val="center"/>
                </w:tcPr>
                <w:p w14:paraId="520AAFEA">
                  <w:pPr>
                    <w:pStyle w:val="46"/>
                    <w:jc w:val="both"/>
                    <w:rPr>
                      <w:b w:val="0"/>
                      <w:bCs/>
                      <w:color w:val="auto"/>
                      <w:szCs w:val="21"/>
                    </w:rPr>
                  </w:pPr>
                  <w:r>
                    <w:rPr>
                      <w:rFonts w:hint="eastAsia"/>
                      <w:b w:val="0"/>
                      <w:bCs/>
                      <w:color w:val="auto"/>
                      <w:szCs w:val="21"/>
                    </w:rPr>
                    <w:t>3.未安装自动在线监控的企业，应在主要生产设备（投料口、卸料口等位置）安装视频监控设施，相关数据保存6个月以上。</w:t>
                  </w:r>
                </w:p>
              </w:tc>
              <w:tc>
                <w:tcPr>
                  <w:tcW w:w="2202" w:type="pct"/>
                  <w:vAlign w:val="center"/>
                </w:tcPr>
                <w:p w14:paraId="520AAFEB">
                  <w:pPr>
                    <w:pStyle w:val="46"/>
                    <w:jc w:val="both"/>
                    <w:rPr>
                      <w:b w:val="0"/>
                      <w:bCs/>
                      <w:color w:val="auto"/>
                    </w:rPr>
                  </w:pPr>
                  <w:r>
                    <w:rPr>
                      <w:rFonts w:hint="eastAsia"/>
                      <w:b w:val="0"/>
                      <w:bCs/>
                      <w:color w:val="auto"/>
                    </w:rPr>
                    <w:t>本项目将按要求在主要生产设备安装视频监控设施，相关数据保存6个月以上。</w:t>
                  </w:r>
                </w:p>
              </w:tc>
              <w:tc>
                <w:tcPr>
                  <w:tcW w:w="211" w:type="pct"/>
                  <w:vAlign w:val="center"/>
                </w:tcPr>
                <w:p w14:paraId="520AAFEC">
                  <w:pPr>
                    <w:pStyle w:val="46"/>
                    <w:rPr>
                      <w:b w:val="0"/>
                      <w:bCs/>
                      <w:color w:val="auto"/>
                    </w:rPr>
                  </w:pPr>
                  <w:r>
                    <w:rPr>
                      <w:rFonts w:hint="eastAsia"/>
                      <w:b w:val="0"/>
                      <w:bCs/>
                      <w:color w:val="auto"/>
                      <w:szCs w:val="28"/>
                    </w:rPr>
                    <w:t>满足</w:t>
                  </w:r>
                </w:p>
              </w:tc>
            </w:tr>
            <w:tr w14:paraId="520AAFF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restart"/>
                  <w:vAlign w:val="center"/>
                </w:tcPr>
                <w:p w14:paraId="520AAFEE">
                  <w:pPr>
                    <w:pStyle w:val="46"/>
                    <w:rPr>
                      <w:b w:val="0"/>
                      <w:bCs/>
                      <w:color w:val="auto"/>
                    </w:rPr>
                  </w:pPr>
                  <w:r>
                    <w:rPr>
                      <w:rFonts w:hint="eastAsia"/>
                      <w:b w:val="0"/>
                      <w:bCs/>
                      <w:color w:val="auto"/>
                    </w:rPr>
                    <w:t>厂容厂貌</w:t>
                  </w:r>
                </w:p>
              </w:tc>
              <w:tc>
                <w:tcPr>
                  <w:tcW w:w="2201" w:type="pct"/>
                  <w:vAlign w:val="center"/>
                </w:tcPr>
                <w:p w14:paraId="520AAFEF">
                  <w:pPr>
                    <w:pStyle w:val="46"/>
                    <w:snapToGrid w:val="0"/>
                    <w:jc w:val="both"/>
                    <w:rPr>
                      <w:b w:val="0"/>
                      <w:bCs/>
                      <w:color w:val="auto"/>
                      <w:szCs w:val="21"/>
                    </w:rPr>
                  </w:pPr>
                  <w:r>
                    <w:rPr>
                      <w:rFonts w:hint="eastAsia"/>
                      <w:b w:val="0"/>
                      <w:bCs/>
                      <w:color w:val="auto"/>
                      <w:szCs w:val="21"/>
                    </w:rPr>
                    <w:t>1.厂区内道路、原辅材料和燃料堆场等路面应硬化；</w:t>
                  </w:r>
                </w:p>
              </w:tc>
              <w:tc>
                <w:tcPr>
                  <w:tcW w:w="2202" w:type="pct"/>
                  <w:vAlign w:val="center"/>
                </w:tcPr>
                <w:p w14:paraId="520AAFF0">
                  <w:pPr>
                    <w:pStyle w:val="46"/>
                    <w:jc w:val="both"/>
                    <w:rPr>
                      <w:b w:val="0"/>
                      <w:bCs/>
                      <w:color w:val="auto"/>
                    </w:rPr>
                  </w:pPr>
                  <w:r>
                    <w:rPr>
                      <w:rFonts w:hint="eastAsia"/>
                      <w:b w:val="0"/>
                      <w:bCs/>
                      <w:color w:val="auto"/>
                    </w:rPr>
                    <w:t>本项目厂区内道路、原辅材料堆场等路面均已硬化。</w:t>
                  </w:r>
                </w:p>
              </w:tc>
              <w:tc>
                <w:tcPr>
                  <w:tcW w:w="211" w:type="pct"/>
                  <w:vAlign w:val="center"/>
                </w:tcPr>
                <w:p w14:paraId="520AAFF1">
                  <w:pPr>
                    <w:pStyle w:val="46"/>
                    <w:rPr>
                      <w:b w:val="0"/>
                      <w:bCs/>
                      <w:color w:val="auto"/>
                    </w:rPr>
                  </w:pPr>
                  <w:r>
                    <w:rPr>
                      <w:rFonts w:hint="eastAsia"/>
                      <w:b w:val="0"/>
                      <w:bCs/>
                      <w:color w:val="auto"/>
                      <w:szCs w:val="28"/>
                    </w:rPr>
                    <w:t>满足</w:t>
                  </w:r>
                </w:p>
              </w:tc>
            </w:tr>
            <w:tr w14:paraId="520AAFF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continue"/>
                  <w:vAlign w:val="center"/>
                </w:tcPr>
                <w:p w14:paraId="520AAFF3">
                  <w:pPr>
                    <w:pStyle w:val="46"/>
                    <w:rPr>
                      <w:b w:val="0"/>
                      <w:bCs/>
                      <w:color w:val="auto"/>
                    </w:rPr>
                  </w:pPr>
                </w:p>
              </w:tc>
              <w:tc>
                <w:tcPr>
                  <w:tcW w:w="2201" w:type="pct"/>
                  <w:vAlign w:val="center"/>
                </w:tcPr>
                <w:p w14:paraId="520AAFF4">
                  <w:pPr>
                    <w:pStyle w:val="46"/>
                    <w:snapToGrid w:val="0"/>
                    <w:jc w:val="both"/>
                    <w:rPr>
                      <w:b w:val="0"/>
                      <w:bCs/>
                      <w:color w:val="auto"/>
                      <w:szCs w:val="21"/>
                    </w:rPr>
                  </w:pPr>
                  <w:r>
                    <w:rPr>
                      <w:rFonts w:hint="eastAsia"/>
                      <w:b w:val="0"/>
                      <w:bCs/>
                      <w:color w:val="auto"/>
                      <w:szCs w:val="21"/>
                    </w:rPr>
                    <w:t>2.厂区内道路采取定期清扫、洒水等措施，保持清洁，路面无明显可见积尘；</w:t>
                  </w:r>
                </w:p>
              </w:tc>
              <w:tc>
                <w:tcPr>
                  <w:tcW w:w="2202" w:type="pct"/>
                  <w:vAlign w:val="center"/>
                </w:tcPr>
                <w:p w14:paraId="520AAFF5">
                  <w:pPr>
                    <w:pStyle w:val="46"/>
                    <w:jc w:val="both"/>
                    <w:rPr>
                      <w:b w:val="0"/>
                      <w:bCs/>
                      <w:color w:val="auto"/>
                    </w:rPr>
                  </w:pPr>
                  <w:r>
                    <w:rPr>
                      <w:rFonts w:hint="eastAsia"/>
                      <w:b w:val="0"/>
                      <w:bCs/>
                      <w:color w:val="auto"/>
                    </w:rPr>
                    <w:t>本项目厂区内道路采取定期清扫、洒水拖地等措施，保持清洁，路面无明显可见积尘。</w:t>
                  </w:r>
                </w:p>
              </w:tc>
              <w:tc>
                <w:tcPr>
                  <w:tcW w:w="211" w:type="pct"/>
                  <w:vAlign w:val="center"/>
                </w:tcPr>
                <w:p w14:paraId="520AAFF6">
                  <w:pPr>
                    <w:pStyle w:val="46"/>
                    <w:rPr>
                      <w:b w:val="0"/>
                      <w:bCs/>
                      <w:color w:val="auto"/>
                    </w:rPr>
                  </w:pPr>
                  <w:r>
                    <w:rPr>
                      <w:rFonts w:hint="eastAsia"/>
                      <w:b w:val="0"/>
                      <w:bCs/>
                      <w:color w:val="auto"/>
                      <w:szCs w:val="28"/>
                    </w:rPr>
                    <w:t>满足</w:t>
                  </w:r>
                </w:p>
              </w:tc>
            </w:tr>
            <w:tr w14:paraId="520AAFF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continue"/>
                  <w:vAlign w:val="center"/>
                </w:tcPr>
                <w:p w14:paraId="520AAFF8">
                  <w:pPr>
                    <w:pStyle w:val="46"/>
                    <w:rPr>
                      <w:b w:val="0"/>
                      <w:bCs/>
                      <w:color w:val="auto"/>
                    </w:rPr>
                  </w:pPr>
                </w:p>
              </w:tc>
              <w:tc>
                <w:tcPr>
                  <w:tcW w:w="2201" w:type="pct"/>
                  <w:vAlign w:val="center"/>
                </w:tcPr>
                <w:p w14:paraId="520AAFF9">
                  <w:pPr>
                    <w:pStyle w:val="46"/>
                    <w:snapToGrid w:val="0"/>
                    <w:jc w:val="both"/>
                    <w:rPr>
                      <w:b w:val="0"/>
                      <w:bCs/>
                      <w:color w:val="auto"/>
                      <w:szCs w:val="21"/>
                    </w:rPr>
                  </w:pPr>
                  <w:r>
                    <w:rPr>
                      <w:rFonts w:hint="eastAsia"/>
                      <w:b w:val="0"/>
                      <w:bCs/>
                      <w:color w:val="auto"/>
                      <w:szCs w:val="21"/>
                    </w:rPr>
                    <w:t>3.其他未利用地优先绿化，或进行硬化，无成片裸露土地。</w:t>
                  </w:r>
                </w:p>
              </w:tc>
              <w:tc>
                <w:tcPr>
                  <w:tcW w:w="2202" w:type="pct"/>
                  <w:vAlign w:val="center"/>
                </w:tcPr>
                <w:p w14:paraId="520AAFFA">
                  <w:pPr>
                    <w:pStyle w:val="46"/>
                    <w:jc w:val="both"/>
                    <w:rPr>
                      <w:b w:val="0"/>
                      <w:bCs/>
                      <w:color w:val="auto"/>
                    </w:rPr>
                  </w:pPr>
                  <w:r>
                    <w:rPr>
                      <w:rFonts w:hint="eastAsia"/>
                      <w:b w:val="0"/>
                      <w:bCs/>
                      <w:color w:val="auto"/>
                    </w:rPr>
                    <w:t>本项目利用现有厂房闲置区域进行生产，地面已全部硬化，无裸露地面。</w:t>
                  </w:r>
                </w:p>
              </w:tc>
              <w:tc>
                <w:tcPr>
                  <w:tcW w:w="211" w:type="pct"/>
                  <w:vAlign w:val="center"/>
                </w:tcPr>
                <w:p w14:paraId="520AAFFB">
                  <w:pPr>
                    <w:pStyle w:val="46"/>
                    <w:rPr>
                      <w:b w:val="0"/>
                      <w:bCs/>
                      <w:color w:val="auto"/>
                    </w:rPr>
                  </w:pPr>
                  <w:r>
                    <w:rPr>
                      <w:rFonts w:hint="eastAsia"/>
                      <w:b w:val="0"/>
                      <w:bCs/>
                      <w:color w:val="auto"/>
                      <w:szCs w:val="28"/>
                    </w:rPr>
                    <w:t>满足</w:t>
                  </w:r>
                </w:p>
              </w:tc>
            </w:tr>
            <w:tr w14:paraId="520AB00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92" w:type="pct"/>
                  <w:vMerge w:val="restart"/>
                  <w:vAlign w:val="center"/>
                </w:tcPr>
                <w:p w14:paraId="520AAFFD">
                  <w:pPr>
                    <w:pStyle w:val="46"/>
                    <w:rPr>
                      <w:b w:val="0"/>
                      <w:bCs/>
                      <w:color w:val="auto"/>
                    </w:rPr>
                  </w:pPr>
                  <w:r>
                    <w:rPr>
                      <w:rFonts w:hint="eastAsia"/>
                      <w:b w:val="0"/>
                      <w:bCs/>
                      <w:color w:val="auto"/>
                    </w:rPr>
                    <w:t>环境管理水平</w:t>
                  </w:r>
                </w:p>
              </w:tc>
              <w:tc>
                <w:tcPr>
                  <w:tcW w:w="194" w:type="pct"/>
                  <w:vAlign w:val="center"/>
                </w:tcPr>
                <w:p w14:paraId="520AAFFE">
                  <w:pPr>
                    <w:pStyle w:val="46"/>
                    <w:rPr>
                      <w:b w:val="0"/>
                      <w:bCs/>
                      <w:color w:val="auto"/>
                    </w:rPr>
                  </w:pPr>
                  <w:r>
                    <w:rPr>
                      <w:rFonts w:hint="eastAsia"/>
                      <w:b w:val="0"/>
                      <w:bCs/>
                      <w:color w:val="auto"/>
                    </w:rPr>
                    <w:t>环保档案</w:t>
                  </w:r>
                </w:p>
              </w:tc>
              <w:tc>
                <w:tcPr>
                  <w:tcW w:w="2201" w:type="pct"/>
                  <w:vAlign w:val="center"/>
                </w:tcPr>
                <w:p w14:paraId="520AAFFF">
                  <w:pPr>
                    <w:pStyle w:val="46"/>
                    <w:snapToGrid w:val="0"/>
                    <w:jc w:val="both"/>
                    <w:rPr>
                      <w:b w:val="0"/>
                      <w:bCs/>
                      <w:color w:val="auto"/>
                      <w:szCs w:val="21"/>
                    </w:rPr>
                  </w:pPr>
                  <w:r>
                    <w:rPr>
                      <w:rFonts w:hint="eastAsia"/>
                      <w:b w:val="0"/>
                      <w:bCs/>
                      <w:color w:val="auto"/>
                      <w:szCs w:val="21"/>
                    </w:rPr>
                    <w:t>1.环评批复文件和竣工验收文件/现状评估文件；</w:t>
                  </w:r>
                </w:p>
                <w:p w14:paraId="520AB000">
                  <w:pPr>
                    <w:pStyle w:val="46"/>
                    <w:snapToGrid w:val="0"/>
                    <w:jc w:val="both"/>
                    <w:rPr>
                      <w:b w:val="0"/>
                      <w:bCs/>
                      <w:color w:val="auto"/>
                      <w:szCs w:val="21"/>
                    </w:rPr>
                  </w:pPr>
                  <w:r>
                    <w:rPr>
                      <w:rFonts w:hint="eastAsia"/>
                      <w:b w:val="0"/>
                      <w:bCs/>
                      <w:color w:val="auto"/>
                      <w:szCs w:val="21"/>
                    </w:rPr>
                    <w:t>2.废气治理设施运行管理规程；</w:t>
                  </w:r>
                </w:p>
                <w:p w14:paraId="520AB001">
                  <w:pPr>
                    <w:pStyle w:val="46"/>
                    <w:snapToGrid w:val="0"/>
                    <w:jc w:val="both"/>
                    <w:rPr>
                      <w:b w:val="0"/>
                      <w:bCs/>
                      <w:color w:val="auto"/>
                      <w:szCs w:val="21"/>
                    </w:rPr>
                  </w:pPr>
                  <w:r>
                    <w:rPr>
                      <w:rFonts w:hint="eastAsia"/>
                      <w:b w:val="0"/>
                      <w:bCs/>
                      <w:color w:val="auto"/>
                      <w:szCs w:val="21"/>
                    </w:rPr>
                    <w:t>3.一年内废气监测报告；</w:t>
                  </w:r>
                </w:p>
                <w:p w14:paraId="520AB002">
                  <w:pPr>
                    <w:pStyle w:val="46"/>
                    <w:snapToGrid w:val="0"/>
                    <w:jc w:val="both"/>
                    <w:rPr>
                      <w:b w:val="0"/>
                      <w:bCs/>
                      <w:color w:val="auto"/>
                      <w:szCs w:val="21"/>
                    </w:rPr>
                  </w:pPr>
                  <w:r>
                    <w:rPr>
                      <w:rFonts w:hint="eastAsia"/>
                      <w:b w:val="0"/>
                      <w:bCs/>
                      <w:color w:val="auto"/>
                      <w:szCs w:val="21"/>
                    </w:rPr>
                    <w:t>4.国家版排污许可证，并按要求开展自行监测和信息披露，规范设置废气排放口标志牌、二维码标识和采样平台、采样孔。</w:t>
                  </w:r>
                </w:p>
              </w:tc>
              <w:tc>
                <w:tcPr>
                  <w:tcW w:w="2202" w:type="pct"/>
                  <w:vAlign w:val="center"/>
                </w:tcPr>
                <w:p w14:paraId="520AB003">
                  <w:pPr>
                    <w:pStyle w:val="43"/>
                    <w:ind w:firstLine="0" w:firstLineChars="0"/>
                    <w:jc w:val="both"/>
                  </w:pPr>
                  <w:r>
                    <w:rPr>
                      <w:rFonts w:hint="eastAsia"/>
                    </w:rPr>
                    <w:t>1.本项目环评批复文件和竣工环保验收文件将按要求存档备查；</w:t>
                  </w:r>
                </w:p>
                <w:p w14:paraId="520AB004">
                  <w:pPr>
                    <w:pStyle w:val="43"/>
                    <w:ind w:firstLine="0" w:firstLineChars="0"/>
                    <w:jc w:val="both"/>
                  </w:pPr>
                  <w:r>
                    <w:rPr>
                      <w:rFonts w:hint="eastAsia"/>
                    </w:rPr>
                    <w:t>2.本项目将按要求建立合格的废气治理设施运行管理规程；</w:t>
                  </w:r>
                </w:p>
                <w:p w14:paraId="520AB005">
                  <w:pPr>
                    <w:pStyle w:val="43"/>
                    <w:ind w:firstLine="0" w:firstLineChars="0"/>
                    <w:jc w:val="both"/>
                  </w:pPr>
                  <w:r>
                    <w:rPr>
                      <w:rFonts w:hint="eastAsia"/>
                    </w:rPr>
                    <w:t>3.本项目将按照排污许可要求开展自行监测；</w:t>
                  </w:r>
                </w:p>
                <w:p w14:paraId="520AB006">
                  <w:pPr>
                    <w:pStyle w:val="46"/>
                    <w:jc w:val="both"/>
                    <w:rPr>
                      <w:b w:val="0"/>
                      <w:bCs/>
                      <w:color w:val="auto"/>
                    </w:rPr>
                  </w:pPr>
                  <w:r>
                    <w:rPr>
                      <w:rFonts w:hint="eastAsia"/>
                      <w:b w:val="0"/>
                      <w:color w:val="auto"/>
                    </w:rPr>
                    <w:t>4.本项目将按照生态环境部门要求规范设置废气排放口标志牌、二维码标识和采样平台、采样孔。</w:t>
                  </w:r>
                </w:p>
              </w:tc>
              <w:tc>
                <w:tcPr>
                  <w:tcW w:w="211" w:type="pct"/>
                  <w:vAlign w:val="center"/>
                </w:tcPr>
                <w:p w14:paraId="520AB007">
                  <w:pPr>
                    <w:pStyle w:val="46"/>
                    <w:rPr>
                      <w:b w:val="0"/>
                      <w:bCs/>
                      <w:color w:val="auto"/>
                    </w:rPr>
                  </w:pPr>
                  <w:r>
                    <w:rPr>
                      <w:rFonts w:hint="eastAsia"/>
                      <w:b w:val="0"/>
                      <w:bCs/>
                      <w:color w:val="auto"/>
                      <w:szCs w:val="28"/>
                    </w:rPr>
                    <w:t>满足</w:t>
                  </w:r>
                </w:p>
              </w:tc>
            </w:tr>
            <w:tr w14:paraId="520AB01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92" w:type="pct"/>
                  <w:vMerge w:val="continue"/>
                  <w:vAlign w:val="center"/>
                </w:tcPr>
                <w:p w14:paraId="520AB009">
                  <w:pPr>
                    <w:pStyle w:val="46"/>
                    <w:rPr>
                      <w:b w:val="0"/>
                      <w:bCs/>
                      <w:color w:val="auto"/>
                    </w:rPr>
                  </w:pPr>
                </w:p>
              </w:tc>
              <w:tc>
                <w:tcPr>
                  <w:tcW w:w="194" w:type="pct"/>
                  <w:vAlign w:val="center"/>
                </w:tcPr>
                <w:p w14:paraId="520AB00A">
                  <w:pPr>
                    <w:pStyle w:val="46"/>
                    <w:rPr>
                      <w:b w:val="0"/>
                      <w:bCs/>
                      <w:color w:val="auto"/>
                    </w:rPr>
                  </w:pPr>
                  <w:r>
                    <w:rPr>
                      <w:rFonts w:hint="eastAsia"/>
                      <w:b w:val="0"/>
                      <w:bCs/>
                      <w:color w:val="auto"/>
                    </w:rPr>
                    <w:t>台账记录</w:t>
                  </w:r>
                </w:p>
              </w:tc>
              <w:tc>
                <w:tcPr>
                  <w:tcW w:w="2201" w:type="pct"/>
                  <w:vAlign w:val="center"/>
                </w:tcPr>
                <w:p w14:paraId="520AB00B">
                  <w:pPr>
                    <w:pStyle w:val="46"/>
                    <w:snapToGrid w:val="0"/>
                    <w:jc w:val="both"/>
                    <w:rPr>
                      <w:b w:val="0"/>
                      <w:bCs/>
                      <w:color w:val="auto"/>
                      <w:szCs w:val="21"/>
                    </w:rPr>
                  </w:pPr>
                  <w:r>
                    <w:rPr>
                      <w:rFonts w:hint="eastAsia"/>
                      <w:b w:val="0"/>
                      <w:bCs/>
                      <w:color w:val="auto"/>
                      <w:szCs w:val="21"/>
                    </w:rPr>
                    <w:t>1.生产设施运行管理信息（生产时间、运行负荷、产品产量等）；</w:t>
                  </w:r>
                </w:p>
                <w:p w14:paraId="520AB00C">
                  <w:pPr>
                    <w:pStyle w:val="46"/>
                    <w:snapToGrid w:val="0"/>
                    <w:jc w:val="both"/>
                    <w:rPr>
                      <w:b w:val="0"/>
                      <w:bCs/>
                      <w:color w:val="auto"/>
                      <w:szCs w:val="21"/>
                    </w:rPr>
                  </w:pPr>
                  <w:r>
                    <w:rPr>
                      <w:rFonts w:hint="eastAsia"/>
                      <w:b w:val="0"/>
                      <w:bCs/>
                      <w:color w:val="auto"/>
                      <w:szCs w:val="21"/>
                    </w:rPr>
                    <w:t>2.废气污染治理设施运行管理信息（除尘滤料、活性炭等更换量和时间）；</w:t>
                  </w:r>
                </w:p>
                <w:p w14:paraId="520AB00D">
                  <w:pPr>
                    <w:pStyle w:val="46"/>
                    <w:snapToGrid w:val="0"/>
                    <w:jc w:val="both"/>
                    <w:rPr>
                      <w:b w:val="0"/>
                      <w:bCs/>
                      <w:color w:val="auto"/>
                      <w:szCs w:val="21"/>
                    </w:rPr>
                  </w:pPr>
                  <w:r>
                    <w:rPr>
                      <w:rFonts w:hint="eastAsia"/>
                      <w:b w:val="0"/>
                      <w:bCs/>
                      <w:color w:val="auto"/>
                      <w:szCs w:val="21"/>
                    </w:rPr>
                    <w:t>3.监测记录信息（主要污染排放口废气排放记录（手工监测和在线监测）等）；</w:t>
                  </w:r>
                </w:p>
                <w:p w14:paraId="520AB00E">
                  <w:pPr>
                    <w:pStyle w:val="46"/>
                    <w:snapToGrid w:val="0"/>
                    <w:jc w:val="both"/>
                    <w:rPr>
                      <w:b w:val="0"/>
                      <w:bCs/>
                      <w:color w:val="auto"/>
                      <w:szCs w:val="21"/>
                    </w:rPr>
                  </w:pPr>
                  <w:r>
                    <w:rPr>
                      <w:rFonts w:hint="eastAsia"/>
                      <w:b w:val="0"/>
                      <w:bCs/>
                      <w:color w:val="auto"/>
                      <w:szCs w:val="21"/>
                    </w:rPr>
                    <w:t>4.主要原辅材料、燃料消耗记录；</w:t>
                  </w:r>
                </w:p>
                <w:p w14:paraId="520AB00F">
                  <w:pPr>
                    <w:pStyle w:val="46"/>
                    <w:snapToGrid w:val="0"/>
                    <w:jc w:val="both"/>
                    <w:rPr>
                      <w:b w:val="0"/>
                      <w:bCs/>
                      <w:color w:val="auto"/>
                      <w:szCs w:val="21"/>
                    </w:rPr>
                  </w:pPr>
                  <w:r>
                    <w:rPr>
                      <w:rFonts w:hint="eastAsia"/>
                      <w:b w:val="0"/>
                      <w:bCs/>
                      <w:color w:val="auto"/>
                      <w:szCs w:val="21"/>
                    </w:rPr>
                    <w:t>5.电消耗记录。</w:t>
                  </w:r>
                </w:p>
              </w:tc>
              <w:tc>
                <w:tcPr>
                  <w:tcW w:w="2202" w:type="pct"/>
                  <w:vAlign w:val="center"/>
                </w:tcPr>
                <w:p w14:paraId="520AB010">
                  <w:pPr>
                    <w:pStyle w:val="46"/>
                    <w:jc w:val="both"/>
                    <w:rPr>
                      <w:b w:val="0"/>
                      <w:bCs/>
                      <w:color w:val="auto"/>
                    </w:rPr>
                  </w:pPr>
                  <w:r>
                    <w:rPr>
                      <w:rFonts w:hint="eastAsia"/>
                      <w:b w:val="0"/>
                      <w:bCs/>
                      <w:color w:val="auto"/>
                    </w:rPr>
                    <w:t>本项目建成后将按要求规范进行下列台账记录：</w:t>
                  </w:r>
                </w:p>
                <w:p w14:paraId="520AB011">
                  <w:pPr>
                    <w:pStyle w:val="46"/>
                    <w:jc w:val="both"/>
                    <w:rPr>
                      <w:b w:val="0"/>
                      <w:bCs/>
                      <w:color w:val="auto"/>
                    </w:rPr>
                  </w:pPr>
                  <w:r>
                    <w:rPr>
                      <w:rFonts w:hint="eastAsia"/>
                      <w:b w:val="0"/>
                      <w:bCs/>
                      <w:color w:val="auto"/>
                    </w:rPr>
                    <w:t>1.生产设施运行管理信息（生产时间、运行负荷、产品产量等）；</w:t>
                  </w:r>
                </w:p>
                <w:p w14:paraId="520AB012">
                  <w:pPr>
                    <w:pStyle w:val="46"/>
                    <w:jc w:val="both"/>
                    <w:rPr>
                      <w:b w:val="0"/>
                      <w:bCs/>
                      <w:color w:val="auto"/>
                    </w:rPr>
                  </w:pPr>
                  <w:r>
                    <w:rPr>
                      <w:rFonts w:hint="eastAsia"/>
                      <w:b w:val="0"/>
                      <w:bCs/>
                      <w:color w:val="auto"/>
                    </w:rPr>
                    <w:t>2.废气污染治理设施运行管理信息（除尘滤料、活性炭等更换量和时间）；</w:t>
                  </w:r>
                </w:p>
                <w:p w14:paraId="520AB013">
                  <w:pPr>
                    <w:pStyle w:val="46"/>
                    <w:jc w:val="both"/>
                    <w:rPr>
                      <w:b w:val="0"/>
                      <w:bCs/>
                      <w:color w:val="auto"/>
                    </w:rPr>
                  </w:pPr>
                  <w:r>
                    <w:rPr>
                      <w:rFonts w:hint="eastAsia"/>
                      <w:b w:val="0"/>
                      <w:bCs/>
                      <w:color w:val="auto"/>
                    </w:rPr>
                    <w:t>3.监测记录信息（主要污染排放口废气排放记录（手工监测和在线监测）等）；</w:t>
                  </w:r>
                </w:p>
                <w:p w14:paraId="520AB014">
                  <w:pPr>
                    <w:pStyle w:val="46"/>
                    <w:jc w:val="both"/>
                    <w:rPr>
                      <w:b w:val="0"/>
                      <w:bCs/>
                      <w:color w:val="auto"/>
                    </w:rPr>
                  </w:pPr>
                  <w:r>
                    <w:rPr>
                      <w:rFonts w:hint="eastAsia"/>
                      <w:b w:val="0"/>
                      <w:bCs/>
                      <w:color w:val="auto"/>
                    </w:rPr>
                    <w:t>4.主要原辅材料消耗记录、（.本项目生产不使用天然气等燃料）；</w:t>
                  </w:r>
                </w:p>
                <w:p w14:paraId="520AB015">
                  <w:pPr>
                    <w:pStyle w:val="46"/>
                    <w:jc w:val="both"/>
                    <w:rPr>
                      <w:b w:val="0"/>
                      <w:bCs/>
                      <w:color w:val="auto"/>
                    </w:rPr>
                  </w:pPr>
                  <w:r>
                    <w:rPr>
                      <w:rFonts w:hint="eastAsia"/>
                      <w:b w:val="0"/>
                      <w:bCs/>
                      <w:color w:val="auto"/>
                    </w:rPr>
                    <w:t>5.电消耗记录。</w:t>
                  </w:r>
                </w:p>
              </w:tc>
              <w:tc>
                <w:tcPr>
                  <w:tcW w:w="211" w:type="pct"/>
                  <w:vAlign w:val="center"/>
                </w:tcPr>
                <w:p w14:paraId="520AB016">
                  <w:pPr>
                    <w:pStyle w:val="46"/>
                    <w:rPr>
                      <w:b w:val="0"/>
                      <w:bCs/>
                      <w:color w:val="auto"/>
                    </w:rPr>
                  </w:pPr>
                  <w:r>
                    <w:rPr>
                      <w:rFonts w:hint="eastAsia"/>
                      <w:b w:val="0"/>
                      <w:bCs/>
                      <w:color w:val="auto"/>
                      <w:szCs w:val="28"/>
                    </w:rPr>
                    <w:t>满足</w:t>
                  </w:r>
                </w:p>
              </w:tc>
            </w:tr>
            <w:tr w14:paraId="520AB01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92" w:type="pct"/>
                  <w:vMerge w:val="continue"/>
                  <w:vAlign w:val="center"/>
                </w:tcPr>
                <w:p w14:paraId="520AB018">
                  <w:pPr>
                    <w:pStyle w:val="46"/>
                    <w:rPr>
                      <w:b w:val="0"/>
                      <w:bCs/>
                      <w:color w:val="auto"/>
                    </w:rPr>
                  </w:pPr>
                </w:p>
              </w:tc>
              <w:tc>
                <w:tcPr>
                  <w:tcW w:w="194" w:type="pct"/>
                  <w:vAlign w:val="center"/>
                </w:tcPr>
                <w:p w14:paraId="520AB019">
                  <w:pPr>
                    <w:pStyle w:val="46"/>
                    <w:rPr>
                      <w:b w:val="0"/>
                      <w:bCs/>
                      <w:color w:val="auto"/>
                    </w:rPr>
                  </w:pPr>
                  <w:r>
                    <w:rPr>
                      <w:rFonts w:hint="eastAsia"/>
                      <w:b w:val="0"/>
                      <w:bCs/>
                      <w:color w:val="auto"/>
                    </w:rPr>
                    <w:t>人员配置</w:t>
                  </w:r>
                </w:p>
              </w:tc>
              <w:tc>
                <w:tcPr>
                  <w:tcW w:w="2201" w:type="pct"/>
                  <w:vAlign w:val="center"/>
                </w:tcPr>
                <w:p w14:paraId="520AB01A">
                  <w:pPr>
                    <w:pStyle w:val="46"/>
                    <w:jc w:val="both"/>
                    <w:rPr>
                      <w:b w:val="0"/>
                      <w:bCs/>
                      <w:color w:val="auto"/>
                      <w:szCs w:val="21"/>
                    </w:rPr>
                  </w:pPr>
                  <w:r>
                    <w:rPr>
                      <w:rFonts w:hint="eastAsia"/>
                      <w:b w:val="0"/>
                      <w:bCs/>
                      <w:color w:val="auto"/>
                      <w:szCs w:val="21"/>
                    </w:rPr>
                    <w:t>配备专职环保人员，并具备相应的环境管理能力（学历、培训、从业经验等）。</w:t>
                  </w:r>
                </w:p>
              </w:tc>
              <w:tc>
                <w:tcPr>
                  <w:tcW w:w="2202" w:type="pct"/>
                  <w:vAlign w:val="center"/>
                </w:tcPr>
                <w:p w14:paraId="520AB01B">
                  <w:pPr>
                    <w:pStyle w:val="46"/>
                    <w:jc w:val="both"/>
                    <w:rPr>
                      <w:b w:val="0"/>
                      <w:bCs/>
                      <w:color w:val="auto"/>
                    </w:rPr>
                  </w:pPr>
                  <w:r>
                    <w:rPr>
                      <w:rFonts w:hint="eastAsia"/>
                      <w:b w:val="0"/>
                      <w:bCs/>
                      <w:color w:val="auto"/>
                    </w:rPr>
                    <w:t>企业已按要求配备专职环保人员，并具备相应的环境管理能力。</w:t>
                  </w:r>
                </w:p>
              </w:tc>
              <w:tc>
                <w:tcPr>
                  <w:tcW w:w="211" w:type="pct"/>
                  <w:vAlign w:val="center"/>
                </w:tcPr>
                <w:p w14:paraId="520AB01C">
                  <w:pPr>
                    <w:pStyle w:val="46"/>
                    <w:rPr>
                      <w:b w:val="0"/>
                      <w:bCs/>
                      <w:color w:val="auto"/>
                    </w:rPr>
                  </w:pPr>
                  <w:r>
                    <w:rPr>
                      <w:rFonts w:hint="eastAsia"/>
                      <w:b w:val="0"/>
                      <w:bCs/>
                      <w:color w:val="auto"/>
                      <w:szCs w:val="28"/>
                    </w:rPr>
                    <w:t>满足</w:t>
                  </w:r>
                </w:p>
              </w:tc>
            </w:tr>
            <w:tr w14:paraId="520AB02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restart"/>
                  <w:vAlign w:val="center"/>
                </w:tcPr>
                <w:p w14:paraId="520AB01E">
                  <w:pPr>
                    <w:pStyle w:val="46"/>
                    <w:rPr>
                      <w:b w:val="0"/>
                      <w:bCs/>
                      <w:color w:val="auto"/>
                    </w:rPr>
                  </w:pPr>
                  <w:r>
                    <w:rPr>
                      <w:rFonts w:hint="eastAsia"/>
                      <w:b w:val="0"/>
                      <w:bCs/>
                      <w:color w:val="auto"/>
                    </w:rPr>
                    <w:t>运输方式</w:t>
                  </w:r>
                </w:p>
              </w:tc>
              <w:tc>
                <w:tcPr>
                  <w:tcW w:w="2201" w:type="pct"/>
                  <w:vAlign w:val="center"/>
                </w:tcPr>
                <w:p w14:paraId="520AB01F">
                  <w:pPr>
                    <w:pStyle w:val="46"/>
                    <w:jc w:val="both"/>
                    <w:rPr>
                      <w:b w:val="0"/>
                      <w:bCs/>
                      <w:color w:val="auto"/>
                      <w:szCs w:val="21"/>
                    </w:rPr>
                  </w:pPr>
                  <w:r>
                    <w:rPr>
                      <w:rFonts w:hint="eastAsia"/>
                      <w:b w:val="0"/>
                      <w:bCs/>
                      <w:color w:val="auto"/>
                      <w:szCs w:val="21"/>
                    </w:rPr>
                    <w:t>1.物料、产品等公路运输全部使用国五及以上排放标准重型载货车辆（重型燃气车辆达到国六排放标准）或新能源车辆；</w:t>
                  </w:r>
                </w:p>
              </w:tc>
              <w:tc>
                <w:tcPr>
                  <w:tcW w:w="2202" w:type="pct"/>
                  <w:vMerge w:val="restart"/>
                  <w:vAlign w:val="center"/>
                </w:tcPr>
                <w:p w14:paraId="520AB021">
                  <w:pPr>
                    <w:pStyle w:val="46"/>
                    <w:jc w:val="both"/>
                    <w:rPr>
                      <w:b w:val="0"/>
                      <w:bCs/>
                      <w:color w:val="auto"/>
                      <w:szCs w:val="21"/>
                    </w:rPr>
                  </w:pPr>
                  <w:r>
                    <w:rPr>
                      <w:rFonts w:hint="eastAsia"/>
                      <w:b w:val="0"/>
                      <w:bCs/>
                      <w:color w:val="auto"/>
                      <w:szCs w:val="21"/>
                    </w:rPr>
                    <w:t>本项目不新增产品产能，建设路厂区和解放路厂区道路运输情况如下：①厂区物料、产品公路运输全部委托运输公司进行运输，物料公路运输全部使用国五及以上排放标准重型载货车辆（重型燃气车辆使用国六排放标准）或新能源车辆。</w:t>
                  </w:r>
                </w:p>
                <w:p w14:paraId="520AB022">
                  <w:pPr>
                    <w:pStyle w:val="46"/>
                    <w:jc w:val="both"/>
                    <w:rPr>
                      <w:b w:val="0"/>
                      <w:bCs/>
                      <w:color w:val="auto"/>
                      <w:szCs w:val="21"/>
                    </w:rPr>
                  </w:pPr>
                  <w:r>
                    <w:rPr>
                      <w:rFonts w:hint="eastAsia"/>
                      <w:b w:val="0"/>
                      <w:bCs/>
                      <w:color w:val="auto"/>
                      <w:szCs w:val="21"/>
                    </w:rPr>
                    <w:t>②不涉及。</w:t>
                  </w:r>
                </w:p>
                <w:p w14:paraId="520AB023">
                  <w:pPr>
                    <w:pStyle w:val="46"/>
                    <w:jc w:val="both"/>
                    <w:rPr>
                      <w:b w:val="0"/>
                      <w:bCs/>
                      <w:color w:val="auto"/>
                      <w:szCs w:val="21"/>
                    </w:rPr>
                  </w:pPr>
                  <w:r>
                    <w:rPr>
                      <w:rFonts w:hint="eastAsia"/>
                      <w:b w:val="0"/>
                      <w:bCs/>
                      <w:color w:val="auto"/>
                      <w:szCs w:val="21"/>
                    </w:rPr>
                    <w:t>③本项目不涉及危险废物运输，厂区危废由相应危废资质单位使用国五及以上排放标准（重型燃气车辆使用国六排放标准）或使用新能源车辆进行安全运输。</w:t>
                  </w:r>
                </w:p>
                <w:p w14:paraId="520AB024">
                  <w:pPr>
                    <w:pStyle w:val="46"/>
                    <w:jc w:val="both"/>
                    <w:rPr>
                      <w:b w:val="0"/>
                      <w:bCs/>
                      <w:color w:val="auto"/>
                    </w:rPr>
                  </w:pPr>
                  <w:r>
                    <w:rPr>
                      <w:rFonts w:hint="eastAsia"/>
                      <w:b w:val="0"/>
                      <w:bCs/>
                      <w:color w:val="auto"/>
                      <w:szCs w:val="21"/>
                    </w:rPr>
                    <w:t>④本项目厂内非道路移动机械全部采用国三及以上排放标准或使用新能源机械。</w:t>
                  </w:r>
                </w:p>
              </w:tc>
              <w:tc>
                <w:tcPr>
                  <w:tcW w:w="211" w:type="pct"/>
                  <w:vMerge w:val="restart"/>
                  <w:vAlign w:val="center"/>
                </w:tcPr>
                <w:p w14:paraId="520AB025">
                  <w:pPr>
                    <w:pStyle w:val="46"/>
                    <w:rPr>
                      <w:b w:val="0"/>
                      <w:bCs/>
                      <w:color w:val="auto"/>
                      <w:szCs w:val="28"/>
                    </w:rPr>
                  </w:pPr>
                  <w:r>
                    <w:rPr>
                      <w:rFonts w:hint="eastAsia"/>
                      <w:b w:val="0"/>
                      <w:bCs/>
                      <w:color w:val="auto"/>
                    </w:rPr>
                    <w:t>满足</w:t>
                  </w:r>
                </w:p>
              </w:tc>
            </w:tr>
            <w:tr w14:paraId="520AB02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86" w:type="pct"/>
                  <w:gridSpan w:val="2"/>
                  <w:vMerge w:val="continue"/>
                  <w:vAlign w:val="center"/>
                </w:tcPr>
                <w:p w14:paraId="520AB027">
                  <w:pPr>
                    <w:pStyle w:val="46"/>
                    <w:rPr>
                      <w:b w:val="0"/>
                      <w:bCs/>
                      <w:color w:val="auto"/>
                    </w:rPr>
                  </w:pPr>
                </w:p>
              </w:tc>
              <w:tc>
                <w:tcPr>
                  <w:tcW w:w="2201" w:type="pct"/>
                  <w:vAlign w:val="center"/>
                </w:tcPr>
                <w:p w14:paraId="520AB028">
                  <w:pPr>
                    <w:pStyle w:val="46"/>
                    <w:jc w:val="both"/>
                    <w:rPr>
                      <w:b w:val="0"/>
                      <w:bCs/>
                      <w:color w:val="auto"/>
                      <w:szCs w:val="21"/>
                    </w:rPr>
                  </w:pPr>
                  <w:r>
                    <w:rPr>
                      <w:rFonts w:hint="eastAsia"/>
                      <w:b w:val="0"/>
                      <w:bCs/>
                      <w:color w:val="auto"/>
                      <w:szCs w:val="21"/>
                    </w:rPr>
                    <w:t>2.厂内运输全部使用国五及以上排放标准（重型燃气车辆达到国六排放标准）或使用新能源车辆；</w:t>
                  </w:r>
                </w:p>
              </w:tc>
              <w:tc>
                <w:tcPr>
                  <w:tcW w:w="2202" w:type="pct"/>
                  <w:vMerge w:val="continue"/>
                  <w:vAlign w:val="center"/>
                </w:tcPr>
                <w:p w14:paraId="520AB029">
                  <w:pPr>
                    <w:pStyle w:val="46"/>
                    <w:jc w:val="both"/>
                    <w:rPr>
                      <w:b w:val="0"/>
                      <w:bCs/>
                      <w:color w:val="auto"/>
                    </w:rPr>
                  </w:pPr>
                </w:p>
              </w:tc>
              <w:tc>
                <w:tcPr>
                  <w:tcW w:w="211" w:type="pct"/>
                  <w:vMerge w:val="continue"/>
                  <w:vAlign w:val="center"/>
                </w:tcPr>
                <w:p w14:paraId="520AB02A">
                  <w:pPr>
                    <w:pStyle w:val="46"/>
                    <w:rPr>
                      <w:b w:val="0"/>
                      <w:bCs/>
                      <w:color w:val="auto"/>
                      <w:szCs w:val="28"/>
                    </w:rPr>
                  </w:pPr>
                </w:p>
              </w:tc>
            </w:tr>
            <w:tr w14:paraId="520AB03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651" w:hRule="atLeast"/>
                <w:jc w:val="center"/>
              </w:trPr>
              <w:tc>
                <w:tcPr>
                  <w:tcW w:w="386" w:type="pct"/>
                  <w:gridSpan w:val="2"/>
                  <w:vMerge w:val="continue"/>
                  <w:vAlign w:val="center"/>
                </w:tcPr>
                <w:p w14:paraId="520AB02C">
                  <w:pPr>
                    <w:pStyle w:val="46"/>
                    <w:rPr>
                      <w:b w:val="0"/>
                      <w:bCs/>
                      <w:color w:val="auto"/>
                    </w:rPr>
                  </w:pPr>
                </w:p>
              </w:tc>
              <w:tc>
                <w:tcPr>
                  <w:tcW w:w="2201" w:type="pct"/>
                  <w:vAlign w:val="center"/>
                </w:tcPr>
                <w:p w14:paraId="520AB02D">
                  <w:pPr>
                    <w:pStyle w:val="46"/>
                    <w:jc w:val="both"/>
                    <w:rPr>
                      <w:b w:val="0"/>
                      <w:bCs/>
                      <w:color w:val="auto"/>
                      <w:szCs w:val="21"/>
                    </w:rPr>
                  </w:pPr>
                  <w:r>
                    <w:rPr>
                      <w:rFonts w:hint="eastAsia"/>
                      <w:b w:val="0"/>
                      <w:bCs/>
                      <w:color w:val="auto"/>
                      <w:szCs w:val="21"/>
                    </w:rPr>
                    <w:t>3.危险品及危废运输全部使用国五及以上排放标准（重型燃气车辆达到国六排放标准）或新能源车辆；</w:t>
                  </w:r>
                </w:p>
              </w:tc>
              <w:tc>
                <w:tcPr>
                  <w:tcW w:w="2202" w:type="pct"/>
                  <w:vMerge w:val="continue"/>
                  <w:vAlign w:val="center"/>
                </w:tcPr>
                <w:p w14:paraId="520AB02E">
                  <w:pPr>
                    <w:pStyle w:val="46"/>
                    <w:jc w:val="both"/>
                    <w:rPr>
                      <w:b w:val="0"/>
                      <w:bCs/>
                      <w:color w:val="auto"/>
                    </w:rPr>
                  </w:pPr>
                </w:p>
              </w:tc>
              <w:tc>
                <w:tcPr>
                  <w:tcW w:w="211" w:type="pct"/>
                  <w:vMerge w:val="continue"/>
                  <w:vAlign w:val="center"/>
                </w:tcPr>
                <w:p w14:paraId="520AB02F">
                  <w:pPr>
                    <w:pStyle w:val="46"/>
                    <w:rPr>
                      <w:b w:val="0"/>
                      <w:bCs/>
                      <w:color w:val="auto"/>
                      <w:szCs w:val="28"/>
                    </w:rPr>
                  </w:pPr>
                </w:p>
              </w:tc>
            </w:tr>
            <w:tr w14:paraId="520AB03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386" w:type="pct"/>
                  <w:gridSpan w:val="2"/>
                  <w:vMerge w:val="continue"/>
                  <w:vAlign w:val="center"/>
                </w:tcPr>
                <w:p w14:paraId="520AB031">
                  <w:pPr>
                    <w:pStyle w:val="46"/>
                    <w:rPr>
                      <w:b w:val="0"/>
                      <w:bCs/>
                      <w:color w:val="auto"/>
                    </w:rPr>
                  </w:pPr>
                </w:p>
              </w:tc>
              <w:tc>
                <w:tcPr>
                  <w:tcW w:w="2201" w:type="pct"/>
                  <w:vAlign w:val="center"/>
                </w:tcPr>
                <w:p w14:paraId="520AB032">
                  <w:pPr>
                    <w:pStyle w:val="46"/>
                    <w:jc w:val="both"/>
                    <w:rPr>
                      <w:b w:val="0"/>
                      <w:bCs/>
                      <w:color w:val="auto"/>
                      <w:szCs w:val="21"/>
                    </w:rPr>
                  </w:pPr>
                  <w:r>
                    <w:rPr>
                      <w:rFonts w:hint="eastAsia"/>
                      <w:b w:val="0"/>
                      <w:bCs/>
                      <w:color w:val="auto"/>
                      <w:szCs w:val="21"/>
                    </w:rPr>
                    <w:t>4.厂内非道路移动机械全部使用国三及以上排放标准或使用新能源（电动、氢能）机械。</w:t>
                  </w:r>
                </w:p>
              </w:tc>
              <w:tc>
                <w:tcPr>
                  <w:tcW w:w="2202" w:type="pct"/>
                  <w:vMerge w:val="continue"/>
                  <w:vAlign w:val="center"/>
                </w:tcPr>
                <w:p w14:paraId="520AB033">
                  <w:pPr>
                    <w:pStyle w:val="46"/>
                    <w:jc w:val="both"/>
                    <w:rPr>
                      <w:b w:val="0"/>
                      <w:bCs/>
                      <w:color w:val="auto"/>
                    </w:rPr>
                  </w:pPr>
                </w:p>
              </w:tc>
              <w:tc>
                <w:tcPr>
                  <w:tcW w:w="211" w:type="pct"/>
                  <w:vMerge w:val="continue"/>
                  <w:vAlign w:val="center"/>
                </w:tcPr>
                <w:p w14:paraId="520AB034">
                  <w:pPr>
                    <w:pStyle w:val="46"/>
                    <w:rPr>
                      <w:b w:val="0"/>
                      <w:bCs/>
                      <w:color w:val="auto"/>
                      <w:szCs w:val="28"/>
                    </w:rPr>
                  </w:pPr>
                </w:p>
              </w:tc>
            </w:tr>
            <w:tr w14:paraId="520AB03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386" w:type="pct"/>
                  <w:gridSpan w:val="2"/>
                  <w:vAlign w:val="center"/>
                </w:tcPr>
                <w:p w14:paraId="520AB036">
                  <w:pPr>
                    <w:pStyle w:val="46"/>
                    <w:rPr>
                      <w:b w:val="0"/>
                      <w:bCs/>
                      <w:color w:val="auto"/>
                    </w:rPr>
                  </w:pPr>
                  <w:r>
                    <w:rPr>
                      <w:rFonts w:hint="eastAsia"/>
                      <w:b w:val="0"/>
                      <w:bCs/>
                      <w:color w:val="auto"/>
                    </w:rPr>
                    <w:t>运输监管</w:t>
                  </w:r>
                </w:p>
              </w:tc>
              <w:tc>
                <w:tcPr>
                  <w:tcW w:w="2201" w:type="pct"/>
                  <w:vAlign w:val="center"/>
                </w:tcPr>
                <w:p w14:paraId="520AB037">
                  <w:pPr>
                    <w:pStyle w:val="46"/>
                    <w:jc w:val="both"/>
                    <w:rPr>
                      <w:b w:val="0"/>
                      <w:bCs/>
                      <w:color w:val="auto"/>
                      <w:szCs w:val="21"/>
                    </w:rPr>
                  </w:pPr>
                  <w:r>
                    <w:rPr>
                      <w:rFonts w:hint="eastAsia"/>
                      <w:b w:val="0"/>
                      <w:bCs/>
                      <w:color w:val="auto"/>
                      <w:szCs w:val="21"/>
                    </w:rPr>
                    <w:t>日均进出货物150吨（或载货车辆日进出10辆次）及以上（货物包括原料、辅料、燃料、产品和其他与生产相关物料）的企业，参照《重污染天气重点行业移动源应急管理技术指南》建立门禁视频监控系统和电子台账；其他企业安装车辆运输视频监控（数据能保存6个月），并建立车辆运输手工台账。</w:t>
                  </w:r>
                </w:p>
              </w:tc>
              <w:tc>
                <w:tcPr>
                  <w:tcW w:w="2202" w:type="pct"/>
                  <w:vAlign w:val="center"/>
                </w:tcPr>
                <w:p w14:paraId="520AB038">
                  <w:pPr>
                    <w:pStyle w:val="46"/>
                    <w:jc w:val="both"/>
                    <w:rPr>
                      <w:b w:val="0"/>
                      <w:bCs/>
                      <w:color w:val="auto"/>
                    </w:rPr>
                  </w:pPr>
                  <w:r>
                    <w:rPr>
                      <w:rFonts w:hint="eastAsia"/>
                      <w:b w:val="0"/>
                      <w:bCs/>
                      <w:color w:val="auto"/>
                    </w:rPr>
                    <w:t>本项目建设路厂区和解放路厂区均已建立门禁视频监控系统和电子台账。</w:t>
                  </w:r>
                </w:p>
              </w:tc>
              <w:tc>
                <w:tcPr>
                  <w:tcW w:w="211" w:type="pct"/>
                  <w:vAlign w:val="center"/>
                </w:tcPr>
                <w:p w14:paraId="520AB039">
                  <w:pPr>
                    <w:pStyle w:val="46"/>
                    <w:rPr>
                      <w:b w:val="0"/>
                      <w:bCs/>
                      <w:color w:val="auto"/>
                      <w:szCs w:val="28"/>
                    </w:rPr>
                  </w:pPr>
                  <w:r>
                    <w:rPr>
                      <w:rFonts w:hint="eastAsia"/>
                      <w:b w:val="0"/>
                      <w:bCs/>
                      <w:color w:val="auto"/>
                      <w:szCs w:val="28"/>
                    </w:rPr>
                    <w:t>满足</w:t>
                  </w:r>
                </w:p>
              </w:tc>
            </w:tr>
          </w:tbl>
          <w:p w14:paraId="3C52BD6A">
            <w:pPr>
              <w:adjustRightInd w:val="0"/>
              <w:snapToGrid w:val="0"/>
              <w:spacing w:line="460" w:lineRule="exact"/>
              <w:ind w:firstLine="480" w:firstLineChars="200"/>
              <w:rPr>
                <w:bCs/>
              </w:rPr>
            </w:pPr>
            <w:r>
              <w:rPr>
                <w:rFonts w:hint="eastAsia"/>
                <w:sz w:val="24"/>
                <w:szCs w:val="32"/>
              </w:rPr>
              <w:t>评价要求：本项目严格按照上述要求进行建设，至少全部满足上述要求，并积极接受生态环境管理部门的监督检查。</w:t>
            </w:r>
          </w:p>
          <w:p w14:paraId="3DC9EF80">
            <w:pPr>
              <w:adjustRightInd w:val="0"/>
              <w:snapToGrid w:val="0"/>
              <w:spacing w:line="460" w:lineRule="exact"/>
              <w:ind w:firstLine="480" w:firstLineChars="200"/>
              <w:rPr>
                <w:sz w:val="24"/>
                <w:szCs w:val="32"/>
              </w:rPr>
            </w:pPr>
            <w:r>
              <w:rPr>
                <w:rFonts w:hint="eastAsia"/>
                <w:sz w:val="24"/>
                <w:szCs w:val="32"/>
              </w:rPr>
              <w:t>（3）</w:t>
            </w:r>
            <w:r>
              <w:rPr>
                <w:sz w:val="24"/>
                <w:szCs w:val="32"/>
              </w:rPr>
              <w:t>与</w:t>
            </w:r>
            <w:r>
              <w:rPr>
                <w:rFonts w:hint="eastAsia"/>
                <w:sz w:val="24"/>
                <w:szCs w:val="32"/>
              </w:rPr>
              <w:t>《重污染天气重点行业应急减排措施制度技术指南</w:t>
            </w:r>
            <w:r>
              <w:rPr>
                <w:sz w:val="24"/>
                <w:szCs w:val="32"/>
              </w:rPr>
              <w:t>》</w:t>
            </w:r>
            <w:r>
              <w:rPr>
                <w:rFonts w:hint="eastAsia"/>
                <w:sz w:val="24"/>
                <w:szCs w:val="32"/>
              </w:rPr>
              <w:t>（2020</w:t>
            </w:r>
            <w:r>
              <w:rPr>
                <w:sz w:val="24"/>
                <w:szCs w:val="32"/>
              </w:rPr>
              <w:t>年修订版</w:t>
            </w:r>
            <w:r>
              <w:rPr>
                <w:rFonts w:hint="eastAsia"/>
                <w:sz w:val="24"/>
                <w:szCs w:val="32"/>
              </w:rPr>
              <w:t>）》相符性分析</w:t>
            </w:r>
          </w:p>
          <w:p w14:paraId="35201AB2">
            <w:pPr>
              <w:adjustRightInd w:val="0"/>
              <w:snapToGrid w:val="0"/>
              <w:spacing w:line="460" w:lineRule="exact"/>
              <w:ind w:firstLine="480" w:firstLineChars="200"/>
              <w:rPr>
                <w:sz w:val="24"/>
                <w:szCs w:val="32"/>
              </w:rPr>
            </w:pPr>
            <w:r>
              <w:rPr>
                <w:rFonts w:hint="eastAsia"/>
                <w:sz w:val="24"/>
                <w:szCs w:val="32"/>
              </w:rPr>
              <w:t>本项目属于航空、航天器及设备制造项目，不属于国家、省绩效分级重点行业，但是本项目解放路厂区涉及橡胶硫化工段，故该部分将按照《重污染天气重点行业应急减排措施制度技术指南</w:t>
            </w:r>
            <w:r>
              <w:rPr>
                <w:sz w:val="24"/>
                <w:szCs w:val="32"/>
              </w:rPr>
              <w:t>》</w:t>
            </w:r>
            <w:r>
              <w:rPr>
                <w:rFonts w:hint="eastAsia"/>
                <w:sz w:val="24"/>
                <w:szCs w:val="32"/>
              </w:rPr>
              <w:t>（2020</w:t>
            </w:r>
            <w:r>
              <w:rPr>
                <w:sz w:val="24"/>
                <w:szCs w:val="32"/>
              </w:rPr>
              <w:t>年修订版</w:t>
            </w:r>
            <w:r>
              <w:rPr>
                <w:rFonts w:hint="eastAsia"/>
                <w:sz w:val="24"/>
                <w:szCs w:val="32"/>
              </w:rPr>
              <w:t>）》中橡胶制品行业A级绩效要求进行建设，与具体对比情况见下表：</w:t>
            </w:r>
          </w:p>
          <w:p w14:paraId="3EBE5943">
            <w:pPr>
              <w:adjustRightInd w:val="0"/>
              <w:snapToGrid w:val="0"/>
              <w:spacing w:line="460" w:lineRule="exact"/>
              <w:ind w:firstLine="480" w:firstLineChars="200"/>
              <w:textAlignment w:val="baseline"/>
              <w:outlineLvl w:val="0"/>
              <w:rPr>
                <w:rFonts w:eastAsia="黑体"/>
                <w:bCs/>
                <w:sz w:val="24"/>
              </w:rPr>
            </w:pPr>
            <w:r>
              <w:rPr>
                <w:rFonts w:eastAsia="黑体"/>
                <w:bCs/>
                <w:sz w:val="24"/>
              </w:rPr>
              <w:t>表</w:t>
            </w:r>
            <w:r>
              <w:rPr>
                <w:rFonts w:hint="eastAsia" w:eastAsia="黑体"/>
                <w:bCs/>
                <w:sz w:val="24"/>
              </w:rPr>
              <w:t>9</w:t>
            </w:r>
            <w:r>
              <w:rPr>
                <w:rFonts w:eastAsia="黑体"/>
                <w:bCs/>
                <w:sz w:val="24"/>
              </w:rPr>
              <w:t xml:space="preserve">    </w:t>
            </w:r>
            <w:r>
              <w:rPr>
                <w:rFonts w:hint="eastAsia" w:eastAsia="黑体"/>
                <w:bCs/>
                <w:sz w:val="24"/>
              </w:rPr>
              <w:t xml:space="preserve">                 </w:t>
            </w:r>
            <w:r>
              <w:rPr>
                <w:rFonts w:eastAsia="黑体"/>
                <w:bCs/>
                <w:sz w:val="24"/>
              </w:rPr>
              <w:t xml:space="preserve">  </w:t>
            </w:r>
            <w:r>
              <w:rPr>
                <w:rFonts w:hint="eastAsia" w:eastAsia="黑体"/>
                <w:bCs/>
                <w:sz w:val="24"/>
              </w:rPr>
              <w:t xml:space="preserve"> </w:t>
            </w:r>
            <w:r>
              <w:rPr>
                <w:rFonts w:eastAsia="黑体"/>
                <w:bCs/>
                <w:sz w:val="24"/>
              </w:rPr>
              <w:t xml:space="preserve">   </w:t>
            </w:r>
            <w:r>
              <w:rPr>
                <w:rFonts w:hint="eastAsia" w:eastAsia="黑体"/>
                <w:bCs/>
                <w:sz w:val="24"/>
              </w:rPr>
              <w:t>橡胶制品行业</w:t>
            </w:r>
            <w:r>
              <w:rPr>
                <w:rFonts w:eastAsia="黑体"/>
                <w:bCs/>
                <w:sz w:val="24"/>
              </w:rPr>
              <w:t>A级企业绩效指标对照表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413"/>
              <w:gridCol w:w="5974"/>
              <w:gridCol w:w="4394"/>
              <w:gridCol w:w="1655"/>
            </w:tblGrid>
            <w:tr w14:paraId="4C979B2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6" w:type="pct"/>
                  <w:tcBorders>
                    <w:tl2br w:val="nil"/>
                    <w:tr2bl w:val="nil"/>
                  </w:tcBorders>
                  <w:vAlign w:val="center"/>
                </w:tcPr>
                <w:p w14:paraId="27732F37">
                  <w:pPr>
                    <w:snapToGrid w:val="0"/>
                    <w:jc w:val="center"/>
                    <w:rPr>
                      <w:b/>
                      <w:szCs w:val="21"/>
                    </w:rPr>
                  </w:pPr>
                  <w:r>
                    <w:rPr>
                      <w:rFonts w:hint="eastAsia"/>
                      <w:b/>
                      <w:szCs w:val="21"/>
                    </w:rPr>
                    <w:t>差异化指标</w:t>
                  </w:r>
                </w:p>
              </w:tc>
              <w:tc>
                <w:tcPr>
                  <w:tcW w:w="2223" w:type="pct"/>
                  <w:tcBorders>
                    <w:tl2br w:val="nil"/>
                    <w:tr2bl w:val="nil"/>
                  </w:tcBorders>
                  <w:vAlign w:val="center"/>
                </w:tcPr>
                <w:p w14:paraId="08E71C96">
                  <w:pPr>
                    <w:snapToGrid w:val="0"/>
                    <w:jc w:val="center"/>
                    <w:rPr>
                      <w:b/>
                      <w:szCs w:val="21"/>
                    </w:rPr>
                  </w:pPr>
                  <w:r>
                    <w:rPr>
                      <w:rFonts w:hint="eastAsia"/>
                      <w:b/>
                      <w:szCs w:val="21"/>
                    </w:rPr>
                    <w:t>A级企业</w:t>
                  </w:r>
                </w:p>
              </w:tc>
              <w:tc>
                <w:tcPr>
                  <w:tcW w:w="1635" w:type="pct"/>
                  <w:tcBorders>
                    <w:tl2br w:val="nil"/>
                    <w:tr2bl w:val="nil"/>
                  </w:tcBorders>
                  <w:vAlign w:val="center"/>
                </w:tcPr>
                <w:p w14:paraId="25406489">
                  <w:pPr>
                    <w:snapToGrid w:val="0"/>
                    <w:jc w:val="center"/>
                    <w:rPr>
                      <w:b/>
                      <w:szCs w:val="21"/>
                    </w:rPr>
                  </w:pPr>
                  <w:r>
                    <w:rPr>
                      <w:rFonts w:hint="eastAsia"/>
                      <w:b/>
                      <w:szCs w:val="21"/>
                    </w:rPr>
                    <w:t>本项目情况</w:t>
                  </w:r>
                </w:p>
              </w:tc>
              <w:tc>
                <w:tcPr>
                  <w:tcW w:w="616" w:type="pct"/>
                  <w:tcBorders>
                    <w:tl2br w:val="nil"/>
                    <w:tr2bl w:val="nil"/>
                  </w:tcBorders>
                  <w:vAlign w:val="center"/>
                </w:tcPr>
                <w:p w14:paraId="325D9E88">
                  <w:pPr>
                    <w:snapToGrid w:val="0"/>
                    <w:jc w:val="center"/>
                    <w:rPr>
                      <w:b/>
                      <w:szCs w:val="21"/>
                    </w:rPr>
                  </w:pPr>
                  <w:r>
                    <w:rPr>
                      <w:rFonts w:hint="eastAsia"/>
                      <w:b/>
                      <w:szCs w:val="21"/>
                    </w:rPr>
                    <w:t>相符性分析</w:t>
                  </w:r>
                </w:p>
              </w:tc>
            </w:tr>
            <w:tr w14:paraId="2DFBE3C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6" w:type="pct"/>
                  <w:tcBorders>
                    <w:tl2br w:val="nil"/>
                    <w:tr2bl w:val="nil"/>
                  </w:tcBorders>
                  <w:vAlign w:val="center"/>
                </w:tcPr>
                <w:p w14:paraId="6F28EA08">
                  <w:pPr>
                    <w:snapToGrid w:val="0"/>
                    <w:jc w:val="center"/>
                    <w:rPr>
                      <w:szCs w:val="21"/>
                      <w:highlight w:val="yellow"/>
                    </w:rPr>
                  </w:pPr>
                  <w:r>
                    <w:rPr>
                      <w:rFonts w:hint="eastAsia"/>
                      <w:szCs w:val="21"/>
                    </w:rPr>
                    <w:t>生产工艺</w:t>
                  </w:r>
                </w:p>
              </w:tc>
              <w:tc>
                <w:tcPr>
                  <w:tcW w:w="2223" w:type="pct"/>
                  <w:tcBorders>
                    <w:tl2br w:val="nil"/>
                    <w:tr2bl w:val="nil"/>
                  </w:tcBorders>
                  <w:vAlign w:val="center"/>
                </w:tcPr>
                <w:p w14:paraId="0FA72933">
                  <w:pPr>
                    <w:widowControl/>
                    <w:rPr>
                      <w:szCs w:val="21"/>
                    </w:rPr>
                  </w:pPr>
                  <w:r>
                    <w:rPr>
                      <w:kern w:val="0"/>
                      <w:szCs w:val="21"/>
                      <w:lang w:bidi="ar"/>
                    </w:rPr>
                    <w:t>1、橡胶、粉体料、液体料配料系统采用管道密闭投加或采用自动配料秤计量后袋装投加；</w:t>
                  </w:r>
                </w:p>
                <w:p w14:paraId="1AE43969">
                  <w:pPr>
                    <w:widowControl/>
                    <w:rPr>
                      <w:kern w:val="0"/>
                      <w:szCs w:val="21"/>
                      <w:lang w:bidi="ar"/>
                    </w:rPr>
                  </w:pPr>
                  <w:r>
                    <w:rPr>
                      <w:kern w:val="0"/>
                      <w:szCs w:val="21"/>
                      <w:lang w:bidi="ar"/>
                    </w:rPr>
                    <w:t>2、炼胶工序采用包含上辅机、下辅机、密炼机一体化的密炼中心混炼；密炼机投料橡胶投料口采用集气罩收集，废气排至废气收集处理系统；下辅机（挤出、压延）全部封闭，采用集气罩收集，废气排至废气收集处理系统；硫化工序采用集气罩收集，废气排至废气收集处理系统；</w:t>
                  </w:r>
                </w:p>
                <w:p w14:paraId="407B273E">
                  <w:pPr>
                    <w:widowControl/>
                    <w:rPr>
                      <w:szCs w:val="21"/>
                    </w:rPr>
                  </w:pPr>
                  <w:r>
                    <w:rPr>
                      <w:kern w:val="0"/>
                      <w:szCs w:val="21"/>
                      <w:lang w:bidi="ar"/>
                    </w:rPr>
                    <w:t>3、VOCs原料存储于密闭的容器、包装袋、储罐、储库、料仓中；盛装VOCs原料的容器或包装袋存放于室内；盛装VOCs物料的容器或包装袋在非取用状态时应加盖、封口，保持密闭；</w:t>
                  </w:r>
                </w:p>
                <w:p w14:paraId="4F9D54E8">
                  <w:pPr>
                    <w:widowControl/>
                    <w:rPr>
                      <w:szCs w:val="21"/>
                      <w:highlight w:val="yellow"/>
                    </w:rPr>
                  </w:pPr>
                  <w:r>
                    <w:rPr>
                      <w:kern w:val="0"/>
                      <w:szCs w:val="21"/>
                      <w:lang w:bidi="ar"/>
                    </w:rPr>
                    <w:t>4、炼胶车间和硫化车间封闭</w:t>
                  </w:r>
                  <w:r>
                    <w:rPr>
                      <w:rFonts w:hint="eastAsia"/>
                      <w:kern w:val="0"/>
                      <w:szCs w:val="21"/>
                      <w:vertAlign w:val="superscript"/>
                      <w:lang w:bidi="ar"/>
                    </w:rPr>
                    <w:t>a</w:t>
                  </w:r>
                  <w:r>
                    <w:rPr>
                      <w:rFonts w:hint="eastAsia"/>
                      <w:kern w:val="0"/>
                      <w:szCs w:val="21"/>
                      <w:lang w:bidi="ar"/>
                    </w:rPr>
                    <w:t>；</w:t>
                  </w:r>
                </w:p>
              </w:tc>
              <w:tc>
                <w:tcPr>
                  <w:tcW w:w="1635" w:type="pct"/>
                  <w:tcBorders>
                    <w:tl2br w:val="nil"/>
                    <w:tr2bl w:val="nil"/>
                  </w:tcBorders>
                  <w:vAlign w:val="center"/>
                </w:tcPr>
                <w:p w14:paraId="61CF2AE3">
                  <w:pPr>
                    <w:widowControl/>
                    <w:rPr>
                      <w:kern w:val="0"/>
                      <w:szCs w:val="21"/>
                      <w:lang w:bidi="ar"/>
                    </w:rPr>
                  </w:pPr>
                  <w:r>
                    <w:rPr>
                      <w:kern w:val="0"/>
                      <w:szCs w:val="21"/>
                      <w:lang w:bidi="ar"/>
                    </w:rPr>
                    <w:t>1.本项目</w:t>
                  </w:r>
                  <w:r>
                    <w:rPr>
                      <w:rFonts w:hint="eastAsia"/>
                      <w:kern w:val="0"/>
                      <w:szCs w:val="21"/>
                      <w:lang w:bidi="ar"/>
                    </w:rPr>
                    <w:t>使用的混炼胶为块状物料，通过自动配料秤计量后袋装投加。</w:t>
                  </w:r>
                </w:p>
                <w:p w14:paraId="46098BA3">
                  <w:pPr>
                    <w:widowControl/>
                    <w:rPr>
                      <w:kern w:val="0"/>
                      <w:szCs w:val="21"/>
                      <w:lang w:bidi="ar"/>
                    </w:rPr>
                  </w:pPr>
                  <w:r>
                    <w:rPr>
                      <w:kern w:val="0"/>
                      <w:szCs w:val="21"/>
                      <w:lang w:bidi="ar"/>
                    </w:rPr>
                    <w:t>2.</w:t>
                  </w:r>
                  <w:r>
                    <w:rPr>
                      <w:rFonts w:hint="eastAsia"/>
                      <w:kern w:val="0"/>
                      <w:szCs w:val="21"/>
                      <w:lang w:bidi="ar"/>
                    </w:rPr>
                    <w:t>厂区不涉及炼胶工序，现有热炼工序废气采用集气罩收集，废气排至废气收集处理系统</w:t>
                  </w:r>
                  <w:r>
                    <w:rPr>
                      <w:kern w:val="0"/>
                      <w:szCs w:val="21"/>
                      <w:lang w:bidi="ar"/>
                    </w:rPr>
                    <w:t>；</w:t>
                  </w:r>
                </w:p>
                <w:p w14:paraId="63AD21CD">
                  <w:pPr>
                    <w:widowControl/>
                    <w:rPr>
                      <w:kern w:val="0"/>
                      <w:szCs w:val="21"/>
                      <w:lang w:bidi="ar"/>
                    </w:rPr>
                  </w:pPr>
                  <w:r>
                    <w:rPr>
                      <w:kern w:val="0"/>
                      <w:szCs w:val="21"/>
                      <w:lang w:bidi="ar"/>
                    </w:rPr>
                    <w:t>本项目</w:t>
                  </w:r>
                  <w:r>
                    <w:rPr>
                      <w:rFonts w:hint="eastAsia"/>
                      <w:kern w:val="0"/>
                      <w:szCs w:val="21"/>
                      <w:lang w:bidi="ar"/>
                    </w:rPr>
                    <w:t>硫化废气采用集气罩收集，废气排至废气收集处理系统</w:t>
                  </w:r>
                  <w:r>
                    <w:rPr>
                      <w:kern w:val="0"/>
                      <w:szCs w:val="21"/>
                      <w:lang w:bidi="ar"/>
                    </w:rPr>
                    <w:t>；</w:t>
                  </w:r>
                </w:p>
                <w:p w14:paraId="03F69F6D">
                  <w:pPr>
                    <w:widowControl/>
                    <w:rPr>
                      <w:kern w:val="0"/>
                      <w:szCs w:val="21"/>
                      <w:lang w:bidi="ar"/>
                    </w:rPr>
                  </w:pPr>
                  <w:r>
                    <w:rPr>
                      <w:kern w:val="0"/>
                      <w:szCs w:val="21"/>
                      <w:lang w:bidi="ar"/>
                    </w:rPr>
                    <w:t>3.本项目</w:t>
                  </w:r>
                  <w:r>
                    <w:rPr>
                      <w:rFonts w:hint="eastAsia"/>
                      <w:kern w:val="0"/>
                      <w:szCs w:val="21"/>
                      <w:lang w:bidi="ar"/>
                    </w:rPr>
                    <w:t>混炼胶采用袋装，存放于室内，在非取用状态时封口，保持密闭</w:t>
                  </w:r>
                  <w:r>
                    <w:rPr>
                      <w:kern w:val="0"/>
                      <w:szCs w:val="21"/>
                      <w:lang w:bidi="ar"/>
                    </w:rPr>
                    <w:t>；</w:t>
                  </w:r>
                </w:p>
                <w:p w14:paraId="274EC5EE">
                  <w:pPr>
                    <w:widowControl/>
                    <w:rPr>
                      <w:kern w:val="0"/>
                      <w:szCs w:val="21"/>
                    </w:rPr>
                  </w:pPr>
                  <w:r>
                    <w:rPr>
                      <w:kern w:val="0"/>
                      <w:szCs w:val="21"/>
                      <w:lang w:bidi="ar"/>
                    </w:rPr>
                    <w:t>4.本项目</w:t>
                  </w:r>
                  <w:r>
                    <w:rPr>
                      <w:rFonts w:hint="eastAsia"/>
                      <w:kern w:val="0"/>
                      <w:szCs w:val="21"/>
                      <w:lang w:bidi="ar"/>
                    </w:rPr>
                    <w:t>硫化生产车间完全封闭。</w:t>
                  </w:r>
                </w:p>
              </w:tc>
              <w:tc>
                <w:tcPr>
                  <w:tcW w:w="616" w:type="pct"/>
                  <w:tcBorders>
                    <w:tl2br w:val="nil"/>
                    <w:tr2bl w:val="nil"/>
                  </w:tcBorders>
                  <w:vAlign w:val="center"/>
                </w:tcPr>
                <w:p w14:paraId="140C112F">
                  <w:pPr>
                    <w:snapToGrid w:val="0"/>
                    <w:jc w:val="center"/>
                    <w:rPr>
                      <w:szCs w:val="21"/>
                      <w:highlight w:val="yellow"/>
                    </w:rPr>
                  </w:pPr>
                  <w:r>
                    <w:rPr>
                      <w:rFonts w:hint="eastAsia"/>
                      <w:szCs w:val="21"/>
                    </w:rPr>
                    <w:t>符合</w:t>
                  </w:r>
                </w:p>
              </w:tc>
            </w:tr>
            <w:tr w14:paraId="35ADAA3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6" w:type="pct"/>
                  <w:tcBorders>
                    <w:tl2br w:val="nil"/>
                    <w:tr2bl w:val="nil"/>
                  </w:tcBorders>
                  <w:vAlign w:val="center"/>
                </w:tcPr>
                <w:p w14:paraId="335D5F58">
                  <w:pPr>
                    <w:snapToGrid w:val="0"/>
                    <w:jc w:val="center"/>
                    <w:rPr>
                      <w:szCs w:val="21"/>
                      <w:highlight w:val="yellow"/>
                    </w:rPr>
                  </w:pPr>
                  <w:r>
                    <w:rPr>
                      <w:rFonts w:hint="eastAsia"/>
                      <w:szCs w:val="21"/>
                    </w:rPr>
                    <w:t>有机废气治理工艺</w:t>
                  </w:r>
                </w:p>
              </w:tc>
              <w:tc>
                <w:tcPr>
                  <w:tcW w:w="2223" w:type="pct"/>
                  <w:tcBorders>
                    <w:tl2br w:val="nil"/>
                    <w:tr2bl w:val="nil"/>
                  </w:tcBorders>
                  <w:vAlign w:val="center"/>
                </w:tcPr>
                <w:p w14:paraId="201F92F4">
                  <w:pPr>
                    <w:widowControl/>
                    <w:rPr>
                      <w:szCs w:val="21"/>
                    </w:rPr>
                  </w:pPr>
                  <w:r>
                    <w:rPr>
                      <w:kern w:val="0"/>
                      <w:szCs w:val="21"/>
                      <w:lang w:bidi="ar"/>
                    </w:rPr>
                    <w:t>1、混炼、硫化废气，全部收集后，采用喷淋、吸附、低温等离子、生物法等二级及以上组合工艺处理，或采用燃烧工艺（热力燃烧、催化燃烧、蓄热燃烧）处理，或引至锅炉燃烧；</w:t>
                  </w:r>
                </w:p>
                <w:p w14:paraId="76556843">
                  <w:pPr>
                    <w:widowControl/>
                    <w:rPr>
                      <w:szCs w:val="21"/>
                    </w:rPr>
                  </w:pPr>
                  <w:r>
                    <w:rPr>
                      <w:kern w:val="0"/>
                      <w:szCs w:val="21"/>
                      <w:lang w:bidi="ar"/>
                    </w:rPr>
                    <w:t>2、胶浆制备、浸浆、胶浆喷涂和涂胶废气全部收集后，采用燃烧工艺（热力燃烧、催化燃烧、蓄热燃烧）处理，或引至锅炉燃烧；</w:t>
                  </w:r>
                </w:p>
                <w:p w14:paraId="458DD96F">
                  <w:pPr>
                    <w:widowControl/>
                    <w:rPr>
                      <w:szCs w:val="21"/>
                      <w:highlight w:val="yellow"/>
                    </w:rPr>
                  </w:pPr>
                  <w:r>
                    <w:rPr>
                      <w:kern w:val="0"/>
                      <w:szCs w:val="21"/>
                      <w:lang w:bidi="ar"/>
                    </w:rPr>
                    <w:t>3、单根排气筒NMHC排放速率≥2kg/h的，处理效率≥80%</w:t>
                  </w:r>
                </w:p>
              </w:tc>
              <w:tc>
                <w:tcPr>
                  <w:tcW w:w="1635" w:type="pct"/>
                  <w:tcBorders>
                    <w:tl2br w:val="nil"/>
                    <w:tr2bl w:val="nil"/>
                  </w:tcBorders>
                  <w:vAlign w:val="center"/>
                </w:tcPr>
                <w:p w14:paraId="6DDB6458">
                  <w:pPr>
                    <w:widowControl/>
                    <w:rPr>
                      <w:kern w:val="0"/>
                      <w:szCs w:val="21"/>
                      <w:lang w:bidi="ar"/>
                    </w:rPr>
                  </w:pPr>
                  <w:r>
                    <w:rPr>
                      <w:rFonts w:hint="eastAsia"/>
                      <w:kern w:val="0"/>
                      <w:szCs w:val="21"/>
                      <w:lang w:bidi="ar"/>
                    </w:rPr>
                    <w:t>1、本项目硫化废气经收集后采用“活性炭吸附/脱附-催化燃烧”装置处理。</w:t>
                  </w:r>
                </w:p>
                <w:p w14:paraId="14A568D3">
                  <w:pPr>
                    <w:widowControl/>
                    <w:rPr>
                      <w:kern w:val="0"/>
                      <w:szCs w:val="21"/>
                      <w:lang w:bidi="ar"/>
                    </w:rPr>
                  </w:pPr>
                  <w:r>
                    <w:rPr>
                      <w:rFonts w:hint="eastAsia"/>
                      <w:kern w:val="0"/>
                      <w:szCs w:val="21"/>
                      <w:lang w:bidi="ar"/>
                    </w:rPr>
                    <w:t>2、本项目不涉及；</w:t>
                  </w:r>
                </w:p>
                <w:p w14:paraId="28B32D03">
                  <w:pPr>
                    <w:widowControl/>
                    <w:rPr>
                      <w:kern w:val="0"/>
                      <w:szCs w:val="21"/>
                      <w:lang w:bidi="ar"/>
                    </w:rPr>
                  </w:pPr>
                  <w:r>
                    <w:rPr>
                      <w:rFonts w:hint="eastAsia"/>
                      <w:kern w:val="0"/>
                      <w:szCs w:val="21"/>
                      <w:lang w:bidi="ar"/>
                    </w:rPr>
                    <w:t>3、本项目DA025排气筒NMHC的排放速率为0.0041</w:t>
                  </w:r>
                  <w:r>
                    <w:rPr>
                      <w:kern w:val="0"/>
                      <w:szCs w:val="21"/>
                      <w:lang w:bidi="ar"/>
                    </w:rPr>
                    <w:t>kg/h</w:t>
                  </w:r>
                  <w:r>
                    <w:rPr>
                      <w:rFonts w:hint="eastAsia"/>
                      <w:kern w:val="0"/>
                      <w:szCs w:val="21"/>
                      <w:lang w:bidi="ar"/>
                    </w:rPr>
                    <w:t>，</w:t>
                  </w:r>
                  <w:r>
                    <w:rPr>
                      <w:rFonts w:hint="eastAsia"/>
                      <w:bCs/>
                      <w:kern w:val="0"/>
                      <w:szCs w:val="21"/>
                      <w:lang w:bidi="ar"/>
                    </w:rPr>
                    <w:t>本项目建成后</w:t>
                  </w:r>
                  <w:r>
                    <w:rPr>
                      <w:rFonts w:hint="eastAsia"/>
                      <w:kern w:val="0"/>
                      <w:szCs w:val="21"/>
                      <w:lang w:bidi="ar"/>
                    </w:rPr>
                    <w:t>总排口NMHC的排放速率</w:t>
                  </w:r>
                  <w:r>
                    <w:rPr>
                      <w:rFonts w:hint="eastAsia"/>
                      <w:bCs/>
                      <w:kern w:val="0"/>
                      <w:szCs w:val="21"/>
                      <w:lang w:bidi="ar"/>
                    </w:rPr>
                    <w:t>为1.7969</w:t>
                  </w:r>
                  <w:r>
                    <w:rPr>
                      <w:kern w:val="0"/>
                      <w:szCs w:val="21"/>
                      <w:lang w:bidi="ar"/>
                    </w:rPr>
                    <w:t>kg/h</w:t>
                  </w:r>
                  <w:r>
                    <w:rPr>
                      <w:rFonts w:hint="eastAsia"/>
                      <w:kern w:val="0"/>
                      <w:szCs w:val="21"/>
                      <w:lang w:bidi="ar"/>
                    </w:rPr>
                    <w:t>，处理效率为91%。</w:t>
                  </w:r>
                </w:p>
              </w:tc>
              <w:tc>
                <w:tcPr>
                  <w:tcW w:w="616" w:type="pct"/>
                  <w:tcBorders>
                    <w:tl2br w:val="nil"/>
                    <w:tr2bl w:val="nil"/>
                  </w:tcBorders>
                  <w:vAlign w:val="center"/>
                </w:tcPr>
                <w:p w14:paraId="7CD29511">
                  <w:pPr>
                    <w:snapToGrid w:val="0"/>
                    <w:jc w:val="center"/>
                    <w:rPr>
                      <w:szCs w:val="21"/>
                      <w:highlight w:val="yellow"/>
                    </w:rPr>
                  </w:pPr>
                  <w:r>
                    <w:rPr>
                      <w:szCs w:val="21"/>
                    </w:rPr>
                    <w:t>符合</w:t>
                  </w:r>
                </w:p>
              </w:tc>
            </w:tr>
            <w:tr w14:paraId="4E18CEB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6" w:type="pct"/>
                  <w:tcBorders>
                    <w:tl2br w:val="nil"/>
                    <w:tr2bl w:val="nil"/>
                  </w:tcBorders>
                  <w:vAlign w:val="center"/>
                </w:tcPr>
                <w:p w14:paraId="6268796A">
                  <w:pPr>
                    <w:snapToGrid w:val="0"/>
                    <w:jc w:val="center"/>
                    <w:rPr>
                      <w:szCs w:val="21"/>
                      <w:highlight w:val="yellow"/>
                    </w:rPr>
                  </w:pPr>
                  <w:r>
                    <w:rPr>
                      <w:rFonts w:hint="eastAsia"/>
                      <w:szCs w:val="21"/>
                    </w:rPr>
                    <w:t>排放限值</w:t>
                  </w:r>
                </w:p>
              </w:tc>
              <w:tc>
                <w:tcPr>
                  <w:tcW w:w="2223" w:type="pct"/>
                  <w:tcBorders>
                    <w:tl2br w:val="nil"/>
                    <w:tr2bl w:val="nil"/>
                  </w:tcBorders>
                  <w:vAlign w:val="center"/>
                </w:tcPr>
                <w:p w14:paraId="5D06CB7F">
                  <w:pPr>
                    <w:widowControl/>
                    <w:rPr>
                      <w:kern w:val="0"/>
                      <w:szCs w:val="21"/>
                      <w:lang w:bidi="ar"/>
                    </w:rPr>
                  </w:pPr>
                  <w:r>
                    <w:rPr>
                      <w:kern w:val="0"/>
                      <w:szCs w:val="21"/>
                      <w:lang w:bidi="ar"/>
                    </w:rPr>
                    <w:t>1</w:t>
                  </w:r>
                  <w:r>
                    <w:rPr>
                      <w:rFonts w:hint="eastAsia"/>
                      <w:kern w:val="0"/>
                      <w:szCs w:val="21"/>
                      <w:lang w:bidi="ar"/>
                    </w:rPr>
                    <w:t>、轮胎制品制造，橡胶板、管、带制品制造，橡胶零件制造，运动场地用塑胶制造，其他橡胶制品制造企业：炼胶、硫化废气排放口</w:t>
                  </w:r>
                  <w:r>
                    <w:rPr>
                      <w:kern w:val="0"/>
                      <w:szCs w:val="21"/>
                      <w:lang w:bidi="ar"/>
                    </w:rPr>
                    <w:t>NMHC</w:t>
                  </w:r>
                  <w:r>
                    <w:rPr>
                      <w:rFonts w:hint="eastAsia"/>
                      <w:kern w:val="0"/>
                      <w:szCs w:val="21"/>
                      <w:lang w:bidi="ar"/>
                    </w:rPr>
                    <w:t>浓度不高于</w:t>
                  </w:r>
                  <w:r>
                    <w:rPr>
                      <w:kern w:val="0"/>
                      <w:szCs w:val="21"/>
                      <w:lang w:bidi="ar"/>
                    </w:rPr>
                    <w:t>10mg/m</w:t>
                  </w:r>
                  <w:r>
                    <w:rPr>
                      <w:kern w:val="0"/>
                      <w:szCs w:val="21"/>
                      <w:vertAlign w:val="superscript"/>
                      <w:lang w:bidi="ar"/>
                    </w:rPr>
                    <w:t>3</w:t>
                  </w:r>
                  <w:r>
                    <w:rPr>
                      <w:rFonts w:hint="eastAsia"/>
                      <w:kern w:val="0"/>
                      <w:szCs w:val="21"/>
                      <w:lang w:bidi="ar"/>
                    </w:rPr>
                    <w:t>；胶浆制备、浸浆、胶浆喷涂和涂胶废气排放口</w:t>
                  </w:r>
                  <w:r>
                    <w:rPr>
                      <w:kern w:val="0"/>
                      <w:szCs w:val="21"/>
                      <w:lang w:bidi="ar"/>
                    </w:rPr>
                    <w:t>NMHC</w:t>
                  </w:r>
                  <w:r>
                    <w:rPr>
                      <w:rFonts w:hint="eastAsia"/>
                      <w:kern w:val="0"/>
                      <w:szCs w:val="21"/>
                      <w:lang w:bidi="ar"/>
                    </w:rPr>
                    <w:t>浓度不高于</w:t>
                  </w:r>
                  <w:r>
                    <w:rPr>
                      <w:kern w:val="0"/>
                      <w:szCs w:val="21"/>
                      <w:lang w:bidi="ar"/>
                    </w:rPr>
                    <w:t>50mg/m</w:t>
                  </w:r>
                  <w:r>
                    <w:rPr>
                      <w:kern w:val="0"/>
                      <w:szCs w:val="21"/>
                      <w:vertAlign w:val="superscript"/>
                      <w:lang w:bidi="ar"/>
                    </w:rPr>
                    <w:t>3</w:t>
                  </w:r>
                  <w:r>
                    <w:rPr>
                      <w:rFonts w:hint="eastAsia"/>
                      <w:kern w:val="0"/>
                      <w:szCs w:val="21"/>
                      <w:lang w:bidi="ar"/>
                    </w:rPr>
                    <w:t>；其余排放口及各项污染物连续稳定达到《橡胶制品工业污染物排放标准》（</w:t>
                  </w:r>
                  <w:r>
                    <w:rPr>
                      <w:kern w:val="0"/>
                      <w:szCs w:val="21"/>
                      <w:lang w:bidi="ar"/>
                    </w:rPr>
                    <w:t>GB 27632—2011</w:t>
                  </w:r>
                  <w:r>
                    <w:rPr>
                      <w:rFonts w:hint="eastAsia"/>
                      <w:kern w:val="0"/>
                      <w:szCs w:val="21"/>
                      <w:lang w:bidi="ar"/>
                    </w:rPr>
                    <w:t>）排放限值，并满足相关地方排放标准要求（不要求基准排气量）；</w:t>
                  </w:r>
                </w:p>
                <w:p w14:paraId="68B9A7DE">
                  <w:pPr>
                    <w:widowControl/>
                    <w:rPr>
                      <w:kern w:val="0"/>
                      <w:szCs w:val="21"/>
                      <w:lang w:bidi="ar"/>
                    </w:rPr>
                  </w:pPr>
                  <w:r>
                    <w:rPr>
                      <w:kern w:val="0"/>
                      <w:szCs w:val="21"/>
                      <w:lang w:bidi="ar"/>
                    </w:rPr>
                    <w:t>2</w:t>
                  </w:r>
                  <w:r>
                    <w:rPr>
                      <w:rFonts w:hint="eastAsia"/>
                      <w:kern w:val="0"/>
                      <w:szCs w:val="21"/>
                      <w:lang w:bidi="ar"/>
                    </w:rPr>
                    <w:t>、日用及医用橡胶制品制造企业：各项污染物连续稳定达到《橡胶制品工业污染物排放标准》（</w:t>
                  </w:r>
                  <w:r>
                    <w:rPr>
                      <w:kern w:val="0"/>
                      <w:szCs w:val="21"/>
                      <w:lang w:bidi="ar"/>
                    </w:rPr>
                    <w:t>GB 27632—2011</w:t>
                  </w:r>
                  <w:r>
                    <w:rPr>
                      <w:rFonts w:hint="eastAsia"/>
                      <w:kern w:val="0"/>
                      <w:szCs w:val="21"/>
                      <w:lang w:bidi="ar"/>
                    </w:rPr>
                    <w:t>）排放限值，并满足相关地方排放标准要求；</w:t>
                  </w:r>
                </w:p>
                <w:p w14:paraId="3569DC98">
                  <w:pPr>
                    <w:widowControl/>
                    <w:rPr>
                      <w:szCs w:val="21"/>
                      <w:highlight w:val="yellow"/>
                    </w:rPr>
                  </w:pPr>
                  <w:r>
                    <w:rPr>
                      <w:kern w:val="0"/>
                      <w:szCs w:val="21"/>
                      <w:lang w:bidi="ar"/>
                    </w:rPr>
                    <w:t>3</w:t>
                  </w:r>
                  <w:r>
                    <w:rPr>
                      <w:rFonts w:hint="eastAsia"/>
                      <w:kern w:val="0"/>
                      <w:szCs w:val="21"/>
                      <w:lang w:bidi="ar"/>
                    </w:rPr>
                    <w:t>、炼胶、硫化、胶浆制备、浸浆、胶浆喷涂和涂胶废气排放口和厂界的臭气浓度、恶臭特征污染物连续稳定达到《恶臭污染物排放标准》（</w:t>
                  </w:r>
                  <w:r>
                    <w:rPr>
                      <w:kern w:val="0"/>
                      <w:szCs w:val="21"/>
                      <w:lang w:bidi="ar"/>
                    </w:rPr>
                    <w:t>GB 14554</w:t>
                  </w:r>
                  <w:r>
                    <w:rPr>
                      <w:rFonts w:hint="eastAsia"/>
                      <w:kern w:val="0"/>
                      <w:szCs w:val="21"/>
                      <w:lang w:bidi="ar"/>
                    </w:rPr>
                    <w:t>）排放限值，并满足相关地方排放标准要求。</w:t>
                  </w:r>
                </w:p>
              </w:tc>
              <w:tc>
                <w:tcPr>
                  <w:tcW w:w="1635" w:type="pct"/>
                  <w:tcBorders>
                    <w:tl2br w:val="nil"/>
                    <w:tr2bl w:val="nil"/>
                  </w:tcBorders>
                  <w:vAlign w:val="center"/>
                </w:tcPr>
                <w:p w14:paraId="3940911B">
                  <w:pPr>
                    <w:snapToGrid w:val="0"/>
                    <w:rPr>
                      <w:kern w:val="0"/>
                      <w:szCs w:val="21"/>
                      <w:lang w:bidi="ar"/>
                    </w:rPr>
                  </w:pPr>
                  <w:r>
                    <w:rPr>
                      <w:rFonts w:hint="eastAsia"/>
                      <w:szCs w:val="21"/>
                    </w:rPr>
                    <w:t>1.本项目非甲烷总烃有组织排放浓度为8.2</w:t>
                  </w:r>
                  <w:r>
                    <w:rPr>
                      <w:kern w:val="0"/>
                      <w:szCs w:val="21"/>
                      <w:lang w:bidi="ar"/>
                    </w:rPr>
                    <w:t>mg/m</w:t>
                  </w:r>
                  <w:r>
                    <w:rPr>
                      <w:rFonts w:hint="eastAsia"/>
                      <w:kern w:val="0"/>
                      <w:szCs w:val="21"/>
                      <w:vertAlign w:val="superscript"/>
                      <w:lang w:bidi="ar"/>
                    </w:rPr>
                    <w:t>3</w:t>
                  </w:r>
                  <w:r>
                    <w:rPr>
                      <w:rFonts w:hint="eastAsia"/>
                      <w:kern w:val="0"/>
                      <w:szCs w:val="21"/>
                      <w:lang w:bidi="ar"/>
                    </w:rPr>
                    <w:t>，</w:t>
                  </w:r>
                  <w:r>
                    <w:rPr>
                      <w:rFonts w:hint="eastAsia"/>
                      <w:bCs/>
                      <w:kern w:val="0"/>
                      <w:szCs w:val="21"/>
                      <w:lang w:bidi="ar"/>
                    </w:rPr>
                    <w:t>本项目建成后</w:t>
                  </w:r>
                  <w:r>
                    <w:rPr>
                      <w:rFonts w:hint="eastAsia"/>
                      <w:kern w:val="0"/>
                      <w:szCs w:val="21"/>
                      <w:lang w:bidi="ar"/>
                    </w:rPr>
                    <w:t>总排口</w:t>
                  </w:r>
                  <w:r>
                    <w:rPr>
                      <w:rFonts w:hint="eastAsia"/>
                      <w:szCs w:val="21"/>
                    </w:rPr>
                    <w:t>非甲烷总烃有组织排放浓度为7.3</w:t>
                  </w:r>
                  <w:r>
                    <w:rPr>
                      <w:kern w:val="0"/>
                      <w:szCs w:val="21"/>
                      <w:lang w:bidi="ar"/>
                    </w:rPr>
                    <w:t>mg/m</w:t>
                  </w:r>
                  <w:r>
                    <w:rPr>
                      <w:rFonts w:hint="eastAsia"/>
                      <w:kern w:val="0"/>
                      <w:szCs w:val="21"/>
                      <w:vertAlign w:val="superscript"/>
                      <w:lang w:bidi="ar"/>
                    </w:rPr>
                    <w:t>3</w:t>
                  </w:r>
                  <w:r>
                    <w:rPr>
                      <w:rFonts w:hint="eastAsia"/>
                      <w:kern w:val="0"/>
                      <w:szCs w:val="21"/>
                      <w:lang w:bidi="ar"/>
                    </w:rPr>
                    <w:t>，均满足</w:t>
                  </w:r>
                  <w:r>
                    <w:rPr>
                      <w:kern w:val="0"/>
                      <w:szCs w:val="21"/>
                      <w:lang w:bidi="ar"/>
                    </w:rPr>
                    <w:t>NMHC</w:t>
                  </w:r>
                  <w:r>
                    <w:rPr>
                      <w:rFonts w:hint="eastAsia"/>
                      <w:kern w:val="0"/>
                      <w:szCs w:val="21"/>
                      <w:lang w:bidi="ar"/>
                    </w:rPr>
                    <w:t>浓度不高于</w:t>
                  </w:r>
                  <w:r>
                    <w:rPr>
                      <w:kern w:val="0"/>
                      <w:szCs w:val="21"/>
                      <w:lang w:bidi="ar"/>
                    </w:rPr>
                    <w:t>10mg/m</w:t>
                  </w:r>
                  <w:r>
                    <w:rPr>
                      <w:kern w:val="0"/>
                      <w:szCs w:val="21"/>
                      <w:vertAlign w:val="superscript"/>
                      <w:lang w:bidi="ar"/>
                    </w:rPr>
                    <w:t>3</w:t>
                  </w:r>
                  <w:r>
                    <w:rPr>
                      <w:rFonts w:hint="eastAsia"/>
                      <w:kern w:val="0"/>
                      <w:szCs w:val="21"/>
                      <w:lang w:bidi="ar"/>
                    </w:rPr>
                    <w:t>的要求；</w:t>
                  </w:r>
                </w:p>
                <w:p w14:paraId="7D0B8322">
                  <w:pPr>
                    <w:snapToGrid w:val="0"/>
                    <w:rPr>
                      <w:kern w:val="0"/>
                      <w:szCs w:val="21"/>
                      <w:lang w:bidi="ar"/>
                    </w:rPr>
                  </w:pPr>
                  <w:r>
                    <w:rPr>
                      <w:rFonts w:hint="eastAsia"/>
                      <w:kern w:val="0"/>
                      <w:szCs w:val="21"/>
                      <w:lang w:bidi="ar"/>
                    </w:rPr>
                    <w:t>2.本项目不涉及；</w:t>
                  </w:r>
                </w:p>
                <w:p w14:paraId="3DB2B6BF">
                  <w:pPr>
                    <w:snapToGrid w:val="0"/>
                    <w:rPr>
                      <w:kern w:val="0"/>
                      <w:szCs w:val="21"/>
                      <w:highlight w:val="yellow"/>
                      <w:lang w:bidi="ar"/>
                    </w:rPr>
                  </w:pPr>
                  <w:r>
                    <w:rPr>
                      <w:rFonts w:hint="eastAsia"/>
                      <w:kern w:val="0"/>
                      <w:szCs w:val="21"/>
                      <w:lang w:bidi="ar"/>
                    </w:rPr>
                    <w:t>3.本项目硫化氢排放速率为0.00004kg/h，本项目硫化氢排放速率为0.002kg/h，</w:t>
                  </w:r>
                  <w:r>
                    <w:rPr>
                      <w:rFonts w:hint="eastAsia"/>
                      <w:bCs/>
                      <w:kern w:val="0"/>
                      <w:szCs w:val="21"/>
                      <w:lang w:bidi="ar"/>
                    </w:rPr>
                    <w:t>能够满足《恶臭污染物排放标准》（GB 14554-93）表2 硫化氢0.33</w:t>
                  </w:r>
                  <w:r>
                    <w:rPr>
                      <w:bCs/>
                      <w:kern w:val="0"/>
                      <w:szCs w:val="21"/>
                      <w:lang w:bidi="ar"/>
                    </w:rPr>
                    <w:t>kg/h</w:t>
                  </w:r>
                  <w:r>
                    <w:rPr>
                      <w:rFonts w:hint="eastAsia"/>
                      <w:bCs/>
                      <w:kern w:val="0"/>
                      <w:szCs w:val="21"/>
                      <w:lang w:bidi="ar"/>
                    </w:rPr>
                    <w:t>、臭气浓度2000（无量纲）的限值要求</w:t>
                  </w:r>
                  <w:r>
                    <w:rPr>
                      <w:rFonts w:hint="eastAsia"/>
                      <w:kern w:val="0"/>
                      <w:szCs w:val="21"/>
                      <w:lang w:bidi="ar"/>
                    </w:rPr>
                    <w:t>。厂界硫化氢、臭气浓度需连续稳定达到《恶臭污染物排放标准》（</w:t>
                  </w:r>
                  <w:r>
                    <w:rPr>
                      <w:kern w:val="0"/>
                      <w:szCs w:val="21"/>
                      <w:lang w:bidi="ar"/>
                    </w:rPr>
                    <w:t>GB 14554</w:t>
                  </w:r>
                  <w:r>
                    <w:rPr>
                      <w:rFonts w:hint="eastAsia"/>
                      <w:kern w:val="0"/>
                      <w:szCs w:val="21"/>
                      <w:lang w:bidi="ar"/>
                    </w:rPr>
                    <w:t>）排放限值要求。</w:t>
                  </w:r>
                </w:p>
              </w:tc>
              <w:tc>
                <w:tcPr>
                  <w:tcW w:w="616" w:type="pct"/>
                  <w:tcBorders>
                    <w:tl2br w:val="nil"/>
                    <w:tr2bl w:val="nil"/>
                  </w:tcBorders>
                  <w:vAlign w:val="center"/>
                </w:tcPr>
                <w:p w14:paraId="0C199FEC">
                  <w:pPr>
                    <w:snapToGrid w:val="0"/>
                    <w:jc w:val="center"/>
                    <w:rPr>
                      <w:szCs w:val="21"/>
                    </w:rPr>
                  </w:pPr>
                  <w:r>
                    <w:rPr>
                      <w:rFonts w:hint="eastAsia"/>
                      <w:szCs w:val="21"/>
                    </w:rPr>
                    <w:t>符合</w:t>
                  </w:r>
                </w:p>
              </w:tc>
            </w:tr>
            <w:tr w14:paraId="33BDDEB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6" w:type="pct"/>
                  <w:tcBorders>
                    <w:tl2br w:val="nil"/>
                    <w:tr2bl w:val="nil"/>
                  </w:tcBorders>
                  <w:vAlign w:val="center"/>
                </w:tcPr>
                <w:p w14:paraId="28C016BB">
                  <w:pPr>
                    <w:snapToGrid w:val="0"/>
                    <w:jc w:val="center"/>
                    <w:rPr>
                      <w:szCs w:val="21"/>
                      <w:highlight w:val="yellow"/>
                    </w:rPr>
                  </w:pPr>
                  <w:r>
                    <w:rPr>
                      <w:rFonts w:hint="eastAsia"/>
                      <w:szCs w:val="21"/>
                    </w:rPr>
                    <w:t>监测监控水平</w:t>
                  </w:r>
                </w:p>
              </w:tc>
              <w:tc>
                <w:tcPr>
                  <w:tcW w:w="2223" w:type="pct"/>
                  <w:tcBorders>
                    <w:tl2br w:val="nil"/>
                    <w:tr2bl w:val="nil"/>
                  </w:tcBorders>
                  <w:vAlign w:val="center"/>
                </w:tcPr>
                <w:p w14:paraId="6C34D740">
                  <w:pPr>
                    <w:widowControl/>
                    <w:rPr>
                      <w:szCs w:val="21"/>
                      <w:highlight w:val="yellow"/>
                    </w:rPr>
                  </w:pPr>
                  <w:r>
                    <w:rPr>
                      <w:rFonts w:hint="eastAsia"/>
                      <w:kern w:val="0"/>
                      <w:szCs w:val="21"/>
                      <w:lang w:bidi="ar"/>
                    </w:rPr>
                    <w:t>重点排污企业主要排放</w:t>
                  </w:r>
                  <w:r>
                    <w:rPr>
                      <w:kern w:val="0"/>
                      <w:szCs w:val="21"/>
                      <w:lang w:bidi="ar"/>
                    </w:rPr>
                    <w:t>口</w:t>
                  </w:r>
                  <w:r>
                    <w:rPr>
                      <w:rFonts w:hint="eastAsia"/>
                      <w:kern w:val="0"/>
                      <w:szCs w:val="21"/>
                      <w:lang w:bidi="ar"/>
                    </w:rPr>
                    <w:t>安装</w:t>
                  </w:r>
                  <w:r>
                    <w:rPr>
                      <w:kern w:val="0"/>
                      <w:szCs w:val="21"/>
                      <w:lang w:bidi="ar"/>
                    </w:rPr>
                    <w:t>CEMS</w:t>
                  </w:r>
                  <w:r>
                    <w:rPr>
                      <w:rFonts w:hint="eastAsia"/>
                      <w:kern w:val="0"/>
                      <w:szCs w:val="21"/>
                      <w:lang w:bidi="ar"/>
                    </w:rPr>
                    <w:t>（</w:t>
                  </w:r>
                  <w:r>
                    <w:rPr>
                      <w:kern w:val="0"/>
                      <w:szCs w:val="21"/>
                      <w:lang w:bidi="ar"/>
                    </w:rPr>
                    <w:t>PM</w:t>
                  </w:r>
                  <w:r>
                    <w:rPr>
                      <w:rFonts w:hint="eastAsia"/>
                      <w:kern w:val="0"/>
                      <w:szCs w:val="21"/>
                      <w:lang w:bidi="ar"/>
                    </w:rPr>
                    <w:t>、</w:t>
                  </w:r>
                  <w:r>
                    <w:rPr>
                      <w:kern w:val="0"/>
                      <w:szCs w:val="21"/>
                      <w:lang w:bidi="ar"/>
                    </w:rPr>
                    <w:t>NMHC</w:t>
                  </w:r>
                  <w:r>
                    <w:rPr>
                      <w:rFonts w:hint="eastAsia"/>
                      <w:kern w:val="0"/>
                      <w:szCs w:val="21"/>
                      <w:lang w:bidi="ar"/>
                    </w:rPr>
                    <w:t>），数据至少保存一年以上</w:t>
                  </w:r>
                </w:p>
              </w:tc>
              <w:tc>
                <w:tcPr>
                  <w:tcW w:w="1635" w:type="pct"/>
                  <w:tcBorders>
                    <w:tl2br w:val="nil"/>
                    <w:tr2bl w:val="nil"/>
                  </w:tcBorders>
                  <w:vAlign w:val="center"/>
                </w:tcPr>
                <w:p w14:paraId="4232B1DA">
                  <w:pPr>
                    <w:snapToGrid w:val="0"/>
                    <w:rPr>
                      <w:rFonts w:hint="eastAsia" w:ascii="宋体" w:hAnsi="宋体" w:cs="宋体"/>
                      <w:kern w:val="0"/>
                      <w:szCs w:val="21"/>
                      <w:lang w:bidi="ar"/>
                    </w:rPr>
                  </w:pPr>
                  <w:r>
                    <w:rPr>
                      <w:rFonts w:hint="eastAsia"/>
                      <w:kern w:val="0"/>
                      <w:szCs w:val="21"/>
                      <w:lang w:bidi="ar"/>
                    </w:rPr>
                    <w:t>本项目</w:t>
                  </w:r>
                  <w:r>
                    <w:rPr>
                      <w:kern w:val="0"/>
                      <w:szCs w:val="21"/>
                      <w:lang w:bidi="ar"/>
                    </w:rPr>
                    <w:t>不属于重点排污企业，</w:t>
                  </w:r>
                  <w:r>
                    <w:rPr>
                      <w:rFonts w:hint="eastAsia"/>
                      <w:kern w:val="0"/>
                      <w:szCs w:val="21"/>
                      <w:lang w:bidi="ar"/>
                    </w:rPr>
                    <w:t>不涉及主要排放口，</w:t>
                  </w:r>
                  <w:r>
                    <w:rPr>
                      <w:kern w:val="0"/>
                      <w:szCs w:val="21"/>
                      <w:lang w:bidi="ar"/>
                    </w:rPr>
                    <w:t>无需</w:t>
                  </w:r>
                  <w:r>
                    <w:rPr>
                      <w:rFonts w:hint="eastAsia"/>
                      <w:kern w:val="0"/>
                      <w:szCs w:val="21"/>
                      <w:lang w:bidi="ar"/>
                    </w:rPr>
                    <w:t>安装</w:t>
                  </w:r>
                  <w:r>
                    <w:rPr>
                      <w:kern w:val="0"/>
                      <w:szCs w:val="21"/>
                      <w:lang w:bidi="ar"/>
                    </w:rPr>
                    <w:t>CEMS在线监测设施；</w:t>
                  </w:r>
                </w:p>
              </w:tc>
              <w:tc>
                <w:tcPr>
                  <w:tcW w:w="616" w:type="pct"/>
                  <w:tcBorders>
                    <w:tl2br w:val="nil"/>
                    <w:tr2bl w:val="nil"/>
                  </w:tcBorders>
                  <w:vAlign w:val="center"/>
                </w:tcPr>
                <w:p w14:paraId="2DDDDEEC">
                  <w:pPr>
                    <w:snapToGrid w:val="0"/>
                    <w:jc w:val="center"/>
                    <w:rPr>
                      <w:szCs w:val="21"/>
                    </w:rPr>
                  </w:pPr>
                  <w:r>
                    <w:rPr>
                      <w:rFonts w:hint="eastAsia"/>
                      <w:szCs w:val="21"/>
                    </w:rPr>
                    <w:t>符合</w:t>
                  </w:r>
                </w:p>
              </w:tc>
            </w:tr>
            <w:tr w14:paraId="35D7A87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6" w:type="pct"/>
                  <w:tcBorders>
                    <w:tl2br w:val="nil"/>
                    <w:tr2bl w:val="nil"/>
                  </w:tcBorders>
                  <w:vAlign w:val="center"/>
                </w:tcPr>
                <w:p w14:paraId="16154023">
                  <w:pPr>
                    <w:snapToGrid w:val="0"/>
                    <w:jc w:val="center"/>
                    <w:rPr>
                      <w:szCs w:val="21"/>
                    </w:rPr>
                  </w:pPr>
                  <w:r>
                    <w:rPr>
                      <w:rFonts w:hint="eastAsia"/>
                      <w:szCs w:val="21"/>
                    </w:rPr>
                    <w:t>运输方式</w:t>
                  </w:r>
                </w:p>
              </w:tc>
              <w:tc>
                <w:tcPr>
                  <w:tcW w:w="2223" w:type="pct"/>
                  <w:tcBorders>
                    <w:tl2br w:val="nil"/>
                    <w:tr2bl w:val="nil"/>
                  </w:tcBorders>
                  <w:vAlign w:val="center"/>
                </w:tcPr>
                <w:p w14:paraId="484A40A7">
                  <w:pPr>
                    <w:widowControl/>
                    <w:rPr>
                      <w:szCs w:val="21"/>
                    </w:rPr>
                  </w:pPr>
                  <w:r>
                    <w:rPr>
                      <w:kern w:val="0"/>
                      <w:szCs w:val="21"/>
                      <w:lang w:bidi="ar"/>
                    </w:rPr>
                    <w:t>1、物料公路运输使用达到国五及以上排放标准重型载货车辆（含燃气）或新能源车辆占比不低于50%，其他车辆达到国四排放标准；</w:t>
                  </w:r>
                </w:p>
                <w:p w14:paraId="639F1A83">
                  <w:pPr>
                    <w:widowControl/>
                    <w:rPr>
                      <w:szCs w:val="21"/>
                    </w:rPr>
                  </w:pPr>
                  <w:r>
                    <w:rPr>
                      <w:kern w:val="0"/>
                      <w:szCs w:val="21"/>
                      <w:lang w:bidi="ar"/>
                    </w:rPr>
                    <w:t>2、厂内运输使用达到国五及以上排放标准车辆（含燃气）或新能源车辆比例不低于50%，其他车辆达到国四排放标准；</w:t>
                  </w:r>
                </w:p>
                <w:p w14:paraId="69C8F73E">
                  <w:pPr>
                    <w:widowControl/>
                    <w:rPr>
                      <w:rFonts w:hint="eastAsia" w:ascii="宋体" w:hAnsi="宋体" w:cs="宋体"/>
                      <w:kern w:val="0"/>
                      <w:szCs w:val="21"/>
                      <w:lang w:bidi="ar"/>
                    </w:rPr>
                  </w:pPr>
                  <w:r>
                    <w:rPr>
                      <w:kern w:val="0"/>
                      <w:szCs w:val="21"/>
                      <w:lang w:bidi="ar"/>
                    </w:rPr>
                    <w:t>3、厂内非道路移动机械使用达到国三及以上排放标准或新能源机械比例不低于50%</w:t>
                  </w:r>
                </w:p>
              </w:tc>
              <w:tc>
                <w:tcPr>
                  <w:tcW w:w="1635" w:type="pct"/>
                  <w:tcBorders>
                    <w:tl2br w:val="nil"/>
                    <w:tr2bl w:val="nil"/>
                  </w:tcBorders>
                  <w:vAlign w:val="center"/>
                </w:tcPr>
                <w:p w14:paraId="4AC8BE08">
                  <w:pPr>
                    <w:snapToGrid w:val="0"/>
                    <w:rPr>
                      <w:szCs w:val="21"/>
                    </w:rPr>
                  </w:pPr>
                  <w:r>
                    <w:rPr>
                      <w:rFonts w:hint="eastAsia"/>
                      <w:szCs w:val="21"/>
                    </w:rPr>
                    <w:t>本项目不涉及产品产能增加，物料运输方式满足以下要求：</w:t>
                  </w:r>
                </w:p>
                <w:p w14:paraId="5DC1F5B1">
                  <w:pPr>
                    <w:snapToGrid w:val="0"/>
                    <w:rPr>
                      <w:kern w:val="0"/>
                      <w:szCs w:val="21"/>
                      <w:lang w:bidi="ar"/>
                    </w:rPr>
                  </w:pPr>
                  <w:r>
                    <w:rPr>
                      <w:szCs w:val="21"/>
                    </w:rPr>
                    <w:t>1.本项目物料运输</w:t>
                  </w:r>
                  <w:r>
                    <w:rPr>
                      <w:rFonts w:hint="eastAsia"/>
                      <w:bCs/>
                      <w:szCs w:val="21"/>
                    </w:rPr>
                    <w:t>全部委托运输公司进行运输</w:t>
                  </w:r>
                  <w:r>
                    <w:rPr>
                      <w:rFonts w:hint="eastAsia"/>
                      <w:szCs w:val="21"/>
                    </w:rPr>
                    <w:t>，</w:t>
                  </w:r>
                  <w:r>
                    <w:rPr>
                      <w:szCs w:val="21"/>
                    </w:rPr>
                    <w:t>全部使用</w:t>
                  </w:r>
                  <w:r>
                    <w:rPr>
                      <w:kern w:val="0"/>
                      <w:szCs w:val="21"/>
                      <w:lang w:bidi="ar"/>
                    </w:rPr>
                    <w:t>国五及以上排放标准的重型载货车辆；</w:t>
                  </w:r>
                </w:p>
                <w:p w14:paraId="74FB5DEA">
                  <w:pPr>
                    <w:snapToGrid w:val="0"/>
                    <w:rPr>
                      <w:kern w:val="0"/>
                      <w:szCs w:val="21"/>
                      <w:lang w:bidi="ar"/>
                    </w:rPr>
                  </w:pPr>
                  <w:r>
                    <w:rPr>
                      <w:kern w:val="0"/>
                      <w:szCs w:val="21"/>
                      <w:lang w:bidi="ar"/>
                    </w:rPr>
                    <w:t>2.本项目厂区</w:t>
                  </w:r>
                  <w:r>
                    <w:rPr>
                      <w:rFonts w:hint="eastAsia"/>
                      <w:kern w:val="0"/>
                      <w:szCs w:val="21"/>
                      <w:lang w:bidi="ar"/>
                    </w:rPr>
                    <w:t>内不涉及运输车辆的使用</w:t>
                  </w:r>
                  <w:r>
                    <w:rPr>
                      <w:kern w:val="0"/>
                      <w:szCs w:val="21"/>
                      <w:lang w:bidi="ar"/>
                    </w:rPr>
                    <w:t>；</w:t>
                  </w:r>
                </w:p>
                <w:p w14:paraId="6A4ED94F">
                  <w:pPr>
                    <w:snapToGrid w:val="0"/>
                    <w:rPr>
                      <w:rFonts w:hint="eastAsia" w:ascii="宋体" w:hAnsi="宋体" w:cs="宋体"/>
                      <w:kern w:val="0"/>
                      <w:szCs w:val="21"/>
                      <w:lang w:bidi="ar"/>
                    </w:rPr>
                  </w:pPr>
                  <w:r>
                    <w:rPr>
                      <w:kern w:val="0"/>
                      <w:szCs w:val="21"/>
                      <w:lang w:bidi="ar"/>
                    </w:rPr>
                    <w:t>3.本项目厂区内全部使用国三及以上排放标准的非道路移动机械</w:t>
                  </w:r>
                </w:p>
              </w:tc>
              <w:tc>
                <w:tcPr>
                  <w:tcW w:w="616" w:type="pct"/>
                  <w:tcBorders>
                    <w:tl2br w:val="nil"/>
                    <w:tr2bl w:val="nil"/>
                  </w:tcBorders>
                  <w:vAlign w:val="center"/>
                </w:tcPr>
                <w:p w14:paraId="6DF39CEA">
                  <w:pPr>
                    <w:snapToGrid w:val="0"/>
                    <w:jc w:val="center"/>
                    <w:rPr>
                      <w:szCs w:val="21"/>
                    </w:rPr>
                  </w:pPr>
                  <w:r>
                    <w:rPr>
                      <w:rFonts w:hint="eastAsia"/>
                      <w:szCs w:val="21"/>
                    </w:rPr>
                    <w:t>符合</w:t>
                  </w:r>
                </w:p>
              </w:tc>
            </w:tr>
            <w:tr w14:paraId="2C5911A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6" w:type="pct"/>
                  <w:tcBorders>
                    <w:tl2br w:val="nil"/>
                    <w:tr2bl w:val="nil"/>
                  </w:tcBorders>
                  <w:vAlign w:val="center"/>
                </w:tcPr>
                <w:p w14:paraId="2D665643">
                  <w:pPr>
                    <w:snapToGrid w:val="0"/>
                    <w:jc w:val="center"/>
                    <w:rPr>
                      <w:szCs w:val="21"/>
                    </w:rPr>
                  </w:pPr>
                  <w:r>
                    <w:rPr>
                      <w:rFonts w:hint="eastAsia"/>
                      <w:szCs w:val="21"/>
                    </w:rPr>
                    <w:t>运输监管</w:t>
                  </w:r>
                </w:p>
              </w:tc>
              <w:tc>
                <w:tcPr>
                  <w:tcW w:w="2223" w:type="pct"/>
                  <w:tcBorders>
                    <w:tl2br w:val="nil"/>
                    <w:tr2bl w:val="nil"/>
                  </w:tcBorders>
                  <w:vAlign w:val="center"/>
                </w:tcPr>
                <w:p w14:paraId="4A08264D">
                  <w:pPr>
                    <w:widowControl/>
                    <w:jc w:val="left"/>
                    <w:rPr>
                      <w:kern w:val="0"/>
                      <w:szCs w:val="21"/>
                      <w:lang w:bidi="ar"/>
                    </w:rPr>
                  </w:pPr>
                  <w:r>
                    <w:rPr>
                      <w:rFonts w:hint="eastAsia" w:ascii="宋体" w:hAnsi="宋体" w:cs="宋体"/>
                      <w:kern w:val="0"/>
                      <w:szCs w:val="21"/>
                      <w:lang w:bidi="ar"/>
                    </w:rPr>
                    <w:t>参照《重污染天气重点行业移动源应急管理技术指南》建立门禁系统和电子台账</w:t>
                  </w:r>
                </w:p>
              </w:tc>
              <w:tc>
                <w:tcPr>
                  <w:tcW w:w="1635" w:type="pct"/>
                  <w:tcBorders>
                    <w:tl2br w:val="nil"/>
                    <w:tr2bl w:val="nil"/>
                  </w:tcBorders>
                  <w:vAlign w:val="center"/>
                </w:tcPr>
                <w:p w14:paraId="35B22945">
                  <w:pPr>
                    <w:snapToGrid w:val="0"/>
                    <w:rPr>
                      <w:kern w:val="0"/>
                      <w:szCs w:val="21"/>
                      <w:lang w:bidi="ar"/>
                    </w:rPr>
                  </w:pPr>
                  <w:r>
                    <w:rPr>
                      <w:rFonts w:hint="eastAsia"/>
                      <w:kern w:val="0"/>
                      <w:szCs w:val="21"/>
                      <w:lang w:bidi="ar"/>
                    </w:rPr>
                    <w:t>本项目按照</w:t>
                  </w:r>
                  <w:r>
                    <w:rPr>
                      <w:rFonts w:hint="eastAsia" w:ascii="宋体" w:hAnsi="宋体" w:cs="宋体"/>
                      <w:kern w:val="0"/>
                      <w:szCs w:val="21"/>
                      <w:lang w:bidi="ar"/>
                    </w:rPr>
                    <w:t>《重污染天气重点行业移动源应急管理技术指南》的相关</w:t>
                  </w:r>
                  <w:r>
                    <w:rPr>
                      <w:rFonts w:hint="eastAsia"/>
                      <w:kern w:val="0"/>
                      <w:szCs w:val="21"/>
                      <w:lang w:bidi="ar"/>
                    </w:rPr>
                    <w:t>要求建立</w:t>
                  </w:r>
                  <w:r>
                    <w:rPr>
                      <w:rFonts w:hint="eastAsia" w:ascii="宋体" w:hAnsi="宋体" w:cs="宋体"/>
                      <w:kern w:val="0"/>
                      <w:szCs w:val="21"/>
                      <w:lang w:bidi="ar"/>
                    </w:rPr>
                    <w:t>门禁系统和电子台账</w:t>
                  </w:r>
                  <w:r>
                    <w:rPr>
                      <w:rFonts w:hint="eastAsia"/>
                      <w:kern w:val="0"/>
                      <w:szCs w:val="21"/>
                      <w:lang w:bidi="ar"/>
                    </w:rPr>
                    <w:t>，目前厂区已建立门禁系统和电子台账。</w:t>
                  </w:r>
                </w:p>
              </w:tc>
              <w:tc>
                <w:tcPr>
                  <w:tcW w:w="616" w:type="pct"/>
                  <w:tcBorders>
                    <w:tl2br w:val="nil"/>
                    <w:tr2bl w:val="nil"/>
                  </w:tcBorders>
                  <w:vAlign w:val="center"/>
                </w:tcPr>
                <w:p w14:paraId="0EE618FB">
                  <w:pPr>
                    <w:snapToGrid w:val="0"/>
                    <w:jc w:val="center"/>
                    <w:rPr>
                      <w:szCs w:val="21"/>
                    </w:rPr>
                  </w:pPr>
                  <w:r>
                    <w:rPr>
                      <w:rFonts w:hint="eastAsia"/>
                      <w:szCs w:val="21"/>
                    </w:rPr>
                    <w:t>符合</w:t>
                  </w:r>
                </w:p>
              </w:tc>
            </w:tr>
          </w:tbl>
          <w:p w14:paraId="520AB03B">
            <w:pPr>
              <w:adjustRightInd w:val="0"/>
              <w:snapToGrid w:val="0"/>
              <w:spacing w:line="460" w:lineRule="exact"/>
              <w:ind w:firstLine="480" w:firstLineChars="200"/>
              <w:rPr>
                <w:sz w:val="24"/>
                <w:szCs w:val="32"/>
              </w:rPr>
            </w:pPr>
            <w:r>
              <w:rPr>
                <w:rFonts w:hint="eastAsia"/>
                <w:sz w:val="24"/>
                <w:szCs w:val="32"/>
              </w:rPr>
              <w:t>评价要求：本项目严格按照上述要求进行建设，至少全部满足上述要求，并积极接受生态环境管理部门的监督检查。</w:t>
            </w:r>
          </w:p>
          <w:p w14:paraId="520AB03C">
            <w:pPr>
              <w:pStyle w:val="16"/>
              <w:snapToGrid w:val="0"/>
              <w:spacing w:before="0" w:beforeAutospacing="0" w:after="0" w:afterAutospacing="0" w:line="460" w:lineRule="exact"/>
              <w:ind w:firstLine="480" w:firstLineChars="200"/>
              <w:jc w:val="both"/>
              <w:outlineLvl w:val="0"/>
              <w:rPr>
                <w:rFonts w:ascii="Times New Roman" w:hAnsi="Times New Roman"/>
                <w:snapToGrid w:val="0"/>
                <w:szCs w:val="30"/>
                <w:highlight w:val="yellow"/>
                <w:lang w:val="en-US"/>
              </w:rPr>
            </w:pPr>
            <w:r>
              <w:rPr>
                <w:rFonts w:hint="eastAsia" w:ascii="Times New Roman" w:hAnsi="Times New Roman"/>
                <w:szCs w:val="24"/>
                <w:lang w:val="en-US"/>
              </w:rPr>
              <w:t>此外，</w:t>
            </w:r>
            <w:r>
              <w:rPr>
                <w:rFonts w:ascii="Times New Roman" w:hAnsi="Times New Roman"/>
                <w:szCs w:val="24"/>
                <w:lang w:val="en-US"/>
              </w:rPr>
              <w:t>本项目建设能够满足《新乡市生态环境局关于印发新乡市2019年工业企业无组织排放治理方案的通知》、《挥发性有机物无组织排放控制标准》（GB37822-2019）、《2020年挥发性有机物治理攻坚方案的通知》（环大气〔2020〕33号）等政策文件的相关要求。</w:t>
            </w:r>
          </w:p>
        </w:tc>
      </w:tr>
    </w:tbl>
    <w:p w14:paraId="520AB03E">
      <w:pPr>
        <w:pStyle w:val="16"/>
        <w:adjustRightInd w:val="0"/>
        <w:snapToGrid w:val="0"/>
        <w:spacing w:before="0" w:beforeAutospacing="0" w:after="0" w:afterAutospacing="0"/>
        <w:jc w:val="both"/>
        <w:rPr>
          <w:rFonts w:hint="eastAsia" w:ascii="黑体" w:hAnsi="黑体" w:eastAsia="黑体"/>
          <w:snapToGrid w:val="0"/>
          <w:sz w:val="15"/>
          <w:szCs w:val="15"/>
          <w:highlight w:val="yellow"/>
        </w:rPr>
      </w:pPr>
    </w:p>
    <w:p w14:paraId="520AB03F">
      <w:pPr>
        <w:pStyle w:val="16"/>
        <w:adjustRightInd w:val="0"/>
        <w:snapToGrid w:val="0"/>
        <w:spacing w:before="0" w:beforeAutospacing="0" w:after="0" w:afterAutospacing="0"/>
        <w:jc w:val="both"/>
        <w:rPr>
          <w:rFonts w:hint="eastAsia" w:ascii="黑体" w:hAnsi="黑体" w:eastAsia="黑体"/>
          <w:snapToGrid w:val="0"/>
          <w:sz w:val="15"/>
          <w:szCs w:val="15"/>
          <w:highlight w:val="yellow"/>
        </w:rPr>
        <w:sectPr>
          <w:pgSz w:w="16838" w:h="11906" w:orient="landscape"/>
          <w:pgMar w:top="1531" w:right="1701" w:bottom="1531" w:left="1701" w:header="851" w:footer="851" w:gutter="0"/>
          <w:cols w:space="720" w:num="1"/>
          <w:docGrid w:linePitch="312" w:charSpace="0"/>
        </w:sectPr>
      </w:pPr>
    </w:p>
    <w:p w14:paraId="520AB040">
      <w:pPr>
        <w:pStyle w:val="16"/>
        <w:jc w:val="center"/>
        <w:outlineLvl w:val="0"/>
        <w:rPr>
          <w:rFonts w:hint="eastAsia" w:ascii="黑体" w:hAnsi="黑体" w:eastAsia="黑体"/>
          <w:snapToGrid w:val="0"/>
          <w:sz w:val="30"/>
          <w:szCs w:val="30"/>
        </w:rPr>
      </w:pPr>
      <w:r>
        <w:rPr>
          <w:rFonts w:hint="eastAsia" w:ascii="黑体" w:hAnsi="黑体" w:eastAsia="黑体"/>
          <w:snapToGrid w:val="0"/>
          <w:sz w:val="30"/>
          <w:szCs w:val="30"/>
        </w:rPr>
        <w:t>二、建设项目工程分析</w:t>
      </w:r>
    </w:p>
    <w:tbl>
      <w:tblPr>
        <w:tblStyle w:val="18"/>
        <w:tblW w:w="898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99"/>
        <w:gridCol w:w="8285"/>
      </w:tblGrid>
      <w:tr w14:paraId="520AB2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699" w:type="dxa"/>
            <w:vAlign w:val="center"/>
          </w:tcPr>
          <w:p w14:paraId="520AB041">
            <w:pPr>
              <w:pStyle w:val="16"/>
              <w:adjustRightInd w:val="0"/>
              <w:snapToGrid w:val="0"/>
              <w:spacing w:before="0" w:beforeAutospacing="0" w:after="0" w:afterAutospacing="0"/>
              <w:jc w:val="center"/>
              <w:rPr>
                <w:rFonts w:hint="eastAsia" w:cs="宋体"/>
                <w:sz w:val="21"/>
                <w:szCs w:val="21"/>
                <w:lang w:val="en-US"/>
              </w:rPr>
            </w:pPr>
            <w:r>
              <w:rPr>
                <w:rFonts w:hint="eastAsia" w:cs="宋体"/>
                <w:sz w:val="21"/>
                <w:szCs w:val="21"/>
                <w:lang w:val="en-US"/>
              </w:rPr>
              <w:t>建设内容</w:t>
            </w:r>
          </w:p>
        </w:tc>
        <w:tc>
          <w:tcPr>
            <w:tcW w:w="8285" w:type="dxa"/>
          </w:tcPr>
          <w:p w14:paraId="520AB042">
            <w:pPr>
              <w:adjustRightInd w:val="0"/>
              <w:snapToGrid w:val="0"/>
              <w:spacing w:line="460" w:lineRule="exact"/>
              <w:ind w:firstLine="482" w:firstLineChars="200"/>
              <w:rPr>
                <w:b/>
                <w:sz w:val="24"/>
              </w:rPr>
            </w:pPr>
            <w:r>
              <w:rPr>
                <w:rFonts w:ascii="宋体" w:hAnsi="宋体"/>
                <w:b/>
                <w:bCs/>
                <w:sz w:val="24"/>
              </w:rPr>
              <w:t>1、</w:t>
            </w:r>
            <w:r>
              <w:rPr>
                <w:b/>
                <w:sz w:val="24"/>
              </w:rPr>
              <w:t>项目概况</w:t>
            </w:r>
          </w:p>
          <w:p w14:paraId="520AB043">
            <w:pPr>
              <w:adjustRightInd w:val="0"/>
              <w:snapToGrid w:val="0"/>
              <w:spacing w:line="460" w:lineRule="exact"/>
              <w:ind w:firstLine="480" w:firstLineChars="200"/>
              <w:rPr>
                <w:sz w:val="24"/>
              </w:rPr>
            </w:pPr>
            <w:r>
              <w:rPr>
                <w:rFonts w:hint="eastAsia"/>
                <w:sz w:val="24"/>
              </w:rPr>
              <w:t>新乡航空工业（集团）有限公司隶属于中国航空工业集团有限公司，主要从事航空机载设备和汽车零部件产品的研制、生产，产品应用于航空机载设备领域、民用航空领域、防务工程领域以及非航空民品领域（主要为车船载零部件）。</w:t>
            </w:r>
          </w:p>
          <w:p w14:paraId="520AB044">
            <w:pPr>
              <w:adjustRightInd w:val="0"/>
              <w:snapToGrid w:val="0"/>
              <w:spacing w:line="460" w:lineRule="exact"/>
              <w:ind w:firstLine="480" w:firstLineChars="200"/>
              <w:rPr>
                <w:sz w:val="24"/>
              </w:rPr>
            </w:pPr>
            <w:r>
              <w:rPr>
                <w:rFonts w:hint="eastAsia"/>
                <w:bCs/>
                <w:sz w:val="24"/>
              </w:rPr>
              <w:t>随着国家对航空附件订单产品参数要求提高，现有部分设备的精度已经不能满足现有生产需求，需要进行升级，因此本项目建设路厂区新增参数精度更高的试验台；同时新航集团属于军工企业，加急订单较多，加急订单需要按要求短时间内大批量生产，现有部分工段设备生产能力不足以支撑加急订单的生产需求，因此本项目计划对部分工段新增同类型设备以满足订单生产需求；</w:t>
            </w:r>
            <w:r>
              <w:rPr>
                <w:rFonts w:hint="eastAsia"/>
                <w:sz w:val="24"/>
              </w:rPr>
              <w:t>同时本项目构建数智规划能力，夯实信息化基础，贯通业务数据，加速数字化转型。</w:t>
            </w:r>
          </w:p>
          <w:p w14:paraId="520AB045">
            <w:pPr>
              <w:adjustRightInd w:val="0"/>
              <w:snapToGrid w:val="0"/>
              <w:spacing w:line="460" w:lineRule="exact"/>
              <w:ind w:firstLine="480" w:firstLineChars="200"/>
              <w:rPr>
                <w:sz w:val="24"/>
              </w:rPr>
            </w:pPr>
            <w:r>
              <w:rPr>
                <w:sz w:val="24"/>
              </w:rPr>
              <w:t>本项目选址位于</w:t>
            </w:r>
            <w:r>
              <w:rPr>
                <w:rFonts w:hint="eastAsia"/>
                <w:sz w:val="24"/>
              </w:rPr>
              <w:t>新乡市牧野区建设中路168号（建设路厂区）、新乡市解放大道（中）1号（解放路厂区）</w:t>
            </w:r>
            <w:r>
              <w:rPr>
                <w:sz w:val="24"/>
              </w:rPr>
              <w:t>，</w:t>
            </w:r>
            <w:r>
              <w:rPr>
                <w:rFonts w:hint="eastAsia"/>
                <w:sz w:val="24"/>
              </w:rPr>
              <w:t>利用现有厂房</w:t>
            </w:r>
            <w:r>
              <w:rPr>
                <w:sz w:val="24"/>
              </w:rPr>
              <w:t>进行生产。项目的基本情况见</w:t>
            </w:r>
            <w:r>
              <w:rPr>
                <w:rFonts w:hint="eastAsia"/>
                <w:sz w:val="24"/>
              </w:rPr>
              <w:t>下表</w:t>
            </w:r>
            <w:r>
              <w:rPr>
                <w:sz w:val="24"/>
              </w:rPr>
              <w:t>。</w:t>
            </w:r>
          </w:p>
          <w:p w14:paraId="520AB046">
            <w:pPr>
              <w:adjustRightInd w:val="0"/>
              <w:snapToGrid w:val="0"/>
              <w:spacing w:line="460" w:lineRule="exact"/>
              <w:ind w:firstLine="480" w:firstLineChars="200"/>
              <w:rPr>
                <w:rFonts w:eastAsia="黑体"/>
                <w:sz w:val="24"/>
                <w:lang w:val="pt-BR"/>
              </w:rPr>
            </w:pPr>
            <w:r>
              <w:rPr>
                <w:rFonts w:eastAsia="黑体"/>
                <w:sz w:val="24"/>
                <w:lang w:val="pt-BR"/>
              </w:rPr>
              <w:t>表</w:t>
            </w:r>
            <w:r>
              <w:rPr>
                <w:rFonts w:hint="eastAsia" w:eastAsia="黑体"/>
                <w:sz w:val="24"/>
              </w:rPr>
              <w:t>10</w:t>
            </w:r>
            <w:r>
              <w:rPr>
                <w:rFonts w:eastAsia="黑体"/>
                <w:sz w:val="24"/>
                <w:lang w:val="pt-BR"/>
              </w:rPr>
              <w:t xml:space="preserve">                   项目概况一览表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08"/>
              <w:gridCol w:w="1559"/>
              <w:gridCol w:w="5902"/>
            </w:tblGrid>
            <w:tr w14:paraId="520AB04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8" w:type="dxa"/>
                  <w:vAlign w:val="center"/>
                </w:tcPr>
                <w:p w14:paraId="520AB047">
                  <w:pPr>
                    <w:jc w:val="center"/>
                    <w:rPr>
                      <w:b/>
                      <w:szCs w:val="21"/>
                      <w:lang w:val="pt-BR"/>
                    </w:rPr>
                  </w:pPr>
                  <w:r>
                    <w:rPr>
                      <w:b/>
                      <w:szCs w:val="21"/>
                      <w:lang w:val="pt-BR"/>
                    </w:rPr>
                    <w:t>序号</w:t>
                  </w:r>
                </w:p>
              </w:tc>
              <w:tc>
                <w:tcPr>
                  <w:tcW w:w="1559" w:type="dxa"/>
                  <w:vAlign w:val="center"/>
                </w:tcPr>
                <w:p w14:paraId="520AB048">
                  <w:pPr>
                    <w:jc w:val="center"/>
                    <w:rPr>
                      <w:b/>
                      <w:szCs w:val="21"/>
                      <w:lang w:val="pt-BR"/>
                    </w:rPr>
                  </w:pPr>
                  <w:r>
                    <w:rPr>
                      <w:b/>
                      <w:szCs w:val="21"/>
                      <w:lang w:val="pt-BR"/>
                    </w:rPr>
                    <w:t>项目</w:t>
                  </w:r>
                </w:p>
              </w:tc>
              <w:tc>
                <w:tcPr>
                  <w:tcW w:w="5902" w:type="dxa"/>
                  <w:vAlign w:val="center"/>
                </w:tcPr>
                <w:p w14:paraId="520AB049">
                  <w:pPr>
                    <w:jc w:val="center"/>
                    <w:rPr>
                      <w:b/>
                      <w:szCs w:val="21"/>
                      <w:lang w:val="pt-BR"/>
                    </w:rPr>
                  </w:pPr>
                  <w:r>
                    <w:rPr>
                      <w:b/>
                      <w:szCs w:val="21"/>
                      <w:lang w:val="pt-BR"/>
                    </w:rPr>
                    <w:t>内容</w:t>
                  </w:r>
                </w:p>
              </w:tc>
            </w:tr>
            <w:tr w14:paraId="520AB04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8" w:type="dxa"/>
                  <w:vAlign w:val="center"/>
                </w:tcPr>
                <w:p w14:paraId="520AB04B">
                  <w:pPr>
                    <w:jc w:val="center"/>
                    <w:rPr>
                      <w:szCs w:val="21"/>
                    </w:rPr>
                  </w:pPr>
                  <w:r>
                    <w:rPr>
                      <w:szCs w:val="21"/>
                    </w:rPr>
                    <w:t>1</w:t>
                  </w:r>
                </w:p>
              </w:tc>
              <w:tc>
                <w:tcPr>
                  <w:tcW w:w="1559" w:type="dxa"/>
                  <w:vAlign w:val="center"/>
                </w:tcPr>
                <w:p w14:paraId="520AB04C">
                  <w:pPr>
                    <w:jc w:val="center"/>
                    <w:rPr>
                      <w:szCs w:val="21"/>
                    </w:rPr>
                  </w:pPr>
                  <w:r>
                    <w:rPr>
                      <w:szCs w:val="21"/>
                    </w:rPr>
                    <w:t>项目名称</w:t>
                  </w:r>
                </w:p>
              </w:tc>
              <w:tc>
                <w:tcPr>
                  <w:tcW w:w="5902" w:type="dxa"/>
                  <w:vAlign w:val="center"/>
                </w:tcPr>
                <w:p w14:paraId="520AB04D">
                  <w:pPr>
                    <w:jc w:val="center"/>
                    <w:rPr>
                      <w:szCs w:val="21"/>
                    </w:rPr>
                  </w:pPr>
                  <w:bookmarkStart w:id="2" w:name="_Hlk203570550"/>
                  <w:r>
                    <w:rPr>
                      <w:rFonts w:hint="eastAsia"/>
                      <w:szCs w:val="21"/>
                    </w:rPr>
                    <w:t>数字化转型项目</w:t>
                  </w:r>
                  <w:bookmarkEnd w:id="2"/>
                </w:p>
              </w:tc>
            </w:tr>
            <w:tr w14:paraId="520AB05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8" w:type="dxa"/>
                  <w:vAlign w:val="center"/>
                </w:tcPr>
                <w:p w14:paraId="520AB04F">
                  <w:pPr>
                    <w:jc w:val="center"/>
                    <w:rPr>
                      <w:szCs w:val="21"/>
                    </w:rPr>
                  </w:pPr>
                  <w:r>
                    <w:rPr>
                      <w:szCs w:val="21"/>
                    </w:rPr>
                    <w:t>2</w:t>
                  </w:r>
                </w:p>
              </w:tc>
              <w:tc>
                <w:tcPr>
                  <w:tcW w:w="1559" w:type="dxa"/>
                  <w:vAlign w:val="center"/>
                </w:tcPr>
                <w:p w14:paraId="520AB050">
                  <w:pPr>
                    <w:jc w:val="center"/>
                    <w:rPr>
                      <w:szCs w:val="21"/>
                    </w:rPr>
                  </w:pPr>
                  <w:r>
                    <w:rPr>
                      <w:szCs w:val="21"/>
                    </w:rPr>
                    <w:t>建设单位</w:t>
                  </w:r>
                </w:p>
              </w:tc>
              <w:tc>
                <w:tcPr>
                  <w:tcW w:w="5902" w:type="dxa"/>
                  <w:vAlign w:val="center"/>
                </w:tcPr>
                <w:p w14:paraId="520AB051">
                  <w:pPr>
                    <w:jc w:val="center"/>
                    <w:rPr>
                      <w:szCs w:val="21"/>
                    </w:rPr>
                  </w:pPr>
                  <w:r>
                    <w:rPr>
                      <w:rFonts w:hint="eastAsia"/>
                      <w:szCs w:val="21"/>
                    </w:rPr>
                    <w:t>新乡航空工业（集团）有限公司</w:t>
                  </w:r>
                </w:p>
              </w:tc>
            </w:tr>
            <w:tr w14:paraId="520AB05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8" w:type="dxa"/>
                  <w:vAlign w:val="center"/>
                </w:tcPr>
                <w:p w14:paraId="520AB053">
                  <w:pPr>
                    <w:jc w:val="center"/>
                    <w:rPr>
                      <w:szCs w:val="21"/>
                    </w:rPr>
                  </w:pPr>
                  <w:r>
                    <w:rPr>
                      <w:szCs w:val="21"/>
                    </w:rPr>
                    <w:t>3</w:t>
                  </w:r>
                </w:p>
              </w:tc>
              <w:tc>
                <w:tcPr>
                  <w:tcW w:w="1559" w:type="dxa"/>
                  <w:vAlign w:val="center"/>
                </w:tcPr>
                <w:p w14:paraId="520AB054">
                  <w:pPr>
                    <w:jc w:val="center"/>
                    <w:rPr>
                      <w:szCs w:val="21"/>
                    </w:rPr>
                  </w:pPr>
                  <w:r>
                    <w:rPr>
                      <w:szCs w:val="21"/>
                    </w:rPr>
                    <w:t>产品方案</w:t>
                  </w:r>
                </w:p>
              </w:tc>
              <w:tc>
                <w:tcPr>
                  <w:tcW w:w="5902" w:type="dxa"/>
                  <w:vAlign w:val="center"/>
                </w:tcPr>
                <w:p w14:paraId="520AB055">
                  <w:pPr>
                    <w:jc w:val="center"/>
                    <w:rPr>
                      <w:bCs/>
                      <w:szCs w:val="21"/>
                      <w:highlight w:val="yellow"/>
                    </w:rPr>
                  </w:pPr>
                  <w:r>
                    <w:rPr>
                      <w:rFonts w:hint="eastAsia"/>
                      <w:szCs w:val="21"/>
                    </w:rPr>
                    <w:t>航空附件：若干件/年</w:t>
                  </w:r>
                </w:p>
              </w:tc>
            </w:tr>
            <w:tr w14:paraId="520AB05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8" w:type="dxa"/>
                  <w:vAlign w:val="center"/>
                </w:tcPr>
                <w:p w14:paraId="520AB057">
                  <w:pPr>
                    <w:jc w:val="center"/>
                    <w:rPr>
                      <w:szCs w:val="21"/>
                    </w:rPr>
                  </w:pPr>
                  <w:r>
                    <w:rPr>
                      <w:szCs w:val="21"/>
                    </w:rPr>
                    <w:t>4</w:t>
                  </w:r>
                </w:p>
              </w:tc>
              <w:tc>
                <w:tcPr>
                  <w:tcW w:w="1559" w:type="dxa"/>
                  <w:vAlign w:val="center"/>
                </w:tcPr>
                <w:p w14:paraId="520AB058">
                  <w:pPr>
                    <w:jc w:val="center"/>
                    <w:rPr>
                      <w:szCs w:val="21"/>
                    </w:rPr>
                  </w:pPr>
                  <w:r>
                    <w:rPr>
                      <w:szCs w:val="21"/>
                    </w:rPr>
                    <w:t>项目地址</w:t>
                  </w:r>
                </w:p>
              </w:tc>
              <w:tc>
                <w:tcPr>
                  <w:tcW w:w="5902" w:type="dxa"/>
                  <w:vAlign w:val="center"/>
                </w:tcPr>
                <w:p w14:paraId="520AB059">
                  <w:pPr>
                    <w:jc w:val="center"/>
                    <w:rPr>
                      <w:szCs w:val="21"/>
                    </w:rPr>
                  </w:pPr>
                  <w:r>
                    <w:rPr>
                      <w:rFonts w:hint="eastAsia" w:cs="宋体"/>
                      <w:szCs w:val="21"/>
                    </w:rPr>
                    <w:t>新乡市牧野区建设中路168号（建设路厂区）、新乡市解放大道（中）1号（解放路厂区）</w:t>
                  </w:r>
                </w:p>
              </w:tc>
            </w:tr>
            <w:tr w14:paraId="520AB05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8" w:type="dxa"/>
                  <w:vAlign w:val="center"/>
                </w:tcPr>
                <w:p w14:paraId="520AB05B">
                  <w:pPr>
                    <w:jc w:val="center"/>
                    <w:rPr>
                      <w:szCs w:val="21"/>
                    </w:rPr>
                  </w:pPr>
                  <w:r>
                    <w:rPr>
                      <w:szCs w:val="21"/>
                    </w:rPr>
                    <w:t>5</w:t>
                  </w:r>
                </w:p>
              </w:tc>
              <w:tc>
                <w:tcPr>
                  <w:tcW w:w="1559" w:type="dxa"/>
                  <w:vAlign w:val="center"/>
                </w:tcPr>
                <w:p w14:paraId="520AB05C">
                  <w:pPr>
                    <w:jc w:val="center"/>
                    <w:rPr>
                      <w:szCs w:val="21"/>
                    </w:rPr>
                  </w:pPr>
                  <w:r>
                    <w:rPr>
                      <w:szCs w:val="21"/>
                    </w:rPr>
                    <w:t>占地面积</w:t>
                  </w:r>
                </w:p>
              </w:tc>
              <w:tc>
                <w:tcPr>
                  <w:tcW w:w="5902" w:type="dxa"/>
                  <w:vAlign w:val="center"/>
                </w:tcPr>
                <w:p w14:paraId="520AB05D">
                  <w:pPr>
                    <w:jc w:val="center"/>
                    <w:rPr>
                      <w:szCs w:val="21"/>
                      <w:highlight w:val="yellow"/>
                    </w:rPr>
                  </w:pPr>
                  <w:r>
                    <w:rPr>
                      <w:rFonts w:hint="eastAsia" w:cs="宋体"/>
                      <w:szCs w:val="21"/>
                    </w:rPr>
                    <w:t>本项目不新增用地，涉及使用面积25</w:t>
                  </w:r>
                  <w:r>
                    <w:rPr>
                      <w:rFonts w:cs="宋体"/>
                      <w:szCs w:val="21"/>
                    </w:rPr>
                    <w:t>00m</w:t>
                  </w:r>
                  <w:r>
                    <w:rPr>
                      <w:rFonts w:cs="宋体"/>
                      <w:szCs w:val="21"/>
                      <w:vertAlign w:val="superscript"/>
                    </w:rPr>
                    <w:t>2</w:t>
                  </w:r>
                </w:p>
              </w:tc>
            </w:tr>
            <w:tr w14:paraId="520AB06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8" w:type="dxa"/>
                  <w:vAlign w:val="center"/>
                </w:tcPr>
                <w:p w14:paraId="520AB05F">
                  <w:pPr>
                    <w:jc w:val="center"/>
                    <w:rPr>
                      <w:szCs w:val="21"/>
                    </w:rPr>
                  </w:pPr>
                  <w:r>
                    <w:rPr>
                      <w:szCs w:val="21"/>
                    </w:rPr>
                    <w:t>6</w:t>
                  </w:r>
                </w:p>
              </w:tc>
              <w:tc>
                <w:tcPr>
                  <w:tcW w:w="1559" w:type="dxa"/>
                  <w:vAlign w:val="center"/>
                </w:tcPr>
                <w:p w14:paraId="520AB060">
                  <w:pPr>
                    <w:jc w:val="center"/>
                    <w:rPr>
                      <w:szCs w:val="21"/>
                    </w:rPr>
                  </w:pPr>
                  <w:r>
                    <w:rPr>
                      <w:szCs w:val="21"/>
                    </w:rPr>
                    <w:t>总投资（万元）</w:t>
                  </w:r>
                </w:p>
              </w:tc>
              <w:tc>
                <w:tcPr>
                  <w:tcW w:w="5902" w:type="dxa"/>
                  <w:vAlign w:val="center"/>
                </w:tcPr>
                <w:p w14:paraId="520AB061">
                  <w:pPr>
                    <w:jc w:val="center"/>
                    <w:rPr>
                      <w:szCs w:val="21"/>
                      <w:highlight w:val="yellow"/>
                    </w:rPr>
                  </w:pPr>
                  <w:r>
                    <w:rPr>
                      <w:rFonts w:hint="eastAsia"/>
                      <w:szCs w:val="21"/>
                    </w:rPr>
                    <w:t>6000</w:t>
                  </w:r>
                </w:p>
              </w:tc>
            </w:tr>
            <w:tr w14:paraId="520AB06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8" w:type="dxa"/>
                  <w:vAlign w:val="center"/>
                </w:tcPr>
                <w:p w14:paraId="520AB063">
                  <w:pPr>
                    <w:jc w:val="center"/>
                    <w:rPr>
                      <w:szCs w:val="21"/>
                    </w:rPr>
                  </w:pPr>
                  <w:r>
                    <w:rPr>
                      <w:szCs w:val="21"/>
                    </w:rPr>
                    <w:t>7</w:t>
                  </w:r>
                </w:p>
              </w:tc>
              <w:tc>
                <w:tcPr>
                  <w:tcW w:w="1559" w:type="dxa"/>
                  <w:vAlign w:val="center"/>
                </w:tcPr>
                <w:p w14:paraId="520AB064">
                  <w:pPr>
                    <w:jc w:val="center"/>
                    <w:rPr>
                      <w:szCs w:val="21"/>
                    </w:rPr>
                  </w:pPr>
                  <w:r>
                    <w:rPr>
                      <w:szCs w:val="21"/>
                    </w:rPr>
                    <w:t>定员与工作制度</w:t>
                  </w:r>
                </w:p>
              </w:tc>
              <w:tc>
                <w:tcPr>
                  <w:tcW w:w="5902" w:type="dxa"/>
                  <w:vAlign w:val="center"/>
                </w:tcPr>
                <w:p w14:paraId="520AB065">
                  <w:pPr>
                    <w:jc w:val="center"/>
                    <w:rPr>
                      <w:szCs w:val="21"/>
                      <w:highlight w:val="yellow"/>
                    </w:rPr>
                  </w:pPr>
                  <w:r>
                    <w:rPr>
                      <w:rFonts w:hint="eastAsia"/>
                      <w:bCs/>
                      <w:szCs w:val="21"/>
                    </w:rPr>
                    <w:t>本项目需要员工20人，全部从现有员工内调剂，不新增员工；</w:t>
                  </w:r>
                  <w:r>
                    <w:rPr>
                      <w:rFonts w:hint="eastAsia"/>
                      <w:szCs w:val="21"/>
                    </w:rPr>
                    <w:t>双班制（每班8小时），年工作250天</w:t>
                  </w:r>
                </w:p>
              </w:tc>
            </w:tr>
          </w:tbl>
          <w:p w14:paraId="520AB067">
            <w:pPr>
              <w:adjustRightInd w:val="0"/>
              <w:snapToGrid w:val="0"/>
              <w:spacing w:line="460" w:lineRule="exact"/>
              <w:ind w:firstLine="480" w:firstLineChars="200"/>
              <w:rPr>
                <w:sz w:val="24"/>
              </w:rPr>
            </w:pPr>
            <w:r>
              <w:rPr>
                <w:rFonts w:hint="eastAsia"/>
                <w:sz w:val="24"/>
              </w:rPr>
              <w:t>由于新航集团为军工企业，生产区域为涉密场所，经现场确认，该项目拟用建设路厂区101#厂房、1202#厂房、1205#厂房、153#-1厂房、201#厂房、105#厂房、1206#厂房内现有闲置区域、114配电站及解放路厂区2209厂房、2207厂房放置本项目生产设备并在建设路厂区1208#厂房、科研大楼、解放路厂区2301厂房等位置安装软件及电子硬件类设施。本项目所用厂房内设备均未到位，不涉及未批先建。</w:t>
            </w:r>
          </w:p>
          <w:p w14:paraId="520AB068">
            <w:pPr>
              <w:adjustRightInd w:val="0"/>
              <w:snapToGrid w:val="0"/>
              <w:spacing w:line="460" w:lineRule="exact"/>
              <w:ind w:firstLine="482" w:firstLineChars="200"/>
              <w:rPr>
                <w:b/>
                <w:sz w:val="24"/>
              </w:rPr>
            </w:pPr>
            <w:r>
              <w:rPr>
                <w:rFonts w:hint="eastAsia"/>
                <w:b/>
                <w:sz w:val="24"/>
              </w:rPr>
              <w:t>2</w:t>
            </w:r>
            <w:r>
              <w:rPr>
                <w:b/>
                <w:sz w:val="24"/>
              </w:rPr>
              <w:t>、项目组成情况</w:t>
            </w:r>
          </w:p>
          <w:p w14:paraId="520AB069">
            <w:pPr>
              <w:adjustRightInd w:val="0"/>
              <w:snapToGrid w:val="0"/>
              <w:spacing w:line="460" w:lineRule="exact"/>
              <w:ind w:firstLine="480" w:firstLineChars="200"/>
              <w:rPr>
                <w:sz w:val="24"/>
              </w:rPr>
            </w:pPr>
            <w:r>
              <w:rPr>
                <w:sz w:val="24"/>
              </w:rPr>
              <w:t>该项目主要组成及建设情况见</w:t>
            </w:r>
            <w:r>
              <w:rPr>
                <w:rFonts w:hint="eastAsia"/>
                <w:sz w:val="24"/>
              </w:rPr>
              <w:t>下表</w:t>
            </w:r>
            <w:r>
              <w:rPr>
                <w:sz w:val="24"/>
              </w:rPr>
              <w:t>。</w:t>
            </w:r>
          </w:p>
          <w:p w14:paraId="520AB06A">
            <w:pPr>
              <w:adjustRightInd w:val="0"/>
              <w:snapToGrid w:val="0"/>
              <w:spacing w:line="460" w:lineRule="exact"/>
              <w:ind w:firstLine="480" w:firstLineChars="200"/>
              <w:rPr>
                <w:rFonts w:eastAsia="黑体"/>
                <w:sz w:val="24"/>
                <w:lang w:val="pt-BR"/>
              </w:rPr>
            </w:pPr>
            <w:r>
              <w:rPr>
                <w:rFonts w:eastAsia="黑体"/>
                <w:bCs/>
                <w:sz w:val="24"/>
              </w:rPr>
              <w:t>表</w:t>
            </w:r>
            <w:r>
              <w:rPr>
                <w:rFonts w:hint="eastAsia" w:eastAsia="黑体"/>
                <w:bCs/>
                <w:sz w:val="24"/>
              </w:rPr>
              <w:t>11</w:t>
            </w:r>
            <w:r>
              <w:rPr>
                <w:rFonts w:eastAsia="黑体"/>
                <w:bCs/>
                <w:sz w:val="24"/>
              </w:rPr>
              <w:t xml:space="preserve">                  </w:t>
            </w:r>
            <w:r>
              <w:rPr>
                <w:rFonts w:hint="eastAsia" w:eastAsia="黑体"/>
                <w:bCs/>
                <w:sz w:val="24"/>
              </w:rPr>
              <w:t xml:space="preserve"> </w:t>
            </w:r>
            <w:r>
              <w:rPr>
                <w:rFonts w:eastAsia="黑体"/>
                <w:bCs/>
                <w:sz w:val="24"/>
              </w:rPr>
              <w:t>项目组成一览表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293"/>
              <w:gridCol w:w="503"/>
              <w:gridCol w:w="798"/>
              <w:gridCol w:w="1184"/>
              <w:gridCol w:w="498"/>
              <w:gridCol w:w="167"/>
              <w:gridCol w:w="421"/>
              <w:gridCol w:w="146"/>
              <w:gridCol w:w="3385"/>
              <w:gridCol w:w="674"/>
            </w:tblGrid>
            <w:tr w14:paraId="520AB07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Align w:val="center"/>
                </w:tcPr>
                <w:p w14:paraId="520AB06B">
                  <w:pPr>
                    <w:jc w:val="center"/>
                    <w:rPr>
                      <w:b/>
                      <w:szCs w:val="21"/>
                      <w:lang w:val="pt-BR"/>
                    </w:rPr>
                  </w:pPr>
                  <w:r>
                    <w:rPr>
                      <w:b/>
                      <w:szCs w:val="21"/>
                      <w:lang w:val="pt-BR"/>
                    </w:rPr>
                    <w:t>序号</w:t>
                  </w:r>
                </w:p>
              </w:tc>
              <w:tc>
                <w:tcPr>
                  <w:tcW w:w="503" w:type="dxa"/>
                  <w:vAlign w:val="center"/>
                </w:tcPr>
                <w:p w14:paraId="520AB06C">
                  <w:pPr>
                    <w:jc w:val="center"/>
                    <w:rPr>
                      <w:b/>
                      <w:szCs w:val="21"/>
                      <w:lang w:val="pt-BR"/>
                    </w:rPr>
                  </w:pPr>
                  <w:r>
                    <w:rPr>
                      <w:b/>
                      <w:szCs w:val="21"/>
                      <w:lang w:val="pt-BR"/>
                    </w:rPr>
                    <w:t>项目</w:t>
                  </w:r>
                </w:p>
              </w:tc>
              <w:tc>
                <w:tcPr>
                  <w:tcW w:w="798" w:type="dxa"/>
                  <w:vAlign w:val="center"/>
                </w:tcPr>
                <w:p w14:paraId="520AB06D">
                  <w:pPr>
                    <w:jc w:val="center"/>
                    <w:rPr>
                      <w:b/>
                      <w:szCs w:val="21"/>
                      <w:lang w:val="pt-BR"/>
                    </w:rPr>
                  </w:pPr>
                  <w:r>
                    <w:rPr>
                      <w:rFonts w:hint="eastAsia"/>
                      <w:b/>
                      <w:szCs w:val="21"/>
                      <w:lang w:val="pt-BR"/>
                    </w:rPr>
                    <w:t>厂区</w:t>
                  </w:r>
                </w:p>
              </w:tc>
              <w:tc>
                <w:tcPr>
                  <w:tcW w:w="1184" w:type="dxa"/>
                  <w:vAlign w:val="center"/>
                </w:tcPr>
                <w:p w14:paraId="520AB06E">
                  <w:pPr>
                    <w:jc w:val="center"/>
                    <w:rPr>
                      <w:b/>
                      <w:szCs w:val="21"/>
                      <w:lang w:val="pt-BR"/>
                    </w:rPr>
                  </w:pPr>
                  <w:r>
                    <w:rPr>
                      <w:b/>
                      <w:szCs w:val="21"/>
                      <w:lang w:val="pt-BR"/>
                    </w:rPr>
                    <w:t>内容</w:t>
                  </w:r>
                </w:p>
              </w:tc>
              <w:tc>
                <w:tcPr>
                  <w:tcW w:w="4617" w:type="dxa"/>
                  <w:gridSpan w:val="5"/>
                  <w:vAlign w:val="center"/>
                </w:tcPr>
                <w:p w14:paraId="520AB06F">
                  <w:pPr>
                    <w:jc w:val="center"/>
                    <w:rPr>
                      <w:b/>
                      <w:szCs w:val="21"/>
                      <w:lang w:val="pt-BR"/>
                    </w:rPr>
                  </w:pPr>
                  <w:r>
                    <w:rPr>
                      <w:b/>
                      <w:szCs w:val="21"/>
                      <w:lang w:val="pt-BR"/>
                    </w:rPr>
                    <w:t>数量、规模或要求</w:t>
                  </w:r>
                </w:p>
              </w:tc>
              <w:tc>
                <w:tcPr>
                  <w:tcW w:w="674" w:type="dxa"/>
                  <w:vAlign w:val="center"/>
                </w:tcPr>
                <w:p w14:paraId="520AB070">
                  <w:pPr>
                    <w:jc w:val="center"/>
                    <w:rPr>
                      <w:b/>
                      <w:szCs w:val="21"/>
                      <w:lang w:val="pt-BR"/>
                    </w:rPr>
                  </w:pPr>
                  <w:r>
                    <w:rPr>
                      <w:b/>
                      <w:szCs w:val="21"/>
                      <w:lang w:val="pt-BR"/>
                    </w:rPr>
                    <w:t>备注</w:t>
                  </w:r>
                </w:p>
              </w:tc>
            </w:tr>
            <w:tr w14:paraId="520AB07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restart"/>
                  <w:vAlign w:val="center"/>
                </w:tcPr>
                <w:p w14:paraId="520AB072">
                  <w:pPr>
                    <w:jc w:val="center"/>
                    <w:rPr>
                      <w:szCs w:val="21"/>
                      <w:lang w:val="pt-BR"/>
                    </w:rPr>
                  </w:pPr>
                  <w:r>
                    <w:rPr>
                      <w:szCs w:val="21"/>
                      <w:lang w:val="pt-BR"/>
                    </w:rPr>
                    <w:t>1</w:t>
                  </w:r>
                </w:p>
              </w:tc>
              <w:tc>
                <w:tcPr>
                  <w:tcW w:w="503" w:type="dxa"/>
                  <w:vMerge w:val="restart"/>
                  <w:vAlign w:val="center"/>
                </w:tcPr>
                <w:p w14:paraId="520AB073">
                  <w:pPr>
                    <w:jc w:val="center"/>
                    <w:rPr>
                      <w:szCs w:val="21"/>
                      <w:lang w:val="pt-BR"/>
                    </w:rPr>
                  </w:pPr>
                  <w:r>
                    <w:rPr>
                      <w:szCs w:val="21"/>
                      <w:lang w:val="pt-BR"/>
                    </w:rPr>
                    <w:t>主体工程</w:t>
                  </w:r>
                </w:p>
              </w:tc>
              <w:tc>
                <w:tcPr>
                  <w:tcW w:w="798" w:type="dxa"/>
                  <w:vMerge w:val="restart"/>
                  <w:vAlign w:val="center"/>
                </w:tcPr>
                <w:p w14:paraId="520AB074">
                  <w:pPr>
                    <w:contextualSpacing/>
                    <w:jc w:val="center"/>
                    <w:textAlignment w:val="baseline"/>
                    <w:rPr>
                      <w:kern w:val="0"/>
                      <w:szCs w:val="21"/>
                    </w:rPr>
                  </w:pPr>
                  <w:r>
                    <w:rPr>
                      <w:rFonts w:hint="eastAsia"/>
                      <w:kern w:val="0"/>
                      <w:szCs w:val="21"/>
                    </w:rPr>
                    <w:t>建设路厂区</w:t>
                  </w:r>
                </w:p>
              </w:tc>
              <w:tc>
                <w:tcPr>
                  <w:tcW w:w="1184" w:type="dxa"/>
                  <w:vAlign w:val="center"/>
                </w:tcPr>
                <w:p w14:paraId="520AB075">
                  <w:pPr>
                    <w:contextualSpacing/>
                    <w:jc w:val="center"/>
                    <w:textAlignment w:val="baseline"/>
                    <w:rPr>
                      <w:kern w:val="0"/>
                      <w:szCs w:val="21"/>
                      <w:highlight w:val="yellow"/>
                    </w:rPr>
                  </w:pPr>
                  <w:r>
                    <w:rPr>
                      <w:rFonts w:hint="eastAsia"/>
                      <w:kern w:val="0"/>
                      <w:szCs w:val="21"/>
                    </w:rPr>
                    <w:t>1</w:t>
                  </w:r>
                  <w:r>
                    <w:rPr>
                      <w:kern w:val="0"/>
                      <w:szCs w:val="21"/>
                    </w:rPr>
                    <w:t>53</w:t>
                  </w:r>
                  <w:r>
                    <w:rPr>
                      <w:rFonts w:hint="eastAsia"/>
                      <w:kern w:val="0"/>
                      <w:szCs w:val="21"/>
                    </w:rPr>
                    <w:t>#</w:t>
                  </w:r>
                  <w:r>
                    <w:rPr>
                      <w:kern w:val="0"/>
                      <w:szCs w:val="21"/>
                    </w:rPr>
                    <w:t>-1</w:t>
                  </w:r>
                  <w:r>
                    <w:rPr>
                      <w:rFonts w:hint="eastAsia"/>
                      <w:kern w:val="0"/>
                      <w:szCs w:val="21"/>
                    </w:rPr>
                    <w:t>厂房</w:t>
                  </w:r>
                </w:p>
              </w:tc>
              <w:tc>
                <w:tcPr>
                  <w:tcW w:w="4617" w:type="dxa"/>
                  <w:gridSpan w:val="5"/>
                  <w:vAlign w:val="center"/>
                </w:tcPr>
                <w:p w14:paraId="520AB076">
                  <w:pPr>
                    <w:contextualSpacing/>
                    <w:jc w:val="center"/>
                    <w:textAlignment w:val="baseline"/>
                    <w:rPr>
                      <w:kern w:val="0"/>
                      <w:szCs w:val="21"/>
                      <w:highlight w:val="yellow"/>
                    </w:rPr>
                  </w:pPr>
                  <w:r>
                    <w:rPr>
                      <w:rFonts w:hint="eastAsia"/>
                      <w:szCs w:val="22"/>
                    </w:rPr>
                    <w:t>涉及使用</w:t>
                  </w:r>
                  <w:r>
                    <w:rPr>
                      <w:kern w:val="0"/>
                      <w:szCs w:val="21"/>
                    </w:rPr>
                    <w:t>面积</w:t>
                  </w:r>
                  <w:r>
                    <w:rPr>
                      <w:rFonts w:hint="eastAsia"/>
                      <w:kern w:val="0"/>
                      <w:szCs w:val="21"/>
                    </w:rPr>
                    <w:t>50</w:t>
                  </w:r>
                  <w:r>
                    <w:rPr>
                      <w:kern w:val="0"/>
                      <w:szCs w:val="21"/>
                    </w:rPr>
                    <w:t>m</w:t>
                  </w:r>
                  <w:r>
                    <w:rPr>
                      <w:kern w:val="0"/>
                      <w:szCs w:val="21"/>
                      <w:vertAlign w:val="superscript"/>
                    </w:rPr>
                    <w:t>2</w:t>
                  </w:r>
                </w:p>
              </w:tc>
              <w:tc>
                <w:tcPr>
                  <w:tcW w:w="674" w:type="dxa"/>
                  <w:vMerge w:val="restart"/>
                  <w:vAlign w:val="center"/>
                </w:tcPr>
                <w:p w14:paraId="520AB077">
                  <w:pPr>
                    <w:jc w:val="center"/>
                    <w:rPr>
                      <w:szCs w:val="21"/>
                      <w:highlight w:val="yellow"/>
                    </w:rPr>
                  </w:pPr>
                  <w:r>
                    <w:rPr>
                      <w:rFonts w:hint="eastAsia"/>
                      <w:szCs w:val="21"/>
                    </w:rPr>
                    <w:t>利用现有</w:t>
                  </w:r>
                </w:p>
              </w:tc>
            </w:tr>
            <w:tr w14:paraId="520AB07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79">
                  <w:pPr>
                    <w:jc w:val="center"/>
                    <w:rPr>
                      <w:szCs w:val="21"/>
                      <w:highlight w:val="yellow"/>
                      <w:lang w:val="pt-BR"/>
                    </w:rPr>
                  </w:pPr>
                </w:p>
              </w:tc>
              <w:tc>
                <w:tcPr>
                  <w:tcW w:w="503" w:type="dxa"/>
                  <w:vMerge w:val="continue"/>
                  <w:vAlign w:val="center"/>
                </w:tcPr>
                <w:p w14:paraId="520AB07A">
                  <w:pPr>
                    <w:jc w:val="center"/>
                    <w:rPr>
                      <w:szCs w:val="21"/>
                      <w:highlight w:val="yellow"/>
                      <w:lang w:val="pt-BR"/>
                    </w:rPr>
                  </w:pPr>
                </w:p>
              </w:tc>
              <w:tc>
                <w:tcPr>
                  <w:tcW w:w="798" w:type="dxa"/>
                  <w:vMerge w:val="continue"/>
                  <w:vAlign w:val="center"/>
                </w:tcPr>
                <w:p w14:paraId="520AB07B">
                  <w:pPr>
                    <w:contextualSpacing/>
                    <w:jc w:val="center"/>
                    <w:textAlignment w:val="baseline"/>
                    <w:rPr>
                      <w:kern w:val="0"/>
                      <w:szCs w:val="21"/>
                    </w:rPr>
                  </w:pPr>
                </w:p>
              </w:tc>
              <w:tc>
                <w:tcPr>
                  <w:tcW w:w="1184" w:type="dxa"/>
                  <w:vAlign w:val="center"/>
                </w:tcPr>
                <w:p w14:paraId="520AB07C">
                  <w:pPr>
                    <w:contextualSpacing/>
                    <w:jc w:val="center"/>
                    <w:textAlignment w:val="baseline"/>
                    <w:rPr>
                      <w:kern w:val="0"/>
                      <w:szCs w:val="21"/>
                      <w:highlight w:val="yellow"/>
                    </w:rPr>
                  </w:pPr>
                  <w:r>
                    <w:rPr>
                      <w:rFonts w:hint="eastAsia"/>
                      <w:kern w:val="0"/>
                      <w:szCs w:val="21"/>
                    </w:rPr>
                    <w:t>1205#厂房</w:t>
                  </w:r>
                </w:p>
              </w:tc>
              <w:tc>
                <w:tcPr>
                  <w:tcW w:w="4617" w:type="dxa"/>
                  <w:gridSpan w:val="5"/>
                  <w:vAlign w:val="center"/>
                </w:tcPr>
                <w:p w14:paraId="520AB07D">
                  <w:pPr>
                    <w:contextualSpacing/>
                    <w:jc w:val="center"/>
                    <w:textAlignment w:val="baseline"/>
                    <w:rPr>
                      <w:szCs w:val="22"/>
                      <w:highlight w:val="yellow"/>
                    </w:rPr>
                  </w:pPr>
                  <w:r>
                    <w:rPr>
                      <w:rFonts w:hint="eastAsia"/>
                      <w:szCs w:val="22"/>
                    </w:rPr>
                    <w:t>涉及使用</w:t>
                  </w:r>
                  <w:r>
                    <w:rPr>
                      <w:kern w:val="0"/>
                      <w:szCs w:val="21"/>
                    </w:rPr>
                    <w:t>面积</w:t>
                  </w:r>
                  <w:r>
                    <w:rPr>
                      <w:rFonts w:hint="eastAsia"/>
                      <w:kern w:val="0"/>
                      <w:szCs w:val="21"/>
                    </w:rPr>
                    <w:t>30</w:t>
                  </w:r>
                  <w:r>
                    <w:rPr>
                      <w:kern w:val="0"/>
                      <w:szCs w:val="21"/>
                    </w:rPr>
                    <w:t>m</w:t>
                  </w:r>
                  <w:r>
                    <w:rPr>
                      <w:kern w:val="0"/>
                      <w:szCs w:val="21"/>
                      <w:vertAlign w:val="superscript"/>
                    </w:rPr>
                    <w:t>2</w:t>
                  </w:r>
                </w:p>
              </w:tc>
              <w:tc>
                <w:tcPr>
                  <w:tcW w:w="674" w:type="dxa"/>
                  <w:vMerge w:val="continue"/>
                  <w:vAlign w:val="center"/>
                </w:tcPr>
                <w:p w14:paraId="520AB07E">
                  <w:pPr>
                    <w:jc w:val="center"/>
                    <w:rPr>
                      <w:szCs w:val="21"/>
                      <w:highlight w:val="yellow"/>
                    </w:rPr>
                  </w:pPr>
                </w:p>
              </w:tc>
            </w:tr>
            <w:tr w14:paraId="520AB08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80">
                  <w:pPr>
                    <w:jc w:val="center"/>
                    <w:rPr>
                      <w:szCs w:val="21"/>
                      <w:highlight w:val="yellow"/>
                      <w:lang w:val="pt-BR"/>
                    </w:rPr>
                  </w:pPr>
                </w:p>
              </w:tc>
              <w:tc>
                <w:tcPr>
                  <w:tcW w:w="503" w:type="dxa"/>
                  <w:vMerge w:val="continue"/>
                  <w:vAlign w:val="center"/>
                </w:tcPr>
                <w:p w14:paraId="520AB081">
                  <w:pPr>
                    <w:jc w:val="center"/>
                    <w:rPr>
                      <w:szCs w:val="21"/>
                      <w:highlight w:val="yellow"/>
                      <w:lang w:val="pt-BR"/>
                    </w:rPr>
                  </w:pPr>
                </w:p>
              </w:tc>
              <w:tc>
                <w:tcPr>
                  <w:tcW w:w="798" w:type="dxa"/>
                  <w:vMerge w:val="continue"/>
                  <w:vAlign w:val="center"/>
                </w:tcPr>
                <w:p w14:paraId="520AB082">
                  <w:pPr>
                    <w:contextualSpacing/>
                    <w:jc w:val="center"/>
                    <w:textAlignment w:val="baseline"/>
                    <w:rPr>
                      <w:kern w:val="0"/>
                      <w:szCs w:val="21"/>
                    </w:rPr>
                  </w:pPr>
                </w:p>
              </w:tc>
              <w:tc>
                <w:tcPr>
                  <w:tcW w:w="1184" w:type="dxa"/>
                  <w:vAlign w:val="center"/>
                </w:tcPr>
                <w:p w14:paraId="520AB083">
                  <w:pPr>
                    <w:contextualSpacing/>
                    <w:jc w:val="center"/>
                    <w:textAlignment w:val="baseline"/>
                    <w:rPr>
                      <w:kern w:val="0"/>
                      <w:szCs w:val="21"/>
                    </w:rPr>
                  </w:pPr>
                  <w:r>
                    <w:rPr>
                      <w:rFonts w:hint="eastAsia"/>
                      <w:kern w:val="0"/>
                      <w:szCs w:val="21"/>
                    </w:rPr>
                    <w:t>1202#厂房</w:t>
                  </w:r>
                </w:p>
              </w:tc>
              <w:tc>
                <w:tcPr>
                  <w:tcW w:w="4617" w:type="dxa"/>
                  <w:gridSpan w:val="5"/>
                  <w:vAlign w:val="center"/>
                </w:tcPr>
                <w:p w14:paraId="520AB084">
                  <w:pPr>
                    <w:contextualSpacing/>
                    <w:jc w:val="center"/>
                    <w:textAlignment w:val="baseline"/>
                    <w:rPr>
                      <w:szCs w:val="22"/>
                    </w:rPr>
                  </w:pPr>
                  <w:r>
                    <w:rPr>
                      <w:rFonts w:hint="eastAsia"/>
                      <w:szCs w:val="22"/>
                    </w:rPr>
                    <w:t>涉及使用</w:t>
                  </w:r>
                  <w:r>
                    <w:rPr>
                      <w:kern w:val="0"/>
                      <w:szCs w:val="21"/>
                    </w:rPr>
                    <w:t>面积</w:t>
                  </w:r>
                  <w:r>
                    <w:rPr>
                      <w:rFonts w:hint="eastAsia"/>
                      <w:kern w:val="0"/>
                      <w:szCs w:val="21"/>
                    </w:rPr>
                    <w:t>30</w:t>
                  </w:r>
                  <w:r>
                    <w:rPr>
                      <w:kern w:val="0"/>
                      <w:szCs w:val="21"/>
                    </w:rPr>
                    <w:t>m</w:t>
                  </w:r>
                  <w:r>
                    <w:rPr>
                      <w:kern w:val="0"/>
                      <w:szCs w:val="21"/>
                      <w:vertAlign w:val="superscript"/>
                    </w:rPr>
                    <w:t>2</w:t>
                  </w:r>
                </w:p>
              </w:tc>
              <w:tc>
                <w:tcPr>
                  <w:tcW w:w="674" w:type="dxa"/>
                  <w:vMerge w:val="continue"/>
                  <w:vAlign w:val="center"/>
                </w:tcPr>
                <w:p w14:paraId="520AB085">
                  <w:pPr>
                    <w:jc w:val="center"/>
                    <w:rPr>
                      <w:szCs w:val="21"/>
                    </w:rPr>
                  </w:pPr>
                </w:p>
              </w:tc>
            </w:tr>
            <w:tr w14:paraId="520AB08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87">
                  <w:pPr>
                    <w:jc w:val="center"/>
                    <w:rPr>
                      <w:szCs w:val="21"/>
                      <w:highlight w:val="yellow"/>
                      <w:lang w:val="pt-BR"/>
                    </w:rPr>
                  </w:pPr>
                </w:p>
              </w:tc>
              <w:tc>
                <w:tcPr>
                  <w:tcW w:w="503" w:type="dxa"/>
                  <w:vMerge w:val="continue"/>
                  <w:vAlign w:val="center"/>
                </w:tcPr>
                <w:p w14:paraId="520AB088">
                  <w:pPr>
                    <w:jc w:val="center"/>
                    <w:rPr>
                      <w:szCs w:val="21"/>
                      <w:highlight w:val="yellow"/>
                      <w:lang w:val="pt-BR"/>
                    </w:rPr>
                  </w:pPr>
                </w:p>
              </w:tc>
              <w:tc>
                <w:tcPr>
                  <w:tcW w:w="798" w:type="dxa"/>
                  <w:vMerge w:val="continue"/>
                  <w:vAlign w:val="center"/>
                </w:tcPr>
                <w:p w14:paraId="520AB089">
                  <w:pPr>
                    <w:contextualSpacing/>
                    <w:jc w:val="center"/>
                    <w:textAlignment w:val="baseline"/>
                    <w:rPr>
                      <w:kern w:val="0"/>
                      <w:szCs w:val="21"/>
                    </w:rPr>
                  </w:pPr>
                </w:p>
              </w:tc>
              <w:tc>
                <w:tcPr>
                  <w:tcW w:w="1184" w:type="dxa"/>
                  <w:vAlign w:val="center"/>
                </w:tcPr>
                <w:p w14:paraId="520AB08A">
                  <w:pPr>
                    <w:contextualSpacing/>
                    <w:jc w:val="center"/>
                    <w:textAlignment w:val="baseline"/>
                    <w:rPr>
                      <w:kern w:val="0"/>
                      <w:szCs w:val="21"/>
                    </w:rPr>
                  </w:pPr>
                  <w:r>
                    <w:rPr>
                      <w:rFonts w:hint="eastAsia"/>
                      <w:kern w:val="0"/>
                      <w:szCs w:val="21"/>
                    </w:rPr>
                    <w:t>101#厂房</w:t>
                  </w:r>
                </w:p>
              </w:tc>
              <w:tc>
                <w:tcPr>
                  <w:tcW w:w="4617" w:type="dxa"/>
                  <w:gridSpan w:val="5"/>
                  <w:vAlign w:val="center"/>
                </w:tcPr>
                <w:p w14:paraId="520AB08B">
                  <w:pPr>
                    <w:contextualSpacing/>
                    <w:jc w:val="center"/>
                    <w:textAlignment w:val="baseline"/>
                    <w:rPr>
                      <w:szCs w:val="22"/>
                    </w:rPr>
                  </w:pPr>
                  <w:r>
                    <w:rPr>
                      <w:rFonts w:hint="eastAsia"/>
                      <w:szCs w:val="22"/>
                    </w:rPr>
                    <w:t>涉及使用</w:t>
                  </w:r>
                  <w:r>
                    <w:rPr>
                      <w:kern w:val="0"/>
                      <w:szCs w:val="21"/>
                    </w:rPr>
                    <w:t>面积</w:t>
                  </w:r>
                  <w:r>
                    <w:rPr>
                      <w:rFonts w:hint="eastAsia"/>
                      <w:kern w:val="0"/>
                      <w:szCs w:val="21"/>
                    </w:rPr>
                    <w:t>100</w:t>
                  </w:r>
                  <w:r>
                    <w:rPr>
                      <w:kern w:val="0"/>
                      <w:szCs w:val="21"/>
                    </w:rPr>
                    <w:t>m</w:t>
                  </w:r>
                  <w:r>
                    <w:rPr>
                      <w:kern w:val="0"/>
                      <w:szCs w:val="21"/>
                      <w:vertAlign w:val="superscript"/>
                    </w:rPr>
                    <w:t>2</w:t>
                  </w:r>
                </w:p>
              </w:tc>
              <w:tc>
                <w:tcPr>
                  <w:tcW w:w="674" w:type="dxa"/>
                  <w:vMerge w:val="continue"/>
                  <w:vAlign w:val="center"/>
                </w:tcPr>
                <w:p w14:paraId="520AB08C">
                  <w:pPr>
                    <w:jc w:val="center"/>
                    <w:rPr>
                      <w:szCs w:val="21"/>
                    </w:rPr>
                  </w:pPr>
                </w:p>
              </w:tc>
            </w:tr>
            <w:tr w14:paraId="520AB09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8E">
                  <w:pPr>
                    <w:jc w:val="center"/>
                    <w:rPr>
                      <w:szCs w:val="21"/>
                      <w:highlight w:val="yellow"/>
                      <w:lang w:val="pt-BR"/>
                    </w:rPr>
                  </w:pPr>
                </w:p>
              </w:tc>
              <w:tc>
                <w:tcPr>
                  <w:tcW w:w="503" w:type="dxa"/>
                  <w:vMerge w:val="continue"/>
                  <w:vAlign w:val="center"/>
                </w:tcPr>
                <w:p w14:paraId="520AB08F">
                  <w:pPr>
                    <w:jc w:val="center"/>
                    <w:rPr>
                      <w:szCs w:val="21"/>
                      <w:highlight w:val="yellow"/>
                      <w:lang w:val="pt-BR"/>
                    </w:rPr>
                  </w:pPr>
                </w:p>
              </w:tc>
              <w:tc>
                <w:tcPr>
                  <w:tcW w:w="798" w:type="dxa"/>
                  <w:vMerge w:val="continue"/>
                  <w:vAlign w:val="center"/>
                </w:tcPr>
                <w:p w14:paraId="520AB090">
                  <w:pPr>
                    <w:contextualSpacing/>
                    <w:jc w:val="center"/>
                    <w:textAlignment w:val="baseline"/>
                    <w:rPr>
                      <w:kern w:val="0"/>
                      <w:szCs w:val="21"/>
                    </w:rPr>
                  </w:pPr>
                </w:p>
              </w:tc>
              <w:tc>
                <w:tcPr>
                  <w:tcW w:w="1184" w:type="dxa"/>
                  <w:vAlign w:val="center"/>
                </w:tcPr>
                <w:p w14:paraId="520AB091">
                  <w:pPr>
                    <w:contextualSpacing/>
                    <w:jc w:val="center"/>
                    <w:textAlignment w:val="baseline"/>
                    <w:rPr>
                      <w:kern w:val="0"/>
                      <w:szCs w:val="21"/>
                    </w:rPr>
                  </w:pPr>
                  <w:r>
                    <w:rPr>
                      <w:rFonts w:hint="eastAsia"/>
                      <w:kern w:val="0"/>
                      <w:szCs w:val="21"/>
                    </w:rPr>
                    <w:t>201#厂房</w:t>
                  </w:r>
                </w:p>
              </w:tc>
              <w:tc>
                <w:tcPr>
                  <w:tcW w:w="4617" w:type="dxa"/>
                  <w:gridSpan w:val="5"/>
                  <w:vAlign w:val="center"/>
                </w:tcPr>
                <w:p w14:paraId="520AB092">
                  <w:pPr>
                    <w:contextualSpacing/>
                    <w:jc w:val="center"/>
                    <w:textAlignment w:val="baseline"/>
                    <w:rPr>
                      <w:szCs w:val="22"/>
                    </w:rPr>
                  </w:pPr>
                  <w:r>
                    <w:rPr>
                      <w:rFonts w:hint="eastAsia"/>
                      <w:szCs w:val="22"/>
                    </w:rPr>
                    <w:t>涉及使用</w:t>
                  </w:r>
                  <w:r>
                    <w:rPr>
                      <w:kern w:val="0"/>
                      <w:szCs w:val="21"/>
                    </w:rPr>
                    <w:t>面积</w:t>
                  </w:r>
                  <w:r>
                    <w:rPr>
                      <w:rFonts w:hint="eastAsia"/>
                      <w:kern w:val="0"/>
                      <w:szCs w:val="21"/>
                    </w:rPr>
                    <w:t>800</w:t>
                  </w:r>
                  <w:r>
                    <w:rPr>
                      <w:kern w:val="0"/>
                      <w:szCs w:val="21"/>
                    </w:rPr>
                    <w:t>m</w:t>
                  </w:r>
                  <w:r>
                    <w:rPr>
                      <w:kern w:val="0"/>
                      <w:szCs w:val="21"/>
                      <w:vertAlign w:val="superscript"/>
                    </w:rPr>
                    <w:t>2</w:t>
                  </w:r>
                </w:p>
              </w:tc>
              <w:tc>
                <w:tcPr>
                  <w:tcW w:w="674" w:type="dxa"/>
                  <w:vMerge w:val="continue"/>
                  <w:vAlign w:val="center"/>
                </w:tcPr>
                <w:p w14:paraId="520AB093">
                  <w:pPr>
                    <w:jc w:val="center"/>
                    <w:rPr>
                      <w:szCs w:val="21"/>
                    </w:rPr>
                  </w:pPr>
                </w:p>
              </w:tc>
            </w:tr>
            <w:tr w14:paraId="520AB09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95">
                  <w:pPr>
                    <w:jc w:val="center"/>
                    <w:rPr>
                      <w:szCs w:val="21"/>
                      <w:highlight w:val="yellow"/>
                      <w:lang w:val="pt-BR"/>
                    </w:rPr>
                  </w:pPr>
                </w:p>
              </w:tc>
              <w:tc>
                <w:tcPr>
                  <w:tcW w:w="503" w:type="dxa"/>
                  <w:vMerge w:val="continue"/>
                  <w:vAlign w:val="center"/>
                </w:tcPr>
                <w:p w14:paraId="520AB096">
                  <w:pPr>
                    <w:jc w:val="center"/>
                    <w:rPr>
                      <w:szCs w:val="21"/>
                      <w:highlight w:val="yellow"/>
                      <w:lang w:val="pt-BR"/>
                    </w:rPr>
                  </w:pPr>
                </w:p>
              </w:tc>
              <w:tc>
                <w:tcPr>
                  <w:tcW w:w="798" w:type="dxa"/>
                  <w:vMerge w:val="continue"/>
                  <w:vAlign w:val="center"/>
                </w:tcPr>
                <w:p w14:paraId="520AB097">
                  <w:pPr>
                    <w:contextualSpacing/>
                    <w:jc w:val="center"/>
                    <w:textAlignment w:val="baseline"/>
                    <w:rPr>
                      <w:kern w:val="0"/>
                      <w:szCs w:val="21"/>
                    </w:rPr>
                  </w:pPr>
                </w:p>
              </w:tc>
              <w:tc>
                <w:tcPr>
                  <w:tcW w:w="1184" w:type="dxa"/>
                  <w:vAlign w:val="center"/>
                </w:tcPr>
                <w:p w14:paraId="520AB098">
                  <w:pPr>
                    <w:contextualSpacing/>
                    <w:jc w:val="center"/>
                    <w:textAlignment w:val="baseline"/>
                    <w:rPr>
                      <w:kern w:val="0"/>
                      <w:szCs w:val="21"/>
                    </w:rPr>
                  </w:pPr>
                  <w:r>
                    <w:rPr>
                      <w:rFonts w:hint="eastAsia"/>
                      <w:kern w:val="0"/>
                      <w:szCs w:val="21"/>
                    </w:rPr>
                    <w:t>105#厂房</w:t>
                  </w:r>
                </w:p>
              </w:tc>
              <w:tc>
                <w:tcPr>
                  <w:tcW w:w="4617" w:type="dxa"/>
                  <w:gridSpan w:val="5"/>
                  <w:vAlign w:val="center"/>
                </w:tcPr>
                <w:p w14:paraId="520AB099">
                  <w:pPr>
                    <w:contextualSpacing/>
                    <w:jc w:val="center"/>
                    <w:textAlignment w:val="baseline"/>
                    <w:rPr>
                      <w:szCs w:val="22"/>
                    </w:rPr>
                  </w:pPr>
                  <w:r>
                    <w:rPr>
                      <w:rFonts w:hint="eastAsia"/>
                      <w:szCs w:val="22"/>
                    </w:rPr>
                    <w:t>涉及使用</w:t>
                  </w:r>
                  <w:r>
                    <w:rPr>
                      <w:szCs w:val="22"/>
                    </w:rPr>
                    <w:t>面积</w:t>
                  </w:r>
                  <w:r>
                    <w:rPr>
                      <w:rFonts w:hint="eastAsia"/>
                      <w:szCs w:val="22"/>
                    </w:rPr>
                    <w:t>50</w:t>
                  </w:r>
                  <w:r>
                    <w:rPr>
                      <w:szCs w:val="22"/>
                    </w:rPr>
                    <w:t>m</w:t>
                  </w:r>
                  <w:r>
                    <w:rPr>
                      <w:szCs w:val="22"/>
                      <w:vertAlign w:val="superscript"/>
                    </w:rPr>
                    <w:t>2</w:t>
                  </w:r>
                </w:p>
              </w:tc>
              <w:tc>
                <w:tcPr>
                  <w:tcW w:w="674" w:type="dxa"/>
                  <w:vMerge w:val="continue"/>
                  <w:vAlign w:val="center"/>
                </w:tcPr>
                <w:p w14:paraId="520AB09A">
                  <w:pPr>
                    <w:jc w:val="center"/>
                    <w:rPr>
                      <w:szCs w:val="21"/>
                    </w:rPr>
                  </w:pPr>
                </w:p>
              </w:tc>
            </w:tr>
            <w:tr w14:paraId="520AB0A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9C">
                  <w:pPr>
                    <w:jc w:val="center"/>
                    <w:rPr>
                      <w:szCs w:val="21"/>
                      <w:highlight w:val="yellow"/>
                      <w:lang w:val="pt-BR"/>
                    </w:rPr>
                  </w:pPr>
                </w:p>
              </w:tc>
              <w:tc>
                <w:tcPr>
                  <w:tcW w:w="503" w:type="dxa"/>
                  <w:vMerge w:val="continue"/>
                  <w:vAlign w:val="center"/>
                </w:tcPr>
                <w:p w14:paraId="520AB09D">
                  <w:pPr>
                    <w:jc w:val="center"/>
                    <w:rPr>
                      <w:szCs w:val="21"/>
                      <w:highlight w:val="yellow"/>
                      <w:lang w:val="pt-BR"/>
                    </w:rPr>
                  </w:pPr>
                </w:p>
              </w:tc>
              <w:tc>
                <w:tcPr>
                  <w:tcW w:w="798" w:type="dxa"/>
                  <w:vMerge w:val="continue"/>
                  <w:vAlign w:val="center"/>
                </w:tcPr>
                <w:p w14:paraId="520AB09E">
                  <w:pPr>
                    <w:contextualSpacing/>
                    <w:jc w:val="center"/>
                    <w:textAlignment w:val="baseline"/>
                    <w:rPr>
                      <w:kern w:val="0"/>
                      <w:szCs w:val="21"/>
                    </w:rPr>
                  </w:pPr>
                </w:p>
              </w:tc>
              <w:tc>
                <w:tcPr>
                  <w:tcW w:w="1184" w:type="dxa"/>
                  <w:vAlign w:val="center"/>
                </w:tcPr>
                <w:p w14:paraId="520AB09F">
                  <w:pPr>
                    <w:contextualSpacing/>
                    <w:jc w:val="center"/>
                    <w:textAlignment w:val="baseline"/>
                    <w:rPr>
                      <w:kern w:val="0"/>
                      <w:szCs w:val="21"/>
                    </w:rPr>
                  </w:pPr>
                  <w:r>
                    <w:rPr>
                      <w:rFonts w:hint="eastAsia"/>
                      <w:kern w:val="0"/>
                      <w:szCs w:val="21"/>
                    </w:rPr>
                    <w:t>101#厂房</w:t>
                  </w:r>
                </w:p>
              </w:tc>
              <w:tc>
                <w:tcPr>
                  <w:tcW w:w="4617" w:type="dxa"/>
                  <w:gridSpan w:val="5"/>
                  <w:vAlign w:val="center"/>
                </w:tcPr>
                <w:p w14:paraId="520AB0A0">
                  <w:pPr>
                    <w:contextualSpacing/>
                    <w:jc w:val="center"/>
                    <w:textAlignment w:val="baseline"/>
                    <w:rPr>
                      <w:szCs w:val="22"/>
                    </w:rPr>
                  </w:pPr>
                  <w:r>
                    <w:rPr>
                      <w:rFonts w:hint="eastAsia"/>
                      <w:szCs w:val="22"/>
                    </w:rPr>
                    <w:t>涉及使用</w:t>
                  </w:r>
                  <w:r>
                    <w:rPr>
                      <w:szCs w:val="22"/>
                    </w:rPr>
                    <w:t>面积</w:t>
                  </w:r>
                  <w:r>
                    <w:rPr>
                      <w:rFonts w:hint="eastAsia"/>
                      <w:szCs w:val="22"/>
                    </w:rPr>
                    <w:t>100</w:t>
                  </w:r>
                  <w:r>
                    <w:rPr>
                      <w:szCs w:val="22"/>
                    </w:rPr>
                    <w:t>m</w:t>
                  </w:r>
                  <w:r>
                    <w:rPr>
                      <w:szCs w:val="22"/>
                      <w:vertAlign w:val="superscript"/>
                    </w:rPr>
                    <w:t>2</w:t>
                  </w:r>
                </w:p>
              </w:tc>
              <w:tc>
                <w:tcPr>
                  <w:tcW w:w="674" w:type="dxa"/>
                  <w:vMerge w:val="continue"/>
                  <w:vAlign w:val="center"/>
                </w:tcPr>
                <w:p w14:paraId="520AB0A1">
                  <w:pPr>
                    <w:jc w:val="center"/>
                    <w:rPr>
                      <w:szCs w:val="21"/>
                    </w:rPr>
                  </w:pPr>
                </w:p>
              </w:tc>
            </w:tr>
            <w:tr w14:paraId="520AB0A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A3">
                  <w:pPr>
                    <w:jc w:val="center"/>
                    <w:rPr>
                      <w:szCs w:val="21"/>
                      <w:highlight w:val="yellow"/>
                      <w:lang w:val="pt-BR"/>
                    </w:rPr>
                  </w:pPr>
                </w:p>
              </w:tc>
              <w:tc>
                <w:tcPr>
                  <w:tcW w:w="503" w:type="dxa"/>
                  <w:vMerge w:val="continue"/>
                  <w:vAlign w:val="center"/>
                </w:tcPr>
                <w:p w14:paraId="520AB0A4">
                  <w:pPr>
                    <w:jc w:val="center"/>
                    <w:rPr>
                      <w:szCs w:val="21"/>
                      <w:highlight w:val="yellow"/>
                      <w:lang w:val="pt-BR"/>
                    </w:rPr>
                  </w:pPr>
                </w:p>
              </w:tc>
              <w:tc>
                <w:tcPr>
                  <w:tcW w:w="798" w:type="dxa"/>
                  <w:vMerge w:val="continue"/>
                  <w:vAlign w:val="center"/>
                </w:tcPr>
                <w:p w14:paraId="520AB0A5">
                  <w:pPr>
                    <w:contextualSpacing/>
                    <w:jc w:val="center"/>
                    <w:textAlignment w:val="baseline"/>
                    <w:rPr>
                      <w:kern w:val="0"/>
                      <w:szCs w:val="21"/>
                    </w:rPr>
                  </w:pPr>
                </w:p>
              </w:tc>
              <w:tc>
                <w:tcPr>
                  <w:tcW w:w="1184" w:type="dxa"/>
                  <w:vAlign w:val="center"/>
                </w:tcPr>
                <w:p w14:paraId="520AB0A6">
                  <w:pPr>
                    <w:contextualSpacing/>
                    <w:jc w:val="center"/>
                    <w:textAlignment w:val="baseline"/>
                    <w:rPr>
                      <w:kern w:val="0"/>
                      <w:szCs w:val="21"/>
                    </w:rPr>
                  </w:pPr>
                  <w:r>
                    <w:rPr>
                      <w:rFonts w:hint="eastAsia"/>
                      <w:kern w:val="0"/>
                      <w:szCs w:val="21"/>
                    </w:rPr>
                    <w:t>1206#厂房</w:t>
                  </w:r>
                </w:p>
              </w:tc>
              <w:tc>
                <w:tcPr>
                  <w:tcW w:w="4617" w:type="dxa"/>
                  <w:gridSpan w:val="5"/>
                  <w:vAlign w:val="center"/>
                </w:tcPr>
                <w:p w14:paraId="520AB0A7">
                  <w:pPr>
                    <w:contextualSpacing/>
                    <w:jc w:val="center"/>
                    <w:textAlignment w:val="baseline"/>
                    <w:rPr>
                      <w:szCs w:val="22"/>
                    </w:rPr>
                  </w:pPr>
                  <w:r>
                    <w:rPr>
                      <w:rFonts w:hint="eastAsia"/>
                      <w:szCs w:val="22"/>
                    </w:rPr>
                    <w:t>涉及使用</w:t>
                  </w:r>
                  <w:r>
                    <w:rPr>
                      <w:szCs w:val="22"/>
                    </w:rPr>
                    <w:t>面积</w:t>
                  </w:r>
                  <w:r>
                    <w:rPr>
                      <w:rFonts w:hint="eastAsia"/>
                      <w:szCs w:val="22"/>
                    </w:rPr>
                    <w:t>100</w:t>
                  </w:r>
                  <w:r>
                    <w:rPr>
                      <w:szCs w:val="22"/>
                    </w:rPr>
                    <w:t>m</w:t>
                  </w:r>
                  <w:r>
                    <w:rPr>
                      <w:szCs w:val="22"/>
                      <w:vertAlign w:val="superscript"/>
                    </w:rPr>
                    <w:t>2</w:t>
                  </w:r>
                </w:p>
              </w:tc>
              <w:tc>
                <w:tcPr>
                  <w:tcW w:w="674" w:type="dxa"/>
                  <w:vMerge w:val="continue"/>
                  <w:vAlign w:val="center"/>
                </w:tcPr>
                <w:p w14:paraId="520AB0A8">
                  <w:pPr>
                    <w:jc w:val="center"/>
                    <w:rPr>
                      <w:szCs w:val="21"/>
                    </w:rPr>
                  </w:pPr>
                </w:p>
              </w:tc>
            </w:tr>
            <w:tr w14:paraId="520AB0B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AA">
                  <w:pPr>
                    <w:jc w:val="center"/>
                    <w:rPr>
                      <w:szCs w:val="21"/>
                      <w:highlight w:val="yellow"/>
                      <w:lang w:val="pt-BR"/>
                    </w:rPr>
                  </w:pPr>
                </w:p>
              </w:tc>
              <w:tc>
                <w:tcPr>
                  <w:tcW w:w="503" w:type="dxa"/>
                  <w:vMerge w:val="continue"/>
                  <w:vAlign w:val="center"/>
                </w:tcPr>
                <w:p w14:paraId="520AB0AB">
                  <w:pPr>
                    <w:jc w:val="center"/>
                    <w:rPr>
                      <w:szCs w:val="21"/>
                      <w:highlight w:val="yellow"/>
                      <w:lang w:val="pt-BR"/>
                    </w:rPr>
                  </w:pPr>
                </w:p>
              </w:tc>
              <w:tc>
                <w:tcPr>
                  <w:tcW w:w="798" w:type="dxa"/>
                  <w:vMerge w:val="continue"/>
                  <w:vAlign w:val="center"/>
                </w:tcPr>
                <w:p w14:paraId="520AB0AC">
                  <w:pPr>
                    <w:contextualSpacing/>
                    <w:jc w:val="center"/>
                    <w:textAlignment w:val="baseline"/>
                    <w:rPr>
                      <w:kern w:val="0"/>
                      <w:szCs w:val="21"/>
                    </w:rPr>
                  </w:pPr>
                </w:p>
              </w:tc>
              <w:tc>
                <w:tcPr>
                  <w:tcW w:w="1184" w:type="dxa"/>
                  <w:vAlign w:val="center"/>
                </w:tcPr>
                <w:p w14:paraId="520AB0AD">
                  <w:pPr>
                    <w:contextualSpacing/>
                    <w:jc w:val="center"/>
                    <w:textAlignment w:val="baseline"/>
                    <w:rPr>
                      <w:kern w:val="0"/>
                      <w:szCs w:val="21"/>
                    </w:rPr>
                  </w:pPr>
                  <w:r>
                    <w:rPr>
                      <w:rFonts w:hint="eastAsia"/>
                      <w:kern w:val="0"/>
                      <w:szCs w:val="21"/>
                    </w:rPr>
                    <w:t>114配电站</w:t>
                  </w:r>
                </w:p>
              </w:tc>
              <w:tc>
                <w:tcPr>
                  <w:tcW w:w="4617" w:type="dxa"/>
                  <w:gridSpan w:val="5"/>
                  <w:vAlign w:val="center"/>
                </w:tcPr>
                <w:p w14:paraId="520AB0AE">
                  <w:pPr>
                    <w:contextualSpacing/>
                    <w:jc w:val="center"/>
                    <w:textAlignment w:val="baseline"/>
                    <w:rPr>
                      <w:szCs w:val="22"/>
                    </w:rPr>
                  </w:pPr>
                  <w:r>
                    <w:rPr>
                      <w:rFonts w:hint="eastAsia"/>
                      <w:szCs w:val="22"/>
                    </w:rPr>
                    <w:t>涉及使用</w:t>
                  </w:r>
                  <w:r>
                    <w:rPr>
                      <w:kern w:val="0"/>
                      <w:szCs w:val="21"/>
                    </w:rPr>
                    <w:t>面积</w:t>
                  </w:r>
                  <w:r>
                    <w:rPr>
                      <w:rFonts w:hint="eastAsia"/>
                      <w:kern w:val="0"/>
                      <w:szCs w:val="21"/>
                    </w:rPr>
                    <w:t>30</w:t>
                  </w:r>
                  <w:r>
                    <w:rPr>
                      <w:kern w:val="0"/>
                      <w:szCs w:val="21"/>
                    </w:rPr>
                    <w:t>m</w:t>
                  </w:r>
                  <w:r>
                    <w:rPr>
                      <w:kern w:val="0"/>
                      <w:szCs w:val="21"/>
                      <w:vertAlign w:val="superscript"/>
                    </w:rPr>
                    <w:t>2</w:t>
                  </w:r>
                </w:p>
              </w:tc>
              <w:tc>
                <w:tcPr>
                  <w:tcW w:w="674" w:type="dxa"/>
                  <w:vMerge w:val="continue"/>
                  <w:vAlign w:val="center"/>
                </w:tcPr>
                <w:p w14:paraId="520AB0AF">
                  <w:pPr>
                    <w:jc w:val="center"/>
                    <w:rPr>
                      <w:szCs w:val="21"/>
                    </w:rPr>
                  </w:pPr>
                </w:p>
              </w:tc>
            </w:tr>
            <w:tr w14:paraId="520AB0B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B1">
                  <w:pPr>
                    <w:jc w:val="center"/>
                    <w:rPr>
                      <w:szCs w:val="21"/>
                      <w:highlight w:val="yellow"/>
                      <w:lang w:val="pt-BR"/>
                    </w:rPr>
                  </w:pPr>
                </w:p>
              </w:tc>
              <w:tc>
                <w:tcPr>
                  <w:tcW w:w="503" w:type="dxa"/>
                  <w:vMerge w:val="continue"/>
                  <w:vAlign w:val="center"/>
                </w:tcPr>
                <w:p w14:paraId="520AB0B2">
                  <w:pPr>
                    <w:jc w:val="center"/>
                    <w:rPr>
                      <w:szCs w:val="21"/>
                      <w:highlight w:val="yellow"/>
                      <w:lang w:val="pt-BR"/>
                    </w:rPr>
                  </w:pPr>
                </w:p>
              </w:tc>
              <w:tc>
                <w:tcPr>
                  <w:tcW w:w="798" w:type="dxa"/>
                  <w:vMerge w:val="continue"/>
                  <w:vAlign w:val="center"/>
                </w:tcPr>
                <w:p w14:paraId="520AB0B3">
                  <w:pPr>
                    <w:contextualSpacing/>
                    <w:jc w:val="center"/>
                    <w:textAlignment w:val="baseline"/>
                    <w:rPr>
                      <w:kern w:val="0"/>
                      <w:szCs w:val="21"/>
                    </w:rPr>
                  </w:pPr>
                </w:p>
              </w:tc>
              <w:tc>
                <w:tcPr>
                  <w:tcW w:w="1184" w:type="dxa"/>
                  <w:vAlign w:val="center"/>
                </w:tcPr>
                <w:p w14:paraId="520AB0B4">
                  <w:pPr>
                    <w:contextualSpacing/>
                    <w:jc w:val="center"/>
                    <w:textAlignment w:val="baseline"/>
                    <w:rPr>
                      <w:kern w:val="0"/>
                      <w:szCs w:val="21"/>
                    </w:rPr>
                  </w:pPr>
                  <w:r>
                    <w:rPr>
                      <w:rFonts w:hint="eastAsia"/>
                      <w:kern w:val="0"/>
                      <w:szCs w:val="21"/>
                    </w:rPr>
                    <w:t>科研大楼</w:t>
                  </w:r>
                </w:p>
              </w:tc>
              <w:tc>
                <w:tcPr>
                  <w:tcW w:w="4617" w:type="dxa"/>
                  <w:gridSpan w:val="5"/>
                  <w:vAlign w:val="center"/>
                </w:tcPr>
                <w:p w14:paraId="520AB0B5">
                  <w:pPr>
                    <w:contextualSpacing/>
                    <w:jc w:val="center"/>
                    <w:textAlignment w:val="baseline"/>
                    <w:rPr>
                      <w:szCs w:val="22"/>
                    </w:rPr>
                  </w:pPr>
                  <w:r>
                    <w:rPr>
                      <w:rFonts w:hint="eastAsia"/>
                      <w:szCs w:val="22"/>
                    </w:rPr>
                    <w:t>涉及使用</w:t>
                  </w:r>
                  <w:r>
                    <w:rPr>
                      <w:kern w:val="0"/>
                      <w:szCs w:val="21"/>
                    </w:rPr>
                    <w:t>面积</w:t>
                  </w:r>
                  <w:r>
                    <w:rPr>
                      <w:rFonts w:hint="eastAsia"/>
                      <w:kern w:val="0"/>
                      <w:szCs w:val="21"/>
                    </w:rPr>
                    <w:t>1000</w:t>
                  </w:r>
                  <w:r>
                    <w:rPr>
                      <w:kern w:val="0"/>
                      <w:szCs w:val="21"/>
                    </w:rPr>
                    <w:t>m</w:t>
                  </w:r>
                  <w:r>
                    <w:rPr>
                      <w:kern w:val="0"/>
                      <w:szCs w:val="21"/>
                      <w:vertAlign w:val="superscript"/>
                    </w:rPr>
                    <w:t>2</w:t>
                  </w:r>
                </w:p>
              </w:tc>
              <w:tc>
                <w:tcPr>
                  <w:tcW w:w="674" w:type="dxa"/>
                  <w:vMerge w:val="continue"/>
                  <w:vAlign w:val="center"/>
                </w:tcPr>
                <w:p w14:paraId="520AB0B6">
                  <w:pPr>
                    <w:jc w:val="center"/>
                    <w:rPr>
                      <w:szCs w:val="21"/>
                    </w:rPr>
                  </w:pPr>
                </w:p>
              </w:tc>
            </w:tr>
            <w:tr w14:paraId="520AB0B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B8">
                  <w:pPr>
                    <w:jc w:val="center"/>
                    <w:rPr>
                      <w:szCs w:val="21"/>
                      <w:highlight w:val="yellow"/>
                      <w:lang w:val="pt-BR"/>
                    </w:rPr>
                  </w:pPr>
                </w:p>
              </w:tc>
              <w:tc>
                <w:tcPr>
                  <w:tcW w:w="503" w:type="dxa"/>
                  <w:vMerge w:val="continue"/>
                  <w:vAlign w:val="center"/>
                </w:tcPr>
                <w:p w14:paraId="520AB0B9">
                  <w:pPr>
                    <w:jc w:val="center"/>
                    <w:rPr>
                      <w:szCs w:val="21"/>
                      <w:highlight w:val="yellow"/>
                      <w:lang w:val="pt-BR"/>
                    </w:rPr>
                  </w:pPr>
                </w:p>
              </w:tc>
              <w:tc>
                <w:tcPr>
                  <w:tcW w:w="798" w:type="dxa"/>
                  <w:vMerge w:val="continue"/>
                  <w:vAlign w:val="center"/>
                </w:tcPr>
                <w:p w14:paraId="520AB0BA">
                  <w:pPr>
                    <w:contextualSpacing/>
                    <w:jc w:val="center"/>
                    <w:textAlignment w:val="baseline"/>
                    <w:rPr>
                      <w:kern w:val="0"/>
                      <w:szCs w:val="21"/>
                    </w:rPr>
                  </w:pPr>
                </w:p>
              </w:tc>
              <w:tc>
                <w:tcPr>
                  <w:tcW w:w="1184" w:type="dxa"/>
                  <w:vAlign w:val="center"/>
                </w:tcPr>
                <w:p w14:paraId="520AB0BB">
                  <w:pPr>
                    <w:contextualSpacing/>
                    <w:jc w:val="center"/>
                    <w:textAlignment w:val="baseline"/>
                    <w:rPr>
                      <w:kern w:val="0"/>
                      <w:szCs w:val="21"/>
                    </w:rPr>
                  </w:pPr>
                  <w:r>
                    <w:rPr>
                      <w:rFonts w:hint="eastAsia"/>
                      <w:kern w:val="0"/>
                      <w:szCs w:val="21"/>
                    </w:rPr>
                    <w:t>1208#厂房</w:t>
                  </w:r>
                </w:p>
              </w:tc>
              <w:tc>
                <w:tcPr>
                  <w:tcW w:w="4617" w:type="dxa"/>
                  <w:gridSpan w:val="5"/>
                  <w:vAlign w:val="center"/>
                </w:tcPr>
                <w:p w14:paraId="520AB0BC">
                  <w:pPr>
                    <w:contextualSpacing/>
                    <w:jc w:val="center"/>
                    <w:textAlignment w:val="baseline"/>
                    <w:rPr>
                      <w:szCs w:val="22"/>
                    </w:rPr>
                  </w:pPr>
                  <w:r>
                    <w:rPr>
                      <w:rFonts w:hint="eastAsia"/>
                      <w:szCs w:val="22"/>
                    </w:rPr>
                    <w:t>涉及使用</w:t>
                  </w:r>
                  <w:r>
                    <w:rPr>
                      <w:kern w:val="0"/>
                      <w:szCs w:val="21"/>
                    </w:rPr>
                    <w:t>面积</w:t>
                  </w:r>
                  <w:r>
                    <w:rPr>
                      <w:rFonts w:hint="eastAsia"/>
                      <w:kern w:val="0"/>
                      <w:szCs w:val="21"/>
                    </w:rPr>
                    <w:t>100</w:t>
                  </w:r>
                  <w:r>
                    <w:rPr>
                      <w:kern w:val="0"/>
                      <w:szCs w:val="21"/>
                    </w:rPr>
                    <w:t>m</w:t>
                  </w:r>
                  <w:r>
                    <w:rPr>
                      <w:kern w:val="0"/>
                      <w:szCs w:val="21"/>
                      <w:vertAlign w:val="superscript"/>
                    </w:rPr>
                    <w:t>2</w:t>
                  </w:r>
                </w:p>
              </w:tc>
              <w:tc>
                <w:tcPr>
                  <w:tcW w:w="674" w:type="dxa"/>
                  <w:vMerge w:val="continue"/>
                  <w:vAlign w:val="center"/>
                </w:tcPr>
                <w:p w14:paraId="520AB0BD">
                  <w:pPr>
                    <w:jc w:val="center"/>
                    <w:rPr>
                      <w:szCs w:val="21"/>
                    </w:rPr>
                  </w:pPr>
                </w:p>
              </w:tc>
            </w:tr>
            <w:tr w14:paraId="520AB0C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BF">
                  <w:pPr>
                    <w:jc w:val="center"/>
                    <w:rPr>
                      <w:szCs w:val="21"/>
                      <w:highlight w:val="yellow"/>
                      <w:lang w:val="pt-BR"/>
                    </w:rPr>
                  </w:pPr>
                </w:p>
              </w:tc>
              <w:tc>
                <w:tcPr>
                  <w:tcW w:w="503" w:type="dxa"/>
                  <w:vMerge w:val="continue"/>
                  <w:vAlign w:val="center"/>
                </w:tcPr>
                <w:p w14:paraId="520AB0C0">
                  <w:pPr>
                    <w:jc w:val="center"/>
                    <w:rPr>
                      <w:szCs w:val="21"/>
                      <w:highlight w:val="yellow"/>
                      <w:lang w:val="pt-BR"/>
                    </w:rPr>
                  </w:pPr>
                </w:p>
              </w:tc>
              <w:tc>
                <w:tcPr>
                  <w:tcW w:w="798" w:type="dxa"/>
                  <w:vMerge w:val="restart"/>
                  <w:vAlign w:val="center"/>
                </w:tcPr>
                <w:p w14:paraId="520AB0C1">
                  <w:pPr>
                    <w:contextualSpacing/>
                    <w:jc w:val="center"/>
                    <w:textAlignment w:val="baseline"/>
                    <w:rPr>
                      <w:kern w:val="0"/>
                      <w:szCs w:val="21"/>
                    </w:rPr>
                  </w:pPr>
                  <w:r>
                    <w:rPr>
                      <w:rFonts w:hint="eastAsia"/>
                      <w:kern w:val="0"/>
                      <w:szCs w:val="21"/>
                    </w:rPr>
                    <w:t>解放路厂区</w:t>
                  </w:r>
                </w:p>
              </w:tc>
              <w:tc>
                <w:tcPr>
                  <w:tcW w:w="1184" w:type="dxa"/>
                  <w:vAlign w:val="center"/>
                </w:tcPr>
                <w:p w14:paraId="520AB0C2">
                  <w:pPr>
                    <w:contextualSpacing/>
                    <w:jc w:val="center"/>
                    <w:textAlignment w:val="baseline"/>
                    <w:rPr>
                      <w:kern w:val="0"/>
                      <w:szCs w:val="21"/>
                    </w:rPr>
                  </w:pPr>
                  <w:r>
                    <w:rPr>
                      <w:rFonts w:hint="eastAsia"/>
                      <w:kern w:val="0"/>
                      <w:szCs w:val="21"/>
                    </w:rPr>
                    <w:t>2209厂房</w:t>
                  </w:r>
                </w:p>
              </w:tc>
              <w:tc>
                <w:tcPr>
                  <w:tcW w:w="4617" w:type="dxa"/>
                  <w:gridSpan w:val="5"/>
                  <w:vAlign w:val="center"/>
                </w:tcPr>
                <w:p w14:paraId="520AB0C3">
                  <w:pPr>
                    <w:contextualSpacing/>
                    <w:jc w:val="center"/>
                    <w:textAlignment w:val="baseline"/>
                    <w:rPr>
                      <w:szCs w:val="22"/>
                    </w:rPr>
                  </w:pPr>
                  <w:r>
                    <w:rPr>
                      <w:rFonts w:hint="eastAsia"/>
                      <w:szCs w:val="22"/>
                    </w:rPr>
                    <w:t>涉及使用</w:t>
                  </w:r>
                  <w:r>
                    <w:rPr>
                      <w:szCs w:val="22"/>
                    </w:rPr>
                    <w:t>面积</w:t>
                  </w:r>
                  <w:r>
                    <w:rPr>
                      <w:rFonts w:hint="eastAsia"/>
                      <w:szCs w:val="22"/>
                    </w:rPr>
                    <w:t>30</w:t>
                  </w:r>
                  <w:r>
                    <w:rPr>
                      <w:szCs w:val="22"/>
                    </w:rPr>
                    <w:t>m</w:t>
                  </w:r>
                  <w:r>
                    <w:rPr>
                      <w:szCs w:val="22"/>
                      <w:vertAlign w:val="superscript"/>
                    </w:rPr>
                    <w:t>2</w:t>
                  </w:r>
                </w:p>
              </w:tc>
              <w:tc>
                <w:tcPr>
                  <w:tcW w:w="674" w:type="dxa"/>
                  <w:vMerge w:val="continue"/>
                  <w:vAlign w:val="center"/>
                </w:tcPr>
                <w:p w14:paraId="520AB0C4">
                  <w:pPr>
                    <w:jc w:val="center"/>
                    <w:rPr>
                      <w:szCs w:val="21"/>
                    </w:rPr>
                  </w:pPr>
                </w:p>
              </w:tc>
            </w:tr>
            <w:tr w14:paraId="520AB0C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293" w:type="dxa"/>
                  <w:vMerge w:val="continue"/>
                  <w:vAlign w:val="center"/>
                </w:tcPr>
                <w:p w14:paraId="520AB0C6">
                  <w:pPr>
                    <w:jc w:val="center"/>
                    <w:rPr>
                      <w:szCs w:val="21"/>
                      <w:highlight w:val="yellow"/>
                      <w:lang w:val="pt-BR"/>
                    </w:rPr>
                  </w:pPr>
                </w:p>
              </w:tc>
              <w:tc>
                <w:tcPr>
                  <w:tcW w:w="503" w:type="dxa"/>
                  <w:vMerge w:val="continue"/>
                  <w:vAlign w:val="center"/>
                </w:tcPr>
                <w:p w14:paraId="520AB0C7">
                  <w:pPr>
                    <w:jc w:val="center"/>
                    <w:rPr>
                      <w:szCs w:val="21"/>
                      <w:highlight w:val="yellow"/>
                      <w:lang w:val="pt-BR"/>
                    </w:rPr>
                  </w:pPr>
                </w:p>
              </w:tc>
              <w:tc>
                <w:tcPr>
                  <w:tcW w:w="798" w:type="dxa"/>
                  <w:vMerge w:val="continue"/>
                  <w:vAlign w:val="center"/>
                </w:tcPr>
                <w:p w14:paraId="520AB0C8">
                  <w:pPr>
                    <w:contextualSpacing/>
                    <w:jc w:val="center"/>
                    <w:textAlignment w:val="baseline"/>
                    <w:rPr>
                      <w:kern w:val="0"/>
                      <w:szCs w:val="21"/>
                    </w:rPr>
                  </w:pPr>
                </w:p>
              </w:tc>
              <w:tc>
                <w:tcPr>
                  <w:tcW w:w="1184" w:type="dxa"/>
                  <w:vAlign w:val="center"/>
                </w:tcPr>
                <w:p w14:paraId="520AB0C9">
                  <w:pPr>
                    <w:contextualSpacing/>
                    <w:jc w:val="center"/>
                    <w:textAlignment w:val="baseline"/>
                    <w:rPr>
                      <w:kern w:val="0"/>
                      <w:szCs w:val="21"/>
                    </w:rPr>
                  </w:pPr>
                  <w:r>
                    <w:rPr>
                      <w:rFonts w:hint="eastAsia"/>
                      <w:kern w:val="0"/>
                      <w:szCs w:val="21"/>
                    </w:rPr>
                    <w:t>2207厂房</w:t>
                  </w:r>
                </w:p>
              </w:tc>
              <w:tc>
                <w:tcPr>
                  <w:tcW w:w="4617" w:type="dxa"/>
                  <w:gridSpan w:val="5"/>
                  <w:vAlign w:val="center"/>
                </w:tcPr>
                <w:p w14:paraId="520AB0CA">
                  <w:pPr>
                    <w:contextualSpacing/>
                    <w:jc w:val="center"/>
                    <w:textAlignment w:val="baseline"/>
                    <w:rPr>
                      <w:szCs w:val="22"/>
                    </w:rPr>
                  </w:pPr>
                  <w:r>
                    <w:rPr>
                      <w:rFonts w:hint="eastAsia"/>
                      <w:szCs w:val="22"/>
                    </w:rPr>
                    <w:t>涉及使用</w:t>
                  </w:r>
                  <w:r>
                    <w:rPr>
                      <w:kern w:val="0"/>
                      <w:szCs w:val="21"/>
                    </w:rPr>
                    <w:t>面积</w:t>
                  </w:r>
                  <w:r>
                    <w:rPr>
                      <w:rFonts w:hint="eastAsia"/>
                      <w:kern w:val="0"/>
                      <w:szCs w:val="21"/>
                    </w:rPr>
                    <w:t>50</w:t>
                  </w:r>
                  <w:r>
                    <w:rPr>
                      <w:kern w:val="0"/>
                      <w:szCs w:val="21"/>
                    </w:rPr>
                    <w:t>m</w:t>
                  </w:r>
                  <w:r>
                    <w:rPr>
                      <w:kern w:val="0"/>
                      <w:szCs w:val="21"/>
                      <w:vertAlign w:val="superscript"/>
                    </w:rPr>
                    <w:t>2</w:t>
                  </w:r>
                </w:p>
              </w:tc>
              <w:tc>
                <w:tcPr>
                  <w:tcW w:w="674" w:type="dxa"/>
                  <w:vMerge w:val="continue"/>
                  <w:vAlign w:val="center"/>
                </w:tcPr>
                <w:p w14:paraId="520AB0CB">
                  <w:pPr>
                    <w:jc w:val="center"/>
                    <w:rPr>
                      <w:szCs w:val="21"/>
                    </w:rPr>
                  </w:pPr>
                </w:p>
              </w:tc>
            </w:tr>
            <w:tr w14:paraId="520AB0D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CD">
                  <w:pPr>
                    <w:jc w:val="center"/>
                    <w:rPr>
                      <w:szCs w:val="21"/>
                      <w:highlight w:val="yellow"/>
                      <w:lang w:val="pt-BR"/>
                    </w:rPr>
                  </w:pPr>
                </w:p>
              </w:tc>
              <w:tc>
                <w:tcPr>
                  <w:tcW w:w="503" w:type="dxa"/>
                  <w:vMerge w:val="continue"/>
                  <w:vAlign w:val="center"/>
                </w:tcPr>
                <w:p w14:paraId="520AB0CE">
                  <w:pPr>
                    <w:jc w:val="center"/>
                    <w:rPr>
                      <w:szCs w:val="21"/>
                      <w:highlight w:val="yellow"/>
                      <w:lang w:val="pt-BR"/>
                    </w:rPr>
                  </w:pPr>
                </w:p>
              </w:tc>
              <w:tc>
                <w:tcPr>
                  <w:tcW w:w="798" w:type="dxa"/>
                  <w:vMerge w:val="continue"/>
                  <w:vAlign w:val="center"/>
                </w:tcPr>
                <w:p w14:paraId="520AB0CF">
                  <w:pPr>
                    <w:contextualSpacing/>
                    <w:jc w:val="center"/>
                    <w:textAlignment w:val="baseline"/>
                    <w:rPr>
                      <w:kern w:val="0"/>
                      <w:szCs w:val="21"/>
                    </w:rPr>
                  </w:pPr>
                </w:p>
              </w:tc>
              <w:tc>
                <w:tcPr>
                  <w:tcW w:w="1184" w:type="dxa"/>
                  <w:vAlign w:val="center"/>
                </w:tcPr>
                <w:p w14:paraId="520AB0D0">
                  <w:pPr>
                    <w:contextualSpacing/>
                    <w:jc w:val="center"/>
                    <w:textAlignment w:val="baseline"/>
                    <w:rPr>
                      <w:kern w:val="0"/>
                      <w:szCs w:val="21"/>
                    </w:rPr>
                  </w:pPr>
                  <w:r>
                    <w:rPr>
                      <w:rFonts w:hint="eastAsia"/>
                      <w:kern w:val="0"/>
                      <w:szCs w:val="21"/>
                    </w:rPr>
                    <w:t>2301厂房</w:t>
                  </w:r>
                </w:p>
              </w:tc>
              <w:tc>
                <w:tcPr>
                  <w:tcW w:w="4617" w:type="dxa"/>
                  <w:gridSpan w:val="5"/>
                  <w:vAlign w:val="center"/>
                </w:tcPr>
                <w:p w14:paraId="520AB0D1">
                  <w:pPr>
                    <w:contextualSpacing/>
                    <w:jc w:val="center"/>
                    <w:textAlignment w:val="baseline"/>
                    <w:rPr>
                      <w:szCs w:val="22"/>
                    </w:rPr>
                  </w:pPr>
                  <w:r>
                    <w:rPr>
                      <w:rFonts w:hint="eastAsia"/>
                      <w:szCs w:val="22"/>
                    </w:rPr>
                    <w:t>涉及使用</w:t>
                  </w:r>
                  <w:r>
                    <w:rPr>
                      <w:kern w:val="0"/>
                      <w:szCs w:val="21"/>
                    </w:rPr>
                    <w:t>面积</w:t>
                  </w:r>
                  <w:r>
                    <w:rPr>
                      <w:rFonts w:hint="eastAsia"/>
                      <w:kern w:val="0"/>
                      <w:szCs w:val="21"/>
                    </w:rPr>
                    <w:t>30</w:t>
                  </w:r>
                  <w:r>
                    <w:rPr>
                      <w:kern w:val="0"/>
                      <w:szCs w:val="21"/>
                    </w:rPr>
                    <w:t>m</w:t>
                  </w:r>
                  <w:r>
                    <w:rPr>
                      <w:kern w:val="0"/>
                      <w:szCs w:val="21"/>
                      <w:vertAlign w:val="superscript"/>
                    </w:rPr>
                    <w:t>2</w:t>
                  </w:r>
                </w:p>
              </w:tc>
              <w:tc>
                <w:tcPr>
                  <w:tcW w:w="674" w:type="dxa"/>
                  <w:vMerge w:val="continue"/>
                  <w:vAlign w:val="center"/>
                </w:tcPr>
                <w:p w14:paraId="520AB0D2">
                  <w:pPr>
                    <w:jc w:val="center"/>
                    <w:rPr>
                      <w:szCs w:val="21"/>
                    </w:rPr>
                  </w:pPr>
                </w:p>
              </w:tc>
            </w:tr>
            <w:tr w14:paraId="520AB0D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restart"/>
                  <w:vAlign w:val="center"/>
                </w:tcPr>
                <w:p w14:paraId="520AB0D4">
                  <w:pPr>
                    <w:jc w:val="center"/>
                    <w:rPr>
                      <w:szCs w:val="21"/>
                      <w:lang w:val="pt-BR"/>
                    </w:rPr>
                  </w:pPr>
                  <w:r>
                    <w:rPr>
                      <w:szCs w:val="21"/>
                      <w:lang w:val="pt-BR"/>
                    </w:rPr>
                    <w:t>2</w:t>
                  </w:r>
                </w:p>
              </w:tc>
              <w:tc>
                <w:tcPr>
                  <w:tcW w:w="503" w:type="dxa"/>
                  <w:vMerge w:val="restart"/>
                  <w:vAlign w:val="center"/>
                </w:tcPr>
                <w:p w14:paraId="520AB0D5">
                  <w:pPr>
                    <w:jc w:val="center"/>
                    <w:rPr>
                      <w:szCs w:val="21"/>
                      <w:lang w:val="pt-BR"/>
                    </w:rPr>
                  </w:pPr>
                  <w:r>
                    <w:rPr>
                      <w:szCs w:val="21"/>
                      <w:lang w:val="pt-BR"/>
                    </w:rPr>
                    <w:t>环保工程</w:t>
                  </w:r>
                </w:p>
              </w:tc>
              <w:tc>
                <w:tcPr>
                  <w:tcW w:w="798" w:type="dxa"/>
                  <w:vMerge w:val="restart"/>
                  <w:vAlign w:val="center"/>
                </w:tcPr>
                <w:p w14:paraId="520AB0D6">
                  <w:pPr>
                    <w:jc w:val="center"/>
                    <w:rPr>
                      <w:szCs w:val="21"/>
                      <w:highlight w:val="yellow"/>
                      <w:lang w:val="pt-BR"/>
                    </w:rPr>
                  </w:pPr>
                  <w:r>
                    <w:rPr>
                      <w:rFonts w:hint="eastAsia"/>
                      <w:kern w:val="0"/>
                      <w:szCs w:val="21"/>
                    </w:rPr>
                    <w:t>建设路厂区</w:t>
                  </w:r>
                </w:p>
              </w:tc>
              <w:tc>
                <w:tcPr>
                  <w:tcW w:w="1184" w:type="dxa"/>
                  <w:vMerge w:val="restart"/>
                  <w:vAlign w:val="center"/>
                </w:tcPr>
                <w:p w14:paraId="520AB0D7">
                  <w:pPr>
                    <w:jc w:val="center"/>
                    <w:rPr>
                      <w:szCs w:val="21"/>
                      <w:lang w:val="pt-BR"/>
                    </w:rPr>
                  </w:pPr>
                  <w:r>
                    <w:rPr>
                      <w:rFonts w:hint="eastAsia"/>
                      <w:szCs w:val="21"/>
                      <w:lang w:val="pt-BR"/>
                    </w:rPr>
                    <w:t>废水</w:t>
                  </w:r>
                </w:p>
              </w:tc>
              <w:tc>
                <w:tcPr>
                  <w:tcW w:w="1086" w:type="dxa"/>
                  <w:gridSpan w:val="3"/>
                  <w:vAlign w:val="center"/>
                </w:tcPr>
                <w:p w14:paraId="520AB0D8">
                  <w:pPr>
                    <w:contextualSpacing/>
                    <w:jc w:val="center"/>
                    <w:textAlignment w:val="baseline"/>
                    <w:rPr>
                      <w:bCs/>
                    </w:rPr>
                  </w:pPr>
                  <w:r>
                    <w:rPr>
                      <w:rFonts w:hint="eastAsia"/>
                    </w:rPr>
                    <w:t>纯水制备</w:t>
                  </w:r>
                  <w:r>
                    <w:t>废水</w:t>
                  </w:r>
                </w:p>
              </w:tc>
              <w:tc>
                <w:tcPr>
                  <w:tcW w:w="3531" w:type="dxa"/>
                  <w:gridSpan w:val="2"/>
                  <w:vMerge w:val="restart"/>
                  <w:vAlign w:val="center"/>
                </w:tcPr>
                <w:p w14:paraId="520AB0D9">
                  <w:pPr>
                    <w:contextualSpacing/>
                    <w:jc w:val="center"/>
                    <w:textAlignment w:val="baseline"/>
                  </w:pPr>
                  <w:r>
                    <w:rPr>
                      <w:bCs/>
                    </w:rPr>
                    <w:t>进入厂区现有综合废水污水处理</w:t>
                  </w:r>
                  <w:r>
                    <w:rPr>
                      <w:rFonts w:hint="eastAsia"/>
                      <w:bCs/>
                    </w:rPr>
                    <w:t>设施</w:t>
                  </w:r>
                  <w:r>
                    <w:t>（格栅渠-隔油池</w:t>
                  </w:r>
                  <w:r>
                    <w:rPr>
                      <w:rFonts w:hint="eastAsia"/>
                    </w:rPr>
                    <w:t>-</w:t>
                  </w:r>
                  <w:r>
                    <w:t>调节池-混凝反应池-沉淀池1-水解酸化池-接触氧化池-沉淀池2-沉淀池3-清水池）处理后经厂区总排口排入小尚庄污水处</w:t>
                  </w:r>
                  <w:r>
                    <w:rPr>
                      <w:rFonts w:hint="eastAsia"/>
                    </w:rPr>
                    <w:t>理</w:t>
                  </w:r>
                  <w:r>
                    <w:t>厂</w:t>
                  </w:r>
                </w:p>
              </w:tc>
              <w:tc>
                <w:tcPr>
                  <w:tcW w:w="674" w:type="dxa"/>
                  <w:vMerge w:val="restart"/>
                  <w:vAlign w:val="center"/>
                </w:tcPr>
                <w:p w14:paraId="520AB0DA">
                  <w:pPr>
                    <w:jc w:val="center"/>
                    <w:rPr>
                      <w:bCs/>
                      <w:szCs w:val="21"/>
                      <w:highlight w:val="yellow"/>
                    </w:rPr>
                  </w:pPr>
                  <w:r>
                    <w:rPr>
                      <w:rFonts w:hint="eastAsia"/>
                      <w:szCs w:val="21"/>
                    </w:rPr>
                    <w:t>利用现有</w:t>
                  </w:r>
                </w:p>
              </w:tc>
            </w:tr>
            <w:tr w14:paraId="520AB0E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DC">
                  <w:pPr>
                    <w:jc w:val="center"/>
                    <w:rPr>
                      <w:szCs w:val="21"/>
                      <w:lang w:val="pt-BR"/>
                    </w:rPr>
                  </w:pPr>
                </w:p>
              </w:tc>
              <w:tc>
                <w:tcPr>
                  <w:tcW w:w="503" w:type="dxa"/>
                  <w:vMerge w:val="continue"/>
                  <w:vAlign w:val="center"/>
                </w:tcPr>
                <w:p w14:paraId="520AB0DD">
                  <w:pPr>
                    <w:jc w:val="center"/>
                    <w:rPr>
                      <w:szCs w:val="21"/>
                      <w:lang w:val="pt-BR"/>
                    </w:rPr>
                  </w:pPr>
                </w:p>
              </w:tc>
              <w:tc>
                <w:tcPr>
                  <w:tcW w:w="798" w:type="dxa"/>
                  <w:vMerge w:val="continue"/>
                  <w:vAlign w:val="center"/>
                </w:tcPr>
                <w:p w14:paraId="520AB0DE">
                  <w:pPr>
                    <w:jc w:val="center"/>
                    <w:rPr>
                      <w:kern w:val="0"/>
                      <w:szCs w:val="21"/>
                    </w:rPr>
                  </w:pPr>
                </w:p>
              </w:tc>
              <w:tc>
                <w:tcPr>
                  <w:tcW w:w="1184" w:type="dxa"/>
                  <w:vMerge w:val="continue"/>
                  <w:vAlign w:val="center"/>
                </w:tcPr>
                <w:p w14:paraId="520AB0DF">
                  <w:pPr>
                    <w:jc w:val="center"/>
                    <w:rPr>
                      <w:szCs w:val="21"/>
                      <w:highlight w:val="yellow"/>
                      <w:lang w:val="pt-BR"/>
                    </w:rPr>
                  </w:pPr>
                </w:p>
              </w:tc>
              <w:tc>
                <w:tcPr>
                  <w:tcW w:w="1086" w:type="dxa"/>
                  <w:gridSpan w:val="3"/>
                  <w:vAlign w:val="center"/>
                </w:tcPr>
                <w:p w14:paraId="520AB0E0">
                  <w:pPr>
                    <w:contextualSpacing/>
                    <w:jc w:val="center"/>
                    <w:textAlignment w:val="baseline"/>
                    <w:rPr>
                      <w:highlight w:val="yellow"/>
                    </w:rPr>
                  </w:pPr>
                  <w:r>
                    <w:rPr>
                      <w:rFonts w:hint="eastAsia"/>
                    </w:rPr>
                    <w:t>蒸汽发生器排污水</w:t>
                  </w:r>
                </w:p>
              </w:tc>
              <w:tc>
                <w:tcPr>
                  <w:tcW w:w="3531" w:type="dxa"/>
                  <w:gridSpan w:val="2"/>
                  <w:vMerge w:val="continue"/>
                  <w:vAlign w:val="center"/>
                </w:tcPr>
                <w:p w14:paraId="520AB0E1">
                  <w:pPr>
                    <w:contextualSpacing/>
                    <w:jc w:val="center"/>
                    <w:textAlignment w:val="baseline"/>
                    <w:rPr>
                      <w:bCs/>
                      <w:highlight w:val="yellow"/>
                    </w:rPr>
                  </w:pPr>
                </w:p>
              </w:tc>
              <w:tc>
                <w:tcPr>
                  <w:tcW w:w="674" w:type="dxa"/>
                  <w:vMerge w:val="continue"/>
                  <w:vAlign w:val="center"/>
                </w:tcPr>
                <w:p w14:paraId="520AB0E2">
                  <w:pPr>
                    <w:jc w:val="center"/>
                    <w:rPr>
                      <w:szCs w:val="21"/>
                    </w:rPr>
                  </w:pPr>
                </w:p>
              </w:tc>
            </w:tr>
            <w:tr w14:paraId="063F2FD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293" w:type="dxa"/>
                  <w:vMerge w:val="continue"/>
                  <w:vAlign w:val="center"/>
                </w:tcPr>
                <w:p w14:paraId="5A90664A">
                  <w:pPr>
                    <w:jc w:val="center"/>
                    <w:rPr>
                      <w:szCs w:val="21"/>
                      <w:lang w:val="pt-BR"/>
                    </w:rPr>
                  </w:pPr>
                </w:p>
              </w:tc>
              <w:tc>
                <w:tcPr>
                  <w:tcW w:w="503" w:type="dxa"/>
                  <w:vMerge w:val="continue"/>
                  <w:vAlign w:val="center"/>
                </w:tcPr>
                <w:p w14:paraId="70B119FE">
                  <w:pPr>
                    <w:jc w:val="center"/>
                    <w:rPr>
                      <w:szCs w:val="21"/>
                      <w:lang w:val="pt-BR"/>
                    </w:rPr>
                  </w:pPr>
                </w:p>
              </w:tc>
              <w:tc>
                <w:tcPr>
                  <w:tcW w:w="798" w:type="dxa"/>
                  <w:vMerge w:val="continue"/>
                  <w:vAlign w:val="center"/>
                </w:tcPr>
                <w:p w14:paraId="553F21CE">
                  <w:pPr>
                    <w:jc w:val="center"/>
                    <w:rPr>
                      <w:kern w:val="0"/>
                      <w:szCs w:val="21"/>
                    </w:rPr>
                  </w:pPr>
                </w:p>
              </w:tc>
              <w:tc>
                <w:tcPr>
                  <w:tcW w:w="1184" w:type="dxa"/>
                  <w:vMerge w:val="restart"/>
                  <w:vAlign w:val="center"/>
                </w:tcPr>
                <w:p w14:paraId="7200B17A">
                  <w:pPr>
                    <w:jc w:val="center"/>
                    <w:rPr>
                      <w:szCs w:val="21"/>
                      <w:lang w:val="pt-BR"/>
                    </w:rPr>
                  </w:pPr>
                  <w:r>
                    <w:rPr>
                      <w:rFonts w:hint="eastAsia"/>
                      <w:szCs w:val="21"/>
                      <w:lang w:val="pt-BR"/>
                    </w:rPr>
                    <w:t>废气</w:t>
                  </w:r>
                </w:p>
              </w:tc>
              <w:tc>
                <w:tcPr>
                  <w:tcW w:w="498" w:type="dxa"/>
                  <w:vAlign w:val="center"/>
                </w:tcPr>
                <w:p w14:paraId="1FA586C4">
                  <w:pPr>
                    <w:contextualSpacing/>
                    <w:jc w:val="center"/>
                    <w:textAlignment w:val="baseline"/>
                  </w:pPr>
                  <w:r>
                    <w:rPr>
                      <w:rFonts w:hint="eastAsia"/>
                    </w:rPr>
                    <w:t>抛丸废气</w:t>
                  </w:r>
                </w:p>
              </w:tc>
              <w:tc>
                <w:tcPr>
                  <w:tcW w:w="588" w:type="dxa"/>
                  <w:gridSpan w:val="2"/>
                  <w:vAlign w:val="center"/>
                </w:tcPr>
                <w:p w14:paraId="2C2FC0FB">
                  <w:pPr>
                    <w:contextualSpacing/>
                    <w:jc w:val="center"/>
                    <w:textAlignment w:val="baseline"/>
                  </w:pPr>
                  <w:r>
                    <w:rPr>
                      <w:rFonts w:hint="eastAsia"/>
                    </w:rPr>
                    <w:t>105#厂房</w:t>
                  </w:r>
                </w:p>
              </w:tc>
              <w:tc>
                <w:tcPr>
                  <w:tcW w:w="3531" w:type="dxa"/>
                  <w:gridSpan w:val="2"/>
                  <w:vAlign w:val="center"/>
                </w:tcPr>
                <w:p w14:paraId="3F0B245E">
                  <w:pPr>
                    <w:contextualSpacing/>
                    <w:jc w:val="center"/>
                    <w:textAlignment w:val="baseline"/>
                    <w:rPr>
                      <w:bCs/>
                    </w:rPr>
                  </w:pPr>
                  <w:r>
                    <w:rPr>
                      <w:bCs/>
                    </w:rPr>
                    <w:t>袋式除尘器+水喷淋TA0</w:t>
                  </w:r>
                  <w:r>
                    <w:rPr>
                      <w:rFonts w:hint="eastAsia"/>
                      <w:bCs/>
                    </w:rPr>
                    <w:t>19</w:t>
                  </w:r>
                  <w:r>
                    <w:rPr>
                      <w:bCs/>
                    </w:rPr>
                    <w:t>+15m高排气筒DA0</w:t>
                  </w:r>
                  <w:r>
                    <w:rPr>
                      <w:rFonts w:hint="eastAsia"/>
                      <w:bCs/>
                    </w:rPr>
                    <w:t>19</w:t>
                  </w:r>
                </w:p>
              </w:tc>
              <w:tc>
                <w:tcPr>
                  <w:tcW w:w="674" w:type="dxa"/>
                  <w:vAlign w:val="center"/>
                </w:tcPr>
                <w:p w14:paraId="297EF30E">
                  <w:pPr>
                    <w:jc w:val="center"/>
                    <w:rPr>
                      <w:szCs w:val="21"/>
                    </w:rPr>
                  </w:pPr>
                  <w:r>
                    <w:rPr>
                      <w:rFonts w:hint="eastAsia"/>
                      <w:szCs w:val="21"/>
                    </w:rPr>
                    <w:t>依托在建</w:t>
                  </w:r>
                  <w:r>
                    <w:rPr>
                      <w:rFonts w:hint="eastAsia"/>
                      <w:szCs w:val="21"/>
                      <w:vertAlign w:val="superscript"/>
                    </w:rPr>
                    <w:t>注</w:t>
                  </w:r>
                </w:p>
              </w:tc>
            </w:tr>
            <w:tr w14:paraId="520AB0E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E4">
                  <w:pPr>
                    <w:jc w:val="center"/>
                    <w:rPr>
                      <w:szCs w:val="21"/>
                      <w:lang w:val="pt-BR"/>
                    </w:rPr>
                  </w:pPr>
                </w:p>
              </w:tc>
              <w:tc>
                <w:tcPr>
                  <w:tcW w:w="503" w:type="dxa"/>
                  <w:vMerge w:val="continue"/>
                  <w:vAlign w:val="center"/>
                </w:tcPr>
                <w:p w14:paraId="520AB0E5">
                  <w:pPr>
                    <w:jc w:val="center"/>
                    <w:rPr>
                      <w:szCs w:val="21"/>
                      <w:lang w:val="pt-BR"/>
                    </w:rPr>
                  </w:pPr>
                </w:p>
              </w:tc>
              <w:tc>
                <w:tcPr>
                  <w:tcW w:w="798" w:type="dxa"/>
                  <w:vMerge w:val="continue"/>
                  <w:vAlign w:val="center"/>
                </w:tcPr>
                <w:p w14:paraId="520AB0E6">
                  <w:pPr>
                    <w:jc w:val="center"/>
                    <w:rPr>
                      <w:kern w:val="0"/>
                      <w:szCs w:val="21"/>
                    </w:rPr>
                  </w:pPr>
                </w:p>
              </w:tc>
              <w:tc>
                <w:tcPr>
                  <w:tcW w:w="1184" w:type="dxa"/>
                  <w:vMerge w:val="continue"/>
                  <w:vAlign w:val="center"/>
                </w:tcPr>
                <w:p w14:paraId="520AB0E7">
                  <w:pPr>
                    <w:jc w:val="center"/>
                    <w:rPr>
                      <w:szCs w:val="21"/>
                      <w:highlight w:val="yellow"/>
                      <w:lang w:val="pt-BR"/>
                    </w:rPr>
                  </w:pPr>
                </w:p>
              </w:tc>
              <w:tc>
                <w:tcPr>
                  <w:tcW w:w="498" w:type="dxa"/>
                  <w:vMerge w:val="restart"/>
                  <w:vAlign w:val="center"/>
                </w:tcPr>
                <w:p w14:paraId="520AB0E8">
                  <w:pPr>
                    <w:contextualSpacing/>
                    <w:jc w:val="center"/>
                    <w:textAlignment w:val="baseline"/>
                    <w:rPr>
                      <w:highlight w:val="yellow"/>
                    </w:rPr>
                  </w:pPr>
                  <w:r>
                    <w:rPr>
                      <w:rFonts w:hint="eastAsia"/>
                    </w:rPr>
                    <w:t>油类试验废气</w:t>
                  </w:r>
                </w:p>
              </w:tc>
              <w:tc>
                <w:tcPr>
                  <w:tcW w:w="588" w:type="dxa"/>
                  <w:gridSpan w:val="2"/>
                  <w:vAlign w:val="center"/>
                </w:tcPr>
                <w:p w14:paraId="520AB0E9">
                  <w:pPr>
                    <w:contextualSpacing/>
                    <w:jc w:val="center"/>
                    <w:textAlignment w:val="baseline"/>
                  </w:pPr>
                  <w:r>
                    <w:rPr>
                      <w:rFonts w:hint="eastAsia"/>
                    </w:rPr>
                    <w:t>1205#厂房</w:t>
                  </w:r>
                </w:p>
              </w:tc>
              <w:tc>
                <w:tcPr>
                  <w:tcW w:w="3531" w:type="dxa"/>
                  <w:gridSpan w:val="2"/>
                  <w:vAlign w:val="center"/>
                </w:tcPr>
                <w:p w14:paraId="520AB0EA">
                  <w:pPr>
                    <w:contextualSpacing/>
                    <w:jc w:val="center"/>
                    <w:textAlignment w:val="baseline"/>
                    <w:rPr>
                      <w:bCs/>
                      <w:highlight w:val="yellow"/>
                    </w:rPr>
                  </w:pPr>
                  <w:r>
                    <w:rPr>
                      <w:rFonts w:hint="eastAsia"/>
                      <w:bCs/>
                    </w:rPr>
                    <w:t>活性炭吸附/脱附-催化燃烧装置TA030+15m高排气筒DA030</w:t>
                  </w:r>
                </w:p>
              </w:tc>
              <w:tc>
                <w:tcPr>
                  <w:tcW w:w="674" w:type="dxa"/>
                  <w:vAlign w:val="center"/>
                </w:tcPr>
                <w:p w14:paraId="520AB0EB">
                  <w:pPr>
                    <w:jc w:val="center"/>
                    <w:rPr>
                      <w:szCs w:val="21"/>
                    </w:rPr>
                  </w:pPr>
                  <w:r>
                    <w:rPr>
                      <w:rFonts w:hint="eastAsia"/>
                      <w:szCs w:val="21"/>
                    </w:rPr>
                    <w:t>依托在建</w:t>
                  </w:r>
                  <w:r>
                    <w:rPr>
                      <w:rFonts w:hint="eastAsia"/>
                      <w:szCs w:val="21"/>
                      <w:vertAlign w:val="superscript"/>
                    </w:rPr>
                    <w:t>注</w:t>
                  </w:r>
                </w:p>
              </w:tc>
            </w:tr>
            <w:tr w14:paraId="520AB0F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ED">
                  <w:pPr>
                    <w:jc w:val="center"/>
                    <w:rPr>
                      <w:szCs w:val="21"/>
                      <w:lang w:val="pt-BR"/>
                    </w:rPr>
                  </w:pPr>
                </w:p>
              </w:tc>
              <w:tc>
                <w:tcPr>
                  <w:tcW w:w="503" w:type="dxa"/>
                  <w:vMerge w:val="continue"/>
                  <w:vAlign w:val="center"/>
                </w:tcPr>
                <w:p w14:paraId="520AB0EE">
                  <w:pPr>
                    <w:jc w:val="center"/>
                    <w:rPr>
                      <w:szCs w:val="21"/>
                      <w:lang w:val="pt-BR"/>
                    </w:rPr>
                  </w:pPr>
                </w:p>
              </w:tc>
              <w:tc>
                <w:tcPr>
                  <w:tcW w:w="798" w:type="dxa"/>
                  <w:vMerge w:val="continue"/>
                  <w:vAlign w:val="center"/>
                </w:tcPr>
                <w:p w14:paraId="520AB0EF">
                  <w:pPr>
                    <w:jc w:val="center"/>
                    <w:rPr>
                      <w:kern w:val="0"/>
                      <w:szCs w:val="21"/>
                    </w:rPr>
                  </w:pPr>
                </w:p>
              </w:tc>
              <w:tc>
                <w:tcPr>
                  <w:tcW w:w="1184" w:type="dxa"/>
                  <w:vMerge w:val="continue"/>
                  <w:vAlign w:val="center"/>
                </w:tcPr>
                <w:p w14:paraId="520AB0F0">
                  <w:pPr>
                    <w:jc w:val="center"/>
                    <w:rPr>
                      <w:szCs w:val="21"/>
                      <w:lang w:val="pt-BR"/>
                    </w:rPr>
                  </w:pPr>
                </w:p>
              </w:tc>
              <w:tc>
                <w:tcPr>
                  <w:tcW w:w="498" w:type="dxa"/>
                  <w:vMerge w:val="continue"/>
                  <w:vAlign w:val="center"/>
                </w:tcPr>
                <w:p w14:paraId="520AB0F1">
                  <w:pPr>
                    <w:contextualSpacing/>
                    <w:jc w:val="center"/>
                    <w:textAlignment w:val="baseline"/>
                  </w:pPr>
                </w:p>
              </w:tc>
              <w:tc>
                <w:tcPr>
                  <w:tcW w:w="588" w:type="dxa"/>
                  <w:gridSpan w:val="2"/>
                  <w:vAlign w:val="center"/>
                </w:tcPr>
                <w:p w14:paraId="520AB0F2">
                  <w:pPr>
                    <w:contextualSpacing/>
                    <w:jc w:val="center"/>
                    <w:textAlignment w:val="baseline"/>
                  </w:pPr>
                  <w:r>
                    <w:rPr>
                      <w:rFonts w:hint="eastAsia"/>
                    </w:rPr>
                    <w:t>101#厂房</w:t>
                  </w:r>
                </w:p>
              </w:tc>
              <w:tc>
                <w:tcPr>
                  <w:tcW w:w="3531" w:type="dxa"/>
                  <w:gridSpan w:val="2"/>
                  <w:vAlign w:val="center"/>
                </w:tcPr>
                <w:p w14:paraId="520AB0F3">
                  <w:pPr>
                    <w:contextualSpacing/>
                    <w:jc w:val="center"/>
                    <w:textAlignment w:val="baseline"/>
                    <w:rPr>
                      <w:bCs/>
                    </w:rPr>
                  </w:pPr>
                  <w:r>
                    <w:rPr>
                      <w:rFonts w:hint="eastAsia"/>
                      <w:bCs/>
                    </w:rPr>
                    <w:t>干式过滤+活性炭吸脱附-催化燃烧装置TA025+15m高排气筒DA025</w:t>
                  </w:r>
                </w:p>
              </w:tc>
              <w:tc>
                <w:tcPr>
                  <w:tcW w:w="674" w:type="dxa"/>
                  <w:vAlign w:val="center"/>
                </w:tcPr>
                <w:p w14:paraId="520AB0F4">
                  <w:pPr>
                    <w:jc w:val="center"/>
                    <w:rPr>
                      <w:szCs w:val="21"/>
                    </w:rPr>
                  </w:pPr>
                  <w:r>
                    <w:rPr>
                      <w:rFonts w:hint="eastAsia"/>
                      <w:szCs w:val="21"/>
                    </w:rPr>
                    <w:t>利用现有</w:t>
                  </w:r>
                </w:p>
              </w:tc>
            </w:tr>
            <w:tr w14:paraId="520AB0F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F6">
                  <w:pPr>
                    <w:jc w:val="center"/>
                    <w:rPr>
                      <w:szCs w:val="21"/>
                      <w:lang w:val="pt-BR"/>
                    </w:rPr>
                  </w:pPr>
                </w:p>
              </w:tc>
              <w:tc>
                <w:tcPr>
                  <w:tcW w:w="503" w:type="dxa"/>
                  <w:vMerge w:val="continue"/>
                  <w:vAlign w:val="center"/>
                </w:tcPr>
                <w:p w14:paraId="520AB0F7">
                  <w:pPr>
                    <w:jc w:val="center"/>
                    <w:rPr>
                      <w:szCs w:val="21"/>
                      <w:lang w:val="pt-BR"/>
                    </w:rPr>
                  </w:pPr>
                </w:p>
              </w:tc>
              <w:tc>
                <w:tcPr>
                  <w:tcW w:w="798" w:type="dxa"/>
                  <w:vMerge w:val="continue"/>
                  <w:vAlign w:val="center"/>
                </w:tcPr>
                <w:p w14:paraId="520AB0F8">
                  <w:pPr>
                    <w:jc w:val="center"/>
                    <w:rPr>
                      <w:kern w:val="0"/>
                      <w:szCs w:val="21"/>
                    </w:rPr>
                  </w:pPr>
                </w:p>
              </w:tc>
              <w:tc>
                <w:tcPr>
                  <w:tcW w:w="1184" w:type="dxa"/>
                  <w:vMerge w:val="continue"/>
                  <w:vAlign w:val="center"/>
                </w:tcPr>
                <w:p w14:paraId="520AB0F9">
                  <w:pPr>
                    <w:jc w:val="center"/>
                    <w:rPr>
                      <w:szCs w:val="21"/>
                      <w:highlight w:val="yellow"/>
                      <w:lang w:val="pt-BR"/>
                    </w:rPr>
                  </w:pPr>
                </w:p>
              </w:tc>
              <w:tc>
                <w:tcPr>
                  <w:tcW w:w="498" w:type="dxa"/>
                  <w:vAlign w:val="center"/>
                </w:tcPr>
                <w:p w14:paraId="520AB0FA">
                  <w:pPr>
                    <w:contextualSpacing/>
                    <w:jc w:val="center"/>
                    <w:textAlignment w:val="baseline"/>
                    <w:rPr>
                      <w:highlight w:val="yellow"/>
                    </w:rPr>
                  </w:pPr>
                  <w:r>
                    <w:rPr>
                      <w:rFonts w:hint="eastAsia"/>
                    </w:rPr>
                    <w:t>冷却系统试验废气</w:t>
                  </w:r>
                </w:p>
              </w:tc>
              <w:tc>
                <w:tcPr>
                  <w:tcW w:w="588" w:type="dxa"/>
                  <w:gridSpan w:val="2"/>
                  <w:vAlign w:val="center"/>
                </w:tcPr>
                <w:p w14:paraId="520AB0FB">
                  <w:pPr>
                    <w:contextualSpacing/>
                    <w:jc w:val="center"/>
                    <w:textAlignment w:val="baseline"/>
                  </w:pPr>
                  <w:r>
                    <w:rPr>
                      <w:rFonts w:hint="eastAsia"/>
                    </w:rPr>
                    <w:t>1206#厂房</w:t>
                  </w:r>
                </w:p>
              </w:tc>
              <w:tc>
                <w:tcPr>
                  <w:tcW w:w="3531" w:type="dxa"/>
                  <w:gridSpan w:val="2"/>
                  <w:vAlign w:val="center"/>
                </w:tcPr>
                <w:p w14:paraId="520AB0FC">
                  <w:pPr>
                    <w:contextualSpacing/>
                    <w:jc w:val="center"/>
                    <w:textAlignment w:val="baseline"/>
                    <w:rPr>
                      <w:bCs/>
                    </w:rPr>
                  </w:pPr>
                  <w:r>
                    <w:rPr>
                      <w:rFonts w:hint="eastAsia"/>
                      <w:bCs/>
                    </w:rPr>
                    <w:t>干式过滤+活性炭吸脱附-催化燃烧装置TA026+15m高排气筒DA026</w:t>
                  </w:r>
                </w:p>
              </w:tc>
              <w:tc>
                <w:tcPr>
                  <w:tcW w:w="674" w:type="dxa"/>
                  <w:vAlign w:val="center"/>
                </w:tcPr>
                <w:p w14:paraId="520AB0FD">
                  <w:pPr>
                    <w:jc w:val="center"/>
                    <w:rPr>
                      <w:szCs w:val="21"/>
                    </w:rPr>
                  </w:pPr>
                  <w:r>
                    <w:rPr>
                      <w:rFonts w:hint="eastAsia"/>
                      <w:szCs w:val="21"/>
                    </w:rPr>
                    <w:t>利用现有</w:t>
                  </w:r>
                </w:p>
              </w:tc>
            </w:tr>
            <w:tr w14:paraId="520AB10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0FF">
                  <w:pPr>
                    <w:jc w:val="center"/>
                    <w:rPr>
                      <w:szCs w:val="21"/>
                      <w:highlight w:val="yellow"/>
                      <w:lang w:val="pt-BR"/>
                    </w:rPr>
                  </w:pPr>
                </w:p>
              </w:tc>
              <w:tc>
                <w:tcPr>
                  <w:tcW w:w="503" w:type="dxa"/>
                  <w:vMerge w:val="continue"/>
                  <w:vAlign w:val="center"/>
                </w:tcPr>
                <w:p w14:paraId="520AB100">
                  <w:pPr>
                    <w:jc w:val="center"/>
                    <w:rPr>
                      <w:szCs w:val="21"/>
                      <w:highlight w:val="yellow"/>
                      <w:lang w:val="pt-BR"/>
                    </w:rPr>
                  </w:pPr>
                </w:p>
              </w:tc>
              <w:tc>
                <w:tcPr>
                  <w:tcW w:w="798" w:type="dxa"/>
                  <w:vMerge w:val="continue"/>
                  <w:vAlign w:val="center"/>
                </w:tcPr>
                <w:p w14:paraId="520AB101">
                  <w:pPr>
                    <w:jc w:val="center"/>
                    <w:rPr>
                      <w:szCs w:val="21"/>
                      <w:highlight w:val="yellow"/>
                      <w:lang w:val="pt-BR"/>
                    </w:rPr>
                  </w:pPr>
                </w:p>
              </w:tc>
              <w:tc>
                <w:tcPr>
                  <w:tcW w:w="1184" w:type="dxa"/>
                  <w:vAlign w:val="center"/>
                </w:tcPr>
                <w:p w14:paraId="520AB102">
                  <w:pPr>
                    <w:jc w:val="center"/>
                    <w:rPr>
                      <w:rFonts w:cs="宋体"/>
                      <w:szCs w:val="21"/>
                    </w:rPr>
                  </w:pPr>
                  <w:r>
                    <w:rPr>
                      <w:szCs w:val="21"/>
                      <w:lang w:val="pt-BR"/>
                    </w:rPr>
                    <w:t>固废</w:t>
                  </w:r>
                </w:p>
              </w:tc>
              <w:tc>
                <w:tcPr>
                  <w:tcW w:w="4617" w:type="dxa"/>
                  <w:gridSpan w:val="5"/>
                  <w:vAlign w:val="center"/>
                </w:tcPr>
                <w:p w14:paraId="520AB103">
                  <w:pPr>
                    <w:jc w:val="center"/>
                    <w:rPr>
                      <w:szCs w:val="21"/>
                    </w:rPr>
                  </w:pPr>
                  <w:r>
                    <w:rPr>
                      <w:rFonts w:hint="eastAsia"/>
                      <w:szCs w:val="21"/>
                    </w:rPr>
                    <w:t>危废贮存间WF-002、WF-003、WF-004、WF-005</w:t>
                  </w:r>
                  <w:r>
                    <w:rPr>
                      <w:rFonts w:cs="宋体"/>
                      <w:szCs w:val="21"/>
                    </w:rPr>
                    <w:t>（</w:t>
                  </w:r>
                  <w:r>
                    <w:rPr>
                      <w:rFonts w:hint="eastAsia" w:cs="宋体"/>
                      <w:szCs w:val="21"/>
                    </w:rPr>
                    <w:t>各25</w:t>
                  </w:r>
                  <w:r>
                    <w:rPr>
                      <w:rFonts w:cs="宋体"/>
                      <w:szCs w:val="21"/>
                    </w:rPr>
                    <w:t>m</w:t>
                  </w:r>
                  <w:r>
                    <w:rPr>
                      <w:rFonts w:cs="宋体"/>
                      <w:szCs w:val="21"/>
                      <w:vertAlign w:val="superscript"/>
                    </w:rPr>
                    <w:t>2</w:t>
                  </w:r>
                  <w:r>
                    <w:rPr>
                      <w:rFonts w:cs="宋体"/>
                      <w:szCs w:val="21"/>
                    </w:rPr>
                    <w:t>）</w:t>
                  </w:r>
                </w:p>
              </w:tc>
              <w:tc>
                <w:tcPr>
                  <w:tcW w:w="674" w:type="dxa"/>
                  <w:vAlign w:val="center"/>
                </w:tcPr>
                <w:p w14:paraId="520AB104">
                  <w:pPr>
                    <w:jc w:val="center"/>
                    <w:rPr>
                      <w:b/>
                      <w:bCs/>
                      <w:szCs w:val="21"/>
                      <w:highlight w:val="yellow"/>
                      <w:u w:val="single"/>
                    </w:rPr>
                  </w:pPr>
                  <w:r>
                    <w:rPr>
                      <w:rFonts w:hint="eastAsia"/>
                      <w:szCs w:val="21"/>
                    </w:rPr>
                    <w:t>利用现有</w:t>
                  </w:r>
                </w:p>
              </w:tc>
            </w:tr>
            <w:tr w14:paraId="520AB10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106">
                  <w:pPr>
                    <w:jc w:val="center"/>
                    <w:rPr>
                      <w:szCs w:val="21"/>
                      <w:highlight w:val="yellow"/>
                      <w:lang w:val="pt-BR"/>
                    </w:rPr>
                  </w:pPr>
                </w:p>
              </w:tc>
              <w:tc>
                <w:tcPr>
                  <w:tcW w:w="503" w:type="dxa"/>
                  <w:vMerge w:val="continue"/>
                  <w:vAlign w:val="center"/>
                </w:tcPr>
                <w:p w14:paraId="520AB107">
                  <w:pPr>
                    <w:jc w:val="center"/>
                    <w:rPr>
                      <w:szCs w:val="21"/>
                      <w:highlight w:val="yellow"/>
                      <w:lang w:val="pt-BR"/>
                    </w:rPr>
                  </w:pPr>
                </w:p>
              </w:tc>
              <w:tc>
                <w:tcPr>
                  <w:tcW w:w="798" w:type="dxa"/>
                  <w:vMerge w:val="continue"/>
                  <w:vAlign w:val="center"/>
                </w:tcPr>
                <w:p w14:paraId="520AB108">
                  <w:pPr>
                    <w:jc w:val="center"/>
                    <w:rPr>
                      <w:szCs w:val="21"/>
                      <w:highlight w:val="yellow"/>
                      <w:lang w:val="pt-BR"/>
                    </w:rPr>
                  </w:pPr>
                </w:p>
              </w:tc>
              <w:tc>
                <w:tcPr>
                  <w:tcW w:w="1184" w:type="dxa"/>
                  <w:vAlign w:val="center"/>
                </w:tcPr>
                <w:p w14:paraId="520AB109">
                  <w:pPr>
                    <w:jc w:val="center"/>
                    <w:rPr>
                      <w:szCs w:val="21"/>
                      <w:highlight w:val="yellow"/>
                      <w:lang w:val="pt-BR"/>
                    </w:rPr>
                  </w:pPr>
                  <w:r>
                    <w:rPr>
                      <w:szCs w:val="21"/>
                      <w:lang w:val="pt-BR"/>
                    </w:rPr>
                    <w:t>噪声</w:t>
                  </w:r>
                </w:p>
              </w:tc>
              <w:tc>
                <w:tcPr>
                  <w:tcW w:w="4617" w:type="dxa"/>
                  <w:gridSpan w:val="5"/>
                  <w:vAlign w:val="center"/>
                </w:tcPr>
                <w:p w14:paraId="520AB10A">
                  <w:pPr>
                    <w:jc w:val="center"/>
                    <w:rPr>
                      <w:szCs w:val="21"/>
                      <w:highlight w:val="yellow"/>
                    </w:rPr>
                  </w:pPr>
                  <w:r>
                    <w:rPr>
                      <w:szCs w:val="21"/>
                    </w:rPr>
                    <w:t>基础减振、厂房隔声</w:t>
                  </w:r>
                </w:p>
              </w:tc>
              <w:tc>
                <w:tcPr>
                  <w:tcW w:w="674" w:type="dxa"/>
                  <w:vAlign w:val="center"/>
                </w:tcPr>
                <w:p w14:paraId="520AB10B">
                  <w:pPr>
                    <w:jc w:val="center"/>
                    <w:rPr>
                      <w:b/>
                      <w:bCs/>
                      <w:szCs w:val="21"/>
                      <w:highlight w:val="yellow"/>
                      <w:u w:val="single"/>
                    </w:rPr>
                  </w:pPr>
                  <w:r>
                    <w:rPr>
                      <w:rFonts w:hint="eastAsia"/>
                      <w:szCs w:val="21"/>
                    </w:rPr>
                    <w:t>新建</w:t>
                  </w:r>
                </w:p>
              </w:tc>
            </w:tr>
            <w:tr w14:paraId="7182CCD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2330ED59">
                  <w:pPr>
                    <w:jc w:val="center"/>
                    <w:rPr>
                      <w:szCs w:val="21"/>
                      <w:highlight w:val="yellow"/>
                      <w:lang w:val="pt-BR"/>
                    </w:rPr>
                  </w:pPr>
                </w:p>
              </w:tc>
              <w:tc>
                <w:tcPr>
                  <w:tcW w:w="503" w:type="dxa"/>
                  <w:vMerge w:val="continue"/>
                  <w:vAlign w:val="center"/>
                </w:tcPr>
                <w:p w14:paraId="270E21D6">
                  <w:pPr>
                    <w:jc w:val="center"/>
                    <w:rPr>
                      <w:szCs w:val="21"/>
                      <w:highlight w:val="yellow"/>
                      <w:lang w:val="pt-BR"/>
                    </w:rPr>
                  </w:pPr>
                </w:p>
              </w:tc>
              <w:tc>
                <w:tcPr>
                  <w:tcW w:w="798" w:type="dxa"/>
                  <w:vMerge w:val="restart"/>
                  <w:vAlign w:val="center"/>
                </w:tcPr>
                <w:p w14:paraId="6434D28D">
                  <w:pPr>
                    <w:jc w:val="center"/>
                    <w:rPr>
                      <w:szCs w:val="21"/>
                      <w:lang w:val="pt-BR"/>
                    </w:rPr>
                  </w:pPr>
                  <w:r>
                    <w:rPr>
                      <w:rFonts w:hint="eastAsia"/>
                      <w:szCs w:val="21"/>
                      <w:lang w:val="pt-BR"/>
                    </w:rPr>
                    <w:t>解放路厂区</w:t>
                  </w:r>
                </w:p>
              </w:tc>
              <w:tc>
                <w:tcPr>
                  <w:tcW w:w="1184" w:type="dxa"/>
                  <w:vAlign w:val="center"/>
                </w:tcPr>
                <w:p w14:paraId="597E53D2">
                  <w:pPr>
                    <w:jc w:val="center"/>
                    <w:rPr>
                      <w:szCs w:val="21"/>
                      <w:lang w:val="pt-BR"/>
                    </w:rPr>
                  </w:pPr>
                  <w:r>
                    <w:rPr>
                      <w:rFonts w:hint="eastAsia"/>
                      <w:szCs w:val="21"/>
                      <w:lang w:val="pt-BR"/>
                    </w:rPr>
                    <w:t>废气</w:t>
                  </w:r>
                </w:p>
              </w:tc>
              <w:tc>
                <w:tcPr>
                  <w:tcW w:w="665" w:type="dxa"/>
                  <w:gridSpan w:val="2"/>
                  <w:vAlign w:val="center"/>
                </w:tcPr>
                <w:p w14:paraId="2745E104">
                  <w:pPr>
                    <w:jc w:val="center"/>
                    <w:rPr>
                      <w:szCs w:val="21"/>
                    </w:rPr>
                  </w:pPr>
                  <w:r>
                    <w:rPr>
                      <w:szCs w:val="21"/>
                    </w:rPr>
                    <w:t>硫化废</w:t>
                  </w:r>
                  <w:r>
                    <w:rPr>
                      <w:rFonts w:hint="eastAsia"/>
                      <w:szCs w:val="21"/>
                    </w:rPr>
                    <w:t>气</w:t>
                  </w:r>
                </w:p>
              </w:tc>
              <w:tc>
                <w:tcPr>
                  <w:tcW w:w="567" w:type="dxa"/>
                  <w:gridSpan w:val="2"/>
                  <w:vAlign w:val="center"/>
                </w:tcPr>
                <w:p w14:paraId="6F80FE58">
                  <w:pPr>
                    <w:jc w:val="center"/>
                    <w:rPr>
                      <w:szCs w:val="21"/>
                    </w:rPr>
                  </w:pPr>
                  <w:r>
                    <w:rPr>
                      <w:rFonts w:hint="eastAsia"/>
                      <w:szCs w:val="21"/>
                    </w:rPr>
                    <w:t>2207厂房</w:t>
                  </w:r>
                </w:p>
              </w:tc>
              <w:tc>
                <w:tcPr>
                  <w:tcW w:w="3385" w:type="dxa"/>
                  <w:vAlign w:val="center"/>
                </w:tcPr>
                <w:p w14:paraId="5E628F01">
                  <w:pPr>
                    <w:jc w:val="center"/>
                    <w:rPr>
                      <w:szCs w:val="21"/>
                    </w:rPr>
                  </w:pPr>
                  <w:r>
                    <w:rPr>
                      <w:rFonts w:hint="eastAsia"/>
                      <w:bCs/>
                    </w:rPr>
                    <w:t>活性炭吸脱附-催化燃烧装置+15m高排气筒DA025</w:t>
                  </w:r>
                  <w:r>
                    <w:rPr>
                      <w:rFonts w:hint="eastAsia"/>
                      <w:szCs w:val="21"/>
                    </w:rPr>
                    <w:t>（利用现有）</w:t>
                  </w:r>
                </w:p>
              </w:tc>
              <w:tc>
                <w:tcPr>
                  <w:tcW w:w="674" w:type="dxa"/>
                  <w:vAlign w:val="center"/>
                </w:tcPr>
                <w:p w14:paraId="061512E7">
                  <w:pPr>
                    <w:jc w:val="center"/>
                    <w:rPr>
                      <w:szCs w:val="21"/>
                    </w:rPr>
                  </w:pPr>
                  <w:r>
                    <w:rPr>
                      <w:rFonts w:hint="eastAsia"/>
                      <w:szCs w:val="21"/>
                    </w:rPr>
                    <w:t>利用现有</w:t>
                  </w:r>
                </w:p>
              </w:tc>
            </w:tr>
            <w:tr w14:paraId="520AB11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10D">
                  <w:pPr>
                    <w:jc w:val="center"/>
                    <w:rPr>
                      <w:szCs w:val="21"/>
                      <w:highlight w:val="yellow"/>
                      <w:lang w:val="pt-BR"/>
                    </w:rPr>
                  </w:pPr>
                </w:p>
              </w:tc>
              <w:tc>
                <w:tcPr>
                  <w:tcW w:w="503" w:type="dxa"/>
                  <w:vMerge w:val="continue"/>
                  <w:vAlign w:val="center"/>
                </w:tcPr>
                <w:p w14:paraId="520AB10E">
                  <w:pPr>
                    <w:jc w:val="center"/>
                    <w:rPr>
                      <w:szCs w:val="21"/>
                      <w:highlight w:val="yellow"/>
                      <w:lang w:val="pt-BR"/>
                    </w:rPr>
                  </w:pPr>
                </w:p>
              </w:tc>
              <w:tc>
                <w:tcPr>
                  <w:tcW w:w="798" w:type="dxa"/>
                  <w:vMerge w:val="continue"/>
                  <w:vAlign w:val="center"/>
                </w:tcPr>
                <w:p w14:paraId="520AB10F">
                  <w:pPr>
                    <w:jc w:val="center"/>
                    <w:rPr>
                      <w:szCs w:val="21"/>
                      <w:highlight w:val="yellow"/>
                      <w:lang w:val="pt-BR"/>
                    </w:rPr>
                  </w:pPr>
                </w:p>
              </w:tc>
              <w:tc>
                <w:tcPr>
                  <w:tcW w:w="1184" w:type="dxa"/>
                  <w:vAlign w:val="center"/>
                </w:tcPr>
                <w:p w14:paraId="520AB110">
                  <w:pPr>
                    <w:jc w:val="center"/>
                    <w:rPr>
                      <w:szCs w:val="21"/>
                      <w:highlight w:val="yellow"/>
                      <w:lang w:val="pt-BR"/>
                    </w:rPr>
                  </w:pPr>
                  <w:r>
                    <w:rPr>
                      <w:szCs w:val="21"/>
                      <w:lang w:val="pt-BR"/>
                    </w:rPr>
                    <w:t>固废</w:t>
                  </w:r>
                </w:p>
              </w:tc>
              <w:tc>
                <w:tcPr>
                  <w:tcW w:w="4617" w:type="dxa"/>
                  <w:gridSpan w:val="5"/>
                  <w:vAlign w:val="center"/>
                </w:tcPr>
                <w:p w14:paraId="520AB111">
                  <w:pPr>
                    <w:jc w:val="center"/>
                    <w:rPr>
                      <w:szCs w:val="21"/>
                      <w:highlight w:val="yellow"/>
                    </w:rPr>
                  </w:pPr>
                  <w:r>
                    <w:rPr>
                      <w:rFonts w:hint="eastAsia"/>
                      <w:szCs w:val="21"/>
                    </w:rPr>
                    <w:t>危废贮存库（</w:t>
                  </w:r>
                  <w:r>
                    <w:rPr>
                      <w:szCs w:val="21"/>
                    </w:rPr>
                    <w:t>216m</w:t>
                  </w:r>
                  <w:r>
                    <w:rPr>
                      <w:szCs w:val="21"/>
                      <w:vertAlign w:val="superscript"/>
                    </w:rPr>
                    <w:t>2</w:t>
                  </w:r>
                  <w:r>
                    <w:rPr>
                      <w:rFonts w:hint="eastAsia"/>
                      <w:szCs w:val="21"/>
                    </w:rPr>
                    <w:t>）</w:t>
                  </w:r>
                </w:p>
              </w:tc>
              <w:tc>
                <w:tcPr>
                  <w:tcW w:w="674" w:type="dxa"/>
                  <w:vAlign w:val="center"/>
                </w:tcPr>
                <w:p w14:paraId="520AB112">
                  <w:pPr>
                    <w:jc w:val="center"/>
                    <w:rPr>
                      <w:b/>
                      <w:bCs/>
                      <w:szCs w:val="21"/>
                      <w:highlight w:val="yellow"/>
                      <w:u w:val="single"/>
                    </w:rPr>
                  </w:pPr>
                  <w:r>
                    <w:rPr>
                      <w:rFonts w:hint="eastAsia"/>
                      <w:szCs w:val="21"/>
                    </w:rPr>
                    <w:t>利用现有</w:t>
                  </w:r>
                </w:p>
              </w:tc>
            </w:tr>
            <w:tr w14:paraId="520AB11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114">
                  <w:pPr>
                    <w:jc w:val="center"/>
                    <w:rPr>
                      <w:szCs w:val="21"/>
                      <w:highlight w:val="yellow"/>
                      <w:lang w:val="pt-BR"/>
                    </w:rPr>
                  </w:pPr>
                </w:p>
              </w:tc>
              <w:tc>
                <w:tcPr>
                  <w:tcW w:w="503" w:type="dxa"/>
                  <w:vMerge w:val="continue"/>
                  <w:vAlign w:val="center"/>
                </w:tcPr>
                <w:p w14:paraId="520AB115">
                  <w:pPr>
                    <w:jc w:val="center"/>
                    <w:rPr>
                      <w:szCs w:val="21"/>
                      <w:highlight w:val="yellow"/>
                      <w:lang w:val="pt-BR"/>
                    </w:rPr>
                  </w:pPr>
                </w:p>
              </w:tc>
              <w:tc>
                <w:tcPr>
                  <w:tcW w:w="798" w:type="dxa"/>
                  <w:vMerge w:val="continue"/>
                  <w:vAlign w:val="center"/>
                </w:tcPr>
                <w:p w14:paraId="520AB116">
                  <w:pPr>
                    <w:jc w:val="center"/>
                    <w:rPr>
                      <w:szCs w:val="21"/>
                      <w:highlight w:val="yellow"/>
                      <w:lang w:val="pt-BR"/>
                    </w:rPr>
                  </w:pPr>
                </w:p>
              </w:tc>
              <w:tc>
                <w:tcPr>
                  <w:tcW w:w="1184" w:type="dxa"/>
                  <w:vAlign w:val="center"/>
                </w:tcPr>
                <w:p w14:paraId="520AB117">
                  <w:pPr>
                    <w:jc w:val="center"/>
                    <w:rPr>
                      <w:szCs w:val="21"/>
                      <w:lang w:val="pt-BR"/>
                    </w:rPr>
                  </w:pPr>
                  <w:r>
                    <w:rPr>
                      <w:szCs w:val="21"/>
                      <w:lang w:val="pt-BR"/>
                    </w:rPr>
                    <w:t>噪声</w:t>
                  </w:r>
                </w:p>
              </w:tc>
              <w:tc>
                <w:tcPr>
                  <w:tcW w:w="4617" w:type="dxa"/>
                  <w:gridSpan w:val="5"/>
                  <w:vAlign w:val="center"/>
                </w:tcPr>
                <w:p w14:paraId="520AB118">
                  <w:pPr>
                    <w:jc w:val="center"/>
                    <w:rPr>
                      <w:szCs w:val="21"/>
                    </w:rPr>
                  </w:pPr>
                  <w:r>
                    <w:rPr>
                      <w:szCs w:val="21"/>
                    </w:rPr>
                    <w:t>基础减振、厂房隔声</w:t>
                  </w:r>
                </w:p>
              </w:tc>
              <w:tc>
                <w:tcPr>
                  <w:tcW w:w="674" w:type="dxa"/>
                  <w:vAlign w:val="center"/>
                </w:tcPr>
                <w:p w14:paraId="520AB119">
                  <w:pPr>
                    <w:jc w:val="center"/>
                    <w:rPr>
                      <w:szCs w:val="21"/>
                    </w:rPr>
                  </w:pPr>
                  <w:r>
                    <w:rPr>
                      <w:rFonts w:hint="eastAsia"/>
                      <w:szCs w:val="21"/>
                    </w:rPr>
                    <w:t>新建</w:t>
                  </w:r>
                </w:p>
              </w:tc>
            </w:tr>
            <w:tr w14:paraId="520AB12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restart"/>
                  <w:vAlign w:val="center"/>
                </w:tcPr>
                <w:p w14:paraId="520AB11B">
                  <w:pPr>
                    <w:jc w:val="center"/>
                    <w:rPr>
                      <w:szCs w:val="21"/>
                      <w:lang w:val="pt-BR"/>
                    </w:rPr>
                  </w:pPr>
                  <w:r>
                    <w:rPr>
                      <w:szCs w:val="21"/>
                      <w:lang w:val="pt-BR"/>
                    </w:rPr>
                    <w:t>3</w:t>
                  </w:r>
                </w:p>
              </w:tc>
              <w:tc>
                <w:tcPr>
                  <w:tcW w:w="503" w:type="dxa"/>
                  <w:vMerge w:val="restart"/>
                  <w:vAlign w:val="center"/>
                </w:tcPr>
                <w:p w14:paraId="520AB11C">
                  <w:pPr>
                    <w:jc w:val="center"/>
                    <w:rPr>
                      <w:szCs w:val="21"/>
                      <w:lang w:val="pt-BR"/>
                    </w:rPr>
                  </w:pPr>
                  <w:r>
                    <w:rPr>
                      <w:szCs w:val="21"/>
                      <w:lang w:val="pt-BR"/>
                    </w:rPr>
                    <w:t>公用工程</w:t>
                  </w:r>
                </w:p>
              </w:tc>
              <w:tc>
                <w:tcPr>
                  <w:tcW w:w="1982" w:type="dxa"/>
                  <w:gridSpan w:val="2"/>
                  <w:vAlign w:val="center"/>
                </w:tcPr>
                <w:p w14:paraId="520AB11D">
                  <w:pPr>
                    <w:jc w:val="center"/>
                    <w:rPr>
                      <w:szCs w:val="21"/>
                      <w:lang w:val="pt-BR"/>
                    </w:rPr>
                  </w:pPr>
                  <w:r>
                    <w:rPr>
                      <w:rFonts w:hint="eastAsia"/>
                    </w:rPr>
                    <w:t>供水</w:t>
                  </w:r>
                </w:p>
              </w:tc>
              <w:tc>
                <w:tcPr>
                  <w:tcW w:w="4617" w:type="dxa"/>
                  <w:gridSpan w:val="5"/>
                  <w:vAlign w:val="center"/>
                </w:tcPr>
                <w:p w14:paraId="520AB11E">
                  <w:pPr>
                    <w:jc w:val="center"/>
                    <w:rPr>
                      <w:szCs w:val="21"/>
                      <w:lang w:val="pt-BR"/>
                    </w:rPr>
                  </w:pPr>
                  <w:r>
                    <w:rPr>
                      <w:rFonts w:hint="eastAsia"/>
                      <w:szCs w:val="21"/>
                    </w:rPr>
                    <w:t>市政</w:t>
                  </w:r>
                  <w:r>
                    <w:rPr>
                      <w:szCs w:val="21"/>
                    </w:rPr>
                    <w:t>统一</w:t>
                  </w:r>
                  <w:r>
                    <w:rPr>
                      <w:szCs w:val="21"/>
                      <w:lang w:val="pt-BR"/>
                    </w:rPr>
                    <w:t>供水</w:t>
                  </w:r>
                </w:p>
              </w:tc>
              <w:tc>
                <w:tcPr>
                  <w:tcW w:w="674" w:type="dxa"/>
                  <w:vAlign w:val="center"/>
                </w:tcPr>
                <w:p w14:paraId="520AB11F">
                  <w:pPr>
                    <w:jc w:val="center"/>
                    <w:rPr>
                      <w:szCs w:val="21"/>
                      <w:lang w:val="pt-BR"/>
                    </w:rPr>
                  </w:pPr>
                  <w:r>
                    <w:rPr>
                      <w:rFonts w:hint="eastAsia"/>
                      <w:szCs w:val="21"/>
                      <w:lang w:val="pt-BR"/>
                    </w:rPr>
                    <w:t>/</w:t>
                  </w:r>
                </w:p>
              </w:tc>
            </w:tr>
            <w:tr w14:paraId="520AB12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93" w:type="dxa"/>
                  <w:vMerge w:val="continue"/>
                  <w:vAlign w:val="center"/>
                </w:tcPr>
                <w:p w14:paraId="520AB121">
                  <w:pPr>
                    <w:jc w:val="center"/>
                    <w:rPr>
                      <w:szCs w:val="21"/>
                      <w:lang w:val="pt-BR"/>
                    </w:rPr>
                  </w:pPr>
                </w:p>
              </w:tc>
              <w:tc>
                <w:tcPr>
                  <w:tcW w:w="503" w:type="dxa"/>
                  <w:vMerge w:val="continue"/>
                  <w:vAlign w:val="center"/>
                </w:tcPr>
                <w:p w14:paraId="520AB122">
                  <w:pPr>
                    <w:jc w:val="center"/>
                    <w:rPr>
                      <w:szCs w:val="21"/>
                      <w:lang w:val="pt-BR"/>
                    </w:rPr>
                  </w:pPr>
                </w:p>
              </w:tc>
              <w:tc>
                <w:tcPr>
                  <w:tcW w:w="1982" w:type="dxa"/>
                  <w:gridSpan w:val="2"/>
                  <w:vAlign w:val="center"/>
                </w:tcPr>
                <w:p w14:paraId="520AB123">
                  <w:pPr>
                    <w:jc w:val="center"/>
                    <w:rPr>
                      <w:szCs w:val="21"/>
                      <w:lang w:val="pt-BR"/>
                    </w:rPr>
                  </w:pPr>
                  <w:r>
                    <w:rPr>
                      <w:rFonts w:hint="eastAsia"/>
                    </w:rPr>
                    <w:t>供电</w:t>
                  </w:r>
                </w:p>
              </w:tc>
              <w:tc>
                <w:tcPr>
                  <w:tcW w:w="4617" w:type="dxa"/>
                  <w:gridSpan w:val="5"/>
                  <w:vAlign w:val="center"/>
                </w:tcPr>
                <w:p w14:paraId="520AB124">
                  <w:pPr>
                    <w:jc w:val="center"/>
                    <w:rPr>
                      <w:szCs w:val="21"/>
                      <w:lang w:val="pt-BR"/>
                    </w:rPr>
                  </w:pPr>
                  <w:r>
                    <w:rPr>
                      <w:rFonts w:hint="eastAsia"/>
                      <w:szCs w:val="21"/>
                    </w:rPr>
                    <w:t>市政</w:t>
                  </w:r>
                  <w:r>
                    <w:rPr>
                      <w:szCs w:val="21"/>
                    </w:rPr>
                    <w:t>统一</w:t>
                  </w:r>
                  <w:r>
                    <w:rPr>
                      <w:szCs w:val="21"/>
                      <w:lang w:val="pt-BR"/>
                    </w:rPr>
                    <w:t>供电</w:t>
                  </w:r>
                </w:p>
              </w:tc>
              <w:tc>
                <w:tcPr>
                  <w:tcW w:w="674" w:type="dxa"/>
                  <w:vAlign w:val="center"/>
                </w:tcPr>
                <w:p w14:paraId="520AB125">
                  <w:pPr>
                    <w:jc w:val="center"/>
                    <w:rPr>
                      <w:szCs w:val="21"/>
                      <w:lang w:val="pt-BR"/>
                    </w:rPr>
                  </w:pPr>
                  <w:r>
                    <w:rPr>
                      <w:rFonts w:hint="eastAsia"/>
                      <w:szCs w:val="21"/>
                      <w:lang w:val="pt-BR"/>
                    </w:rPr>
                    <w:t>/</w:t>
                  </w:r>
                </w:p>
              </w:tc>
            </w:tr>
            <w:tr w14:paraId="520AB12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69" w:type="dxa"/>
                  <w:gridSpan w:val="10"/>
                  <w:vAlign w:val="center"/>
                </w:tcPr>
                <w:p w14:paraId="373E7010">
                  <w:pPr>
                    <w:rPr>
                      <w:rFonts w:eastAsia="黑体"/>
                      <w:bCs/>
                      <w:szCs w:val="21"/>
                      <w:lang w:val="pt-BR"/>
                    </w:rPr>
                  </w:pPr>
                  <w:r>
                    <w:rPr>
                      <w:rFonts w:eastAsia="黑体"/>
                      <w:bCs/>
                      <w:szCs w:val="21"/>
                      <w:lang w:val="pt-BR"/>
                    </w:rPr>
                    <w:t>注：</w:t>
                  </w:r>
                  <w:r>
                    <w:rPr>
                      <w:rFonts w:hint="eastAsia" w:eastAsia="黑体"/>
                      <w:bCs/>
                      <w:szCs w:val="21"/>
                      <w:lang w:val="pt-BR"/>
                    </w:rPr>
                    <w:t>（1）“</w:t>
                  </w:r>
                  <w:r>
                    <w:rPr>
                      <w:rFonts w:hint="eastAsia" w:eastAsia="黑体"/>
                      <w:bCs/>
                    </w:rPr>
                    <w:t>活性炭吸脱附-催化燃烧装置TA030+15m高排气筒DA030</w:t>
                  </w:r>
                  <w:r>
                    <w:rPr>
                      <w:rFonts w:hint="eastAsia" w:eastAsia="黑体"/>
                      <w:bCs/>
                      <w:szCs w:val="21"/>
                      <w:lang w:val="pt-BR"/>
                    </w:rPr>
                    <w:t>”</w:t>
                  </w:r>
                  <w:r>
                    <w:rPr>
                      <w:rFonts w:eastAsia="黑体"/>
                      <w:bCs/>
                      <w:szCs w:val="21"/>
                      <w:lang w:val="pt-BR"/>
                    </w:rPr>
                    <w:t>为在建项目配套有机废气治理措施，根据企业提供资料，预计于2026年运行并完成环保验收</w:t>
                  </w:r>
                  <w:r>
                    <w:rPr>
                      <w:rFonts w:hint="eastAsia" w:eastAsia="黑体"/>
                      <w:bCs/>
                      <w:szCs w:val="21"/>
                      <w:lang w:val="pt-BR"/>
                    </w:rPr>
                    <w:t>，本项目于202</w:t>
                  </w:r>
                  <w:r>
                    <w:rPr>
                      <w:rFonts w:eastAsia="黑体"/>
                      <w:bCs/>
                      <w:szCs w:val="21"/>
                      <w:lang w:val="pt-BR"/>
                    </w:rPr>
                    <w:t>7</w:t>
                  </w:r>
                  <w:r>
                    <w:rPr>
                      <w:rFonts w:hint="eastAsia" w:eastAsia="黑体"/>
                      <w:bCs/>
                      <w:szCs w:val="21"/>
                      <w:lang w:val="pt-BR"/>
                    </w:rPr>
                    <w:t>年</w:t>
                  </w:r>
                  <w:r>
                    <w:rPr>
                      <w:rFonts w:eastAsia="黑体"/>
                      <w:bCs/>
                      <w:szCs w:val="21"/>
                      <w:lang w:val="pt-BR"/>
                    </w:rPr>
                    <w:t>9</w:t>
                  </w:r>
                  <w:r>
                    <w:rPr>
                      <w:rFonts w:hint="eastAsia" w:eastAsia="黑体"/>
                      <w:bCs/>
                      <w:szCs w:val="21"/>
                      <w:lang w:val="pt-BR"/>
                    </w:rPr>
                    <w:t>月建设完成，因此本项目有机废气可以依托TA0</w:t>
                  </w:r>
                  <w:r>
                    <w:rPr>
                      <w:rFonts w:eastAsia="黑体"/>
                      <w:bCs/>
                      <w:szCs w:val="21"/>
                      <w:lang w:val="pt-BR"/>
                    </w:rPr>
                    <w:t>3</w:t>
                  </w:r>
                  <w:r>
                    <w:rPr>
                      <w:rFonts w:hint="eastAsia" w:eastAsia="黑体"/>
                      <w:bCs/>
                      <w:szCs w:val="21"/>
                      <w:lang w:val="pt-BR"/>
                    </w:rPr>
                    <w:t>0治理。</w:t>
                  </w:r>
                </w:p>
                <w:p w14:paraId="520AB127">
                  <w:pPr>
                    <w:rPr>
                      <w:rFonts w:eastAsia="黑体"/>
                      <w:bCs/>
                      <w:szCs w:val="21"/>
                      <w:highlight w:val="yellow"/>
                      <w:lang w:val="pt-BR"/>
                    </w:rPr>
                  </w:pPr>
                  <w:r>
                    <w:rPr>
                      <w:rFonts w:hint="eastAsia" w:eastAsia="黑体"/>
                      <w:bCs/>
                      <w:szCs w:val="21"/>
                      <w:lang w:val="pt-BR"/>
                    </w:rPr>
                    <w:t>（2）“袋式除尘器+水喷淋TA019+15m高排气筒DA019”</w:t>
                  </w:r>
                  <w:r>
                    <w:rPr>
                      <w:rFonts w:eastAsia="黑体"/>
                      <w:bCs/>
                      <w:szCs w:val="21"/>
                      <w:lang w:val="pt-BR"/>
                    </w:rPr>
                    <w:t>为在建项目配套</w:t>
                  </w:r>
                  <w:r>
                    <w:rPr>
                      <w:rFonts w:hint="eastAsia" w:eastAsia="黑体"/>
                      <w:bCs/>
                      <w:szCs w:val="21"/>
                      <w:lang w:val="pt-BR"/>
                    </w:rPr>
                    <w:t>吹砂废气</w:t>
                  </w:r>
                  <w:r>
                    <w:rPr>
                      <w:rFonts w:eastAsia="黑体"/>
                      <w:bCs/>
                      <w:szCs w:val="21"/>
                      <w:lang w:val="pt-BR"/>
                    </w:rPr>
                    <w:t>治理措施，根据企业提供资料，预计于2026年运行并完成环保验收</w:t>
                  </w:r>
                  <w:r>
                    <w:rPr>
                      <w:rFonts w:hint="eastAsia" w:eastAsia="黑体"/>
                      <w:bCs/>
                      <w:szCs w:val="21"/>
                      <w:lang w:val="pt-BR"/>
                    </w:rPr>
                    <w:t>，本项目于202</w:t>
                  </w:r>
                  <w:r>
                    <w:rPr>
                      <w:rFonts w:eastAsia="黑体"/>
                      <w:bCs/>
                      <w:szCs w:val="21"/>
                      <w:lang w:val="pt-BR"/>
                    </w:rPr>
                    <w:t>7</w:t>
                  </w:r>
                  <w:r>
                    <w:rPr>
                      <w:rFonts w:hint="eastAsia" w:eastAsia="黑体"/>
                      <w:bCs/>
                      <w:szCs w:val="21"/>
                      <w:lang w:val="pt-BR"/>
                    </w:rPr>
                    <w:t>年</w:t>
                  </w:r>
                  <w:r>
                    <w:rPr>
                      <w:rFonts w:eastAsia="黑体"/>
                      <w:bCs/>
                      <w:szCs w:val="21"/>
                      <w:lang w:val="pt-BR"/>
                    </w:rPr>
                    <w:t>9</w:t>
                  </w:r>
                  <w:r>
                    <w:rPr>
                      <w:rFonts w:hint="eastAsia" w:eastAsia="黑体"/>
                      <w:bCs/>
                      <w:szCs w:val="21"/>
                      <w:lang w:val="pt-BR"/>
                    </w:rPr>
                    <w:t>月建设完成，因此本项目抛丸废气可以依托TA019治理。</w:t>
                  </w:r>
                </w:p>
              </w:tc>
            </w:tr>
          </w:tbl>
          <w:p w14:paraId="520AB129">
            <w:pPr>
              <w:tabs>
                <w:tab w:val="right" w:pos="9734"/>
              </w:tabs>
              <w:adjustRightInd w:val="0"/>
              <w:snapToGrid w:val="0"/>
              <w:spacing w:line="460" w:lineRule="exact"/>
              <w:ind w:firstLine="482" w:firstLineChars="200"/>
              <w:rPr>
                <w:b/>
                <w:sz w:val="24"/>
              </w:rPr>
            </w:pPr>
            <w:r>
              <w:rPr>
                <w:rFonts w:hint="eastAsia"/>
                <w:b/>
                <w:sz w:val="24"/>
              </w:rPr>
              <w:t>3、产品方案</w:t>
            </w:r>
          </w:p>
          <w:p w14:paraId="520AB12A">
            <w:pPr>
              <w:adjustRightInd w:val="0"/>
              <w:snapToGrid w:val="0"/>
              <w:spacing w:line="460" w:lineRule="exact"/>
              <w:ind w:firstLine="480" w:firstLineChars="200"/>
              <w:rPr>
                <w:sz w:val="24"/>
              </w:rPr>
            </w:pPr>
            <w:r>
              <w:rPr>
                <w:rFonts w:hint="eastAsia"/>
                <w:sz w:val="24"/>
              </w:rPr>
              <w:t>本项目为技术改造项目，项目建成前后解放路厂区总产能不发生变动，建设路厂区阀类产品减少。由于新航集团属于军工企业，厂内航空附件产品的具体名称及产能均涉密，本项目产品名称仅以航空附件命名，本项目建成后产品方案及产量核算如下。</w:t>
            </w:r>
          </w:p>
          <w:p w14:paraId="520AB12B">
            <w:pPr>
              <w:spacing w:line="440" w:lineRule="exact"/>
              <w:ind w:firstLine="480" w:firstLineChars="200"/>
              <w:rPr>
                <w:rFonts w:eastAsia="黑体"/>
                <w:bCs/>
                <w:sz w:val="24"/>
              </w:rPr>
            </w:pPr>
            <w:r>
              <w:rPr>
                <w:rFonts w:eastAsia="黑体"/>
                <w:bCs/>
                <w:sz w:val="24"/>
              </w:rPr>
              <w:t>表</w:t>
            </w:r>
            <w:r>
              <w:rPr>
                <w:rFonts w:hint="eastAsia" w:eastAsia="黑体"/>
                <w:bCs/>
                <w:sz w:val="24"/>
              </w:rPr>
              <w:t>12</w:t>
            </w:r>
            <w:r>
              <w:rPr>
                <w:rFonts w:eastAsia="黑体"/>
                <w:bCs/>
                <w:sz w:val="24"/>
              </w:rPr>
              <w:t xml:space="preserve">             </w:t>
            </w:r>
            <w:r>
              <w:rPr>
                <w:rFonts w:hint="eastAsia" w:eastAsia="黑体"/>
                <w:bCs/>
                <w:sz w:val="24"/>
              </w:rPr>
              <w:t>本项目建成后产品及产量一览表</w:t>
            </w:r>
          </w:p>
          <w:tbl>
            <w:tblPr>
              <w:tblStyle w:val="18"/>
              <w:tblW w:w="5000" w:type="pct"/>
              <w:jc w:val="center"/>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78"/>
              <w:gridCol w:w="4112"/>
              <w:gridCol w:w="3079"/>
            </w:tblGrid>
            <w:tr w14:paraId="520AB12F">
              <w:tblPrEx>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4" w:type="pct"/>
                  <w:vAlign w:val="center"/>
                </w:tcPr>
                <w:p w14:paraId="520AB12C">
                  <w:pPr>
                    <w:jc w:val="center"/>
                    <w:rPr>
                      <w:b/>
                      <w:bCs/>
                      <w:szCs w:val="21"/>
                    </w:rPr>
                  </w:pPr>
                  <w:r>
                    <w:rPr>
                      <w:b/>
                      <w:bCs/>
                      <w:szCs w:val="21"/>
                    </w:rPr>
                    <w:t>序</w:t>
                  </w:r>
                  <w:r>
                    <w:rPr>
                      <w:rFonts w:hint="eastAsia"/>
                      <w:b/>
                      <w:bCs/>
                      <w:szCs w:val="21"/>
                    </w:rPr>
                    <w:t>号</w:t>
                  </w:r>
                </w:p>
              </w:tc>
              <w:tc>
                <w:tcPr>
                  <w:tcW w:w="2548" w:type="pct"/>
                  <w:vAlign w:val="center"/>
                </w:tcPr>
                <w:p w14:paraId="520AB12D">
                  <w:pPr>
                    <w:jc w:val="center"/>
                    <w:rPr>
                      <w:b/>
                      <w:bCs/>
                      <w:szCs w:val="21"/>
                    </w:rPr>
                  </w:pPr>
                  <w:r>
                    <w:rPr>
                      <w:b/>
                      <w:bCs/>
                      <w:szCs w:val="21"/>
                    </w:rPr>
                    <w:t>产品</w:t>
                  </w:r>
                </w:p>
              </w:tc>
              <w:tc>
                <w:tcPr>
                  <w:tcW w:w="1908" w:type="pct"/>
                  <w:vAlign w:val="center"/>
                </w:tcPr>
                <w:p w14:paraId="520AB12E">
                  <w:pPr>
                    <w:jc w:val="center"/>
                    <w:rPr>
                      <w:b/>
                      <w:bCs/>
                      <w:szCs w:val="21"/>
                    </w:rPr>
                  </w:pPr>
                  <w:r>
                    <w:rPr>
                      <w:b/>
                      <w:bCs/>
                      <w:szCs w:val="21"/>
                    </w:rPr>
                    <w:t>产能</w:t>
                  </w:r>
                </w:p>
              </w:tc>
            </w:tr>
            <w:tr w14:paraId="520AB133">
              <w:tblPrEx>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4" w:type="pct"/>
                  <w:vAlign w:val="center"/>
                </w:tcPr>
                <w:p w14:paraId="520AB130">
                  <w:pPr>
                    <w:contextualSpacing/>
                    <w:jc w:val="center"/>
                    <w:textAlignment w:val="baseline"/>
                    <w:rPr>
                      <w:bCs/>
                      <w:szCs w:val="21"/>
                      <w:highlight w:val="yellow"/>
                    </w:rPr>
                  </w:pPr>
                  <w:r>
                    <w:rPr>
                      <w:bCs/>
                      <w:szCs w:val="21"/>
                    </w:rPr>
                    <w:t>1</w:t>
                  </w:r>
                </w:p>
              </w:tc>
              <w:tc>
                <w:tcPr>
                  <w:tcW w:w="2548" w:type="pct"/>
                  <w:vAlign w:val="center"/>
                </w:tcPr>
                <w:p w14:paraId="520AB131">
                  <w:pPr>
                    <w:contextualSpacing/>
                    <w:jc w:val="center"/>
                    <w:textAlignment w:val="baseline"/>
                    <w:rPr>
                      <w:bCs/>
                      <w:szCs w:val="21"/>
                      <w:highlight w:val="yellow"/>
                    </w:rPr>
                  </w:pPr>
                  <w:r>
                    <w:rPr>
                      <w:rFonts w:hint="eastAsia"/>
                      <w:bCs/>
                      <w:szCs w:val="21"/>
                    </w:rPr>
                    <w:t>航空附件</w:t>
                  </w:r>
                </w:p>
              </w:tc>
              <w:tc>
                <w:tcPr>
                  <w:tcW w:w="1908" w:type="pct"/>
                  <w:vAlign w:val="center"/>
                </w:tcPr>
                <w:p w14:paraId="520AB132">
                  <w:pPr>
                    <w:contextualSpacing/>
                    <w:jc w:val="center"/>
                    <w:textAlignment w:val="baseline"/>
                    <w:rPr>
                      <w:bCs/>
                      <w:szCs w:val="21"/>
                      <w:highlight w:val="yellow"/>
                    </w:rPr>
                  </w:pPr>
                  <w:r>
                    <w:rPr>
                      <w:rFonts w:hint="eastAsia"/>
                      <w:kern w:val="0"/>
                      <w:szCs w:val="21"/>
                    </w:rPr>
                    <w:t>若干件/年</w:t>
                  </w:r>
                </w:p>
              </w:tc>
            </w:tr>
          </w:tbl>
          <w:p w14:paraId="63138D66">
            <w:pPr>
              <w:adjustRightInd w:val="0"/>
              <w:snapToGrid w:val="0"/>
              <w:spacing w:line="460" w:lineRule="exact"/>
              <w:ind w:firstLine="480" w:firstLineChars="200"/>
              <w:rPr>
                <w:bCs/>
                <w:sz w:val="24"/>
              </w:rPr>
            </w:pPr>
            <w:r>
              <w:rPr>
                <w:rFonts w:hint="eastAsia"/>
                <w:bCs/>
                <w:sz w:val="24"/>
              </w:rPr>
              <w:t>注：由于战斗机机型更新迭代，减少其配套阀类产品100套/年。</w:t>
            </w:r>
          </w:p>
          <w:p w14:paraId="520AB134">
            <w:pPr>
              <w:adjustRightInd w:val="0"/>
              <w:snapToGrid w:val="0"/>
              <w:spacing w:line="460" w:lineRule="exact"/>
              <w:ind w:firstLine="482" w:firstLineChars="200"/>
              <w:rPr>
                <w:b/>
                <w:sz w:val="24"/>
              </w:rPr>
            </w:pPr>
            <w:r>
              <w:rPr>
                <w:rFonts w:hint="eastAsia"/>
                <w:b/>
                <w:sz w:val="24"/>
              </w:rPr>
              <w:t>4</w:t>
            </w:r>
            <w:r>
              <w:rPr>
                <w:b/>
                <w:sz w:val="24"/>
              </w:rPr>
              <w:t>、主要生产设备</w:t>
            </w:r>
          </w:p>
          <w:p w14:paraId="520AB135">
            <w:pPr>
              <w:adjustRightInd w:val="0"/>
              <w:snapToGrid w:val="0"/>
              <w:spacing w:line="460" w:lineRule="exact"/>
              <w:ind w:firstLine="480" w:firstLineChars="200"/>
              <w:rPr>
                <w:sz w:val="24"/>
              </w:rPr>
            </w:pPr>
            <w:r>
              <w:rPr>
                <w:sz w:val="24"/>
              </w:rPr>
              <w:t>项目企业</w:t>
            </w:r>
            <w:r>
              <w:rPr>
                <w:rFonts w:hint="eastAsia"/>
                <w:sz w:val="24"/>
              </w:rPr>
              <w:t>（新航集团）属于</w:t>
            </w:r>
            <w:r>
              <w:rPr>
                <w:sz w:val="24"/>
              </w:rPr>
              <w:t>军工企业，订单周期一般较短，现有订单加急生产的情况</w:t>
            </w:r>
            <w:r>
              <w:rPr>
                <w:rFonts w:hint="eastAsia"/>
                <w:sz w:val="24"/>
              </w:rPr>
              <w:t>下，</w:t>
            </w:r>
            <w:r>
              <w:rPr>
                <w:sz w:val="24"/>
              </w:rPr>
              <w:t>现有部分设备</w:t>
            </w:r>
            <w:r>
              <w:rPr>
                <w:rFonts w:hint="eastAsia"/>
                <w:sz w:val="24"/>
              </w:rPr>
              <w:t>无法</w:t>
            </w:r>
            <w:r>
              <w:rPr>
                <w:sz w:val="24"/>
              </w:rPr>
              <w:t>满足</w:t>
            </w:r>
            <w:r>
              <w:rPr>
                <w:rFonts w:hint="eastAsia"/>
                <w:sz w:val="24"/>
              </w:rPr>
              <w:t>生产需求</w:t>
            </w:r>
            <w:r>
              <w:rPr>
                <w:sz w:val="24"/>
              </w:rPr>
              <w:t>，</w:t>
            </w:r>
            <w:r>
              <w:rPr>
                <w:rFonts w:hint="eastAsia"/>
                <w:sz w:val="24"/>
              </w:rPr>
              <w:t>企业</w:t>
            </w:r>
            <w:r>
              <w:rPr>
                <w:sz w:val="24"/>
              </w:rPr>
              <w:t>为保质保量</w:t>
            </w:r>
            <w:r>
              <w:rPr>
                <w:rFonts w:hint="eastAsia"/>
                <w:sz w:val="24"/>
              </w:rPr>
              <w:t>地</w:t>
            </w:r>
            <w:r>
              <w:rPr>
                <w:sz w:val="24"/>
              </w:rPr>
              <w:t>按时完成任务，拟对</w:t>
            </w:r>
            <w:r>
              <w:rPr>
                <w:rFonts w:hint="eastAsia"/>
                <w:sz w:val="24"/>
              </w:rPr>
              <w:t>建设路厂区加工中心、检验设备、抛丸</w:t>
            </w:r>
            <w:r>
              <w:rPr>
                <w:sz w:val="24"/>
              </w:rPr>
              <w:t>设备</w:t>
            </w:r>
            <w:r>
              <w:rPr>
                <w:rFonts w:hint="eastAsia"/>
                <w:sz w:val="24"/>
              </w:rPr>
              <w:t>、干燥设备</w:t>
            </w:r>
            <w:r>
              <w:rPr>
                <w:sz w:val="24"/>
              </w:rPr>
              <w:t>进行补充，</w:t>
            </w:r>
            <w:r>
              <w:rPr>
                <w:rFonts w:hint="eastAsia"/>
                <w:sz w:val="24"/>
              </w:rPr>
              <w:t>对解放路厂区硫化设备、保持工作环境设备进行补充。项目建成后，该部分设备处理的产品</w:t>
            </w:r>
            <w:r>
              <w:rPr>
                <w:sz w:val="24"/>
              </w:rPr>
              <w:t>产能不变</w:t>
            </w:r>
            <w:r>
              <w:rPr>
                <w:rFonts w:hint="eastAsia"/>
                <w:sz w:val="24"/>
              </w:rPr>
              <w:t>，涉及工段工作时间减少。另外，为了提升产品检验精度，建设路厂区新增试验设备。</w:t>
            </w:r>
          </w:p>
          <w:p w14:paraId="520AB136">
            <w:pPr>
              <w:adjustRightInd w:val="0"/>
              <w:snapToGrid w:val="0"/>
              <w:spacing w:line="460" w:lineRule="exact"/>
              <w:ind w:firstLine="480" w:firstLineChars="200"/>
              <w:rPr>
                <w:sz w:val="24"/>
              </w:rPr>
            </w:pPr>
            <w:r>
              <w:rPr>
                <w:rFonts w:hint="eastAsia"/>
                <w:sz w:val="24"/>
              </w:rPr>
              <w:t>本项目为改建项目，主要生产</w:t>
            </w:r>
            <w:r>
              <w:rPr>
                <w:sz w:val="24"/>
              </w:rPr>
              <w:t>设备见</w:t>
            </w:r>
            <w:r>
              <w:rPr>
                <w:rFonts w:hint="eastAsia"/>
                <w:sz w:val="24"/>
              </w:rPr>
              <w:t>下表</w:t>
            </w:r>
            <w:r>
              <w:rPr>
                <w:sz w:val="24"/>
              </w:rPr>
              <w:t>。</w:t>
            </w:r>
          </w:p>
          <w:p w14:paraId="03A39485">
            <w:pPr>
              <w:adjustRightInd w:val="0"/>
              <w:snapToGrid w:val="0"/>
              <w:spacing w:line="460" w:lineRule="exact"/>
              <w:ind w:firstLine="480" w:firstLineChars="200"/>
              <w:rPr>
                <w:sz w:val="24"/>
                <w:highlight w:val="yellow"/>
              </w:rPr>
            </w:pPr>
          </w:p>
          <w:p w14:paraId="520AB137">
            <w:pPr>
              <w:adjustRightInd w:val="0"/>
              <w:snapToGrid w:val="0"/>
              <w:spacing w:line="460" w:lineRule="exact"/>
              <w:ind w:firstLine="480" w:firstLineChars="200"/>
              <w:rPr>
                <w:rFonts w:eastAsia="黑体"/>
                <w:sz w:val="24"/>
              </w:rPr>
            </w:pPr>
            <w:r>
              <w:rPr>
                <w:rFonts w:eastAsia="黑体"/>
                <w:sz w:val="24"/>
                <w:lang w:val="pt-BR"/>
              </w:rPr>
              <w:t>表</w:t>
            </w:r>
            <w:r>
              <w:rPr>
                <w:rFonts w:eastAsia="黑体"/>
                <w:sz w:val="24"/>
              </w:rPr>
              <w:t>1</w:t>
            </w:r>
            <w:r>
              <w:rPr>
                <w:rFonts w:hint="eastAsia" w:eastAsia="黑体"/>
                <w:sz w:val="24"/>
              </w:rPr>
              <w:t>3</w:t>
            </w:r>
            <w:r>
              <w:rPr>
                <w:rFonts w:eastAsia="黑体"/>
                <w:sz w:val="24"/>
                <w:lang w:val="pt-BR"/>
              </w:rPr>
              <w:t xml:space="preserve">   </w:t>
            </w:r>
            <w:r>
              <w:rPr>
                <w:rFonts w:hint="eastAsia" w:eastAsia="黑体"/>
                <w:sz w:val="24"/>
                <w:lang w:val="pt-BR"/>
              </w:rPr>
              <w:t xml:space="preserve">  </w:t>
            </w:r>
            <w:r>
              <w:rPr>
                <w:rFonts w:eastAsia="黑体"/>
                <w:sz w:val="24"/>
                <w:lang w:val="pt-BR"/>
              </w:rPr>
              <w:t xml:space="preserve">      </w:t>
            </w:r>
            <w:r>
              <w:rPr>
                <w:rFonts w:hint="eastAsia" w:eastAsia="黑体"/>
                <w:sz w:val="24"/>
                <w:lang w:val="pt-BR"/>
              </w:rPr>
              <w:t xml:space="preserve"> </w:t>
            </w:r>
            <w:r>
              <w:rPr>
                <w:rFonts w:eastAsia="黑体"/>
                <w:sz w:val="24"/>
                <w:lang w:val="pt-BR"/>
              </w:rPr>
              <w:t xml:space="preserve">  </w:t>
            </w:r>
            <w:r>
              <w:rPr>
                <w:rFonts w:eastAsia="黑体"/>
                <w:sz w:val="24"/>
              </w:rPr>
              <w:t>本项目</w:t>
            </w:r>
            <w:r>
              <w:rPr>
                <w:rFonts w:eastAsia="黑体"/>
                <w:sz w:val="24"/>
                <w:lang w:val="pt-BR"/>
              </w:rPr>
              <w:t>生产设备一览表</w:t>
            </w:r>
          </w:p>
          <w:tbl>
            <w:tblPr>
              <w:tblStyle w:val="18"/>
              <w:tblW w:w="4944"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1" w:type="dxa"/>
                <w:bottom w:w="0" w:type="dxa"/>
                <w:right w:w="11" w:type="dxa"/>
              </w:tblCellMar>
            </w:tblPr>
            <w:tblGrid>
              <w:gridCol w:w="449"/>
              <w:gridCol w:w="1378"/>
              <w:gridCol w:w="1571"/>
              <w:gridCol w:w="992"/>
              <w:gridCol w:w="980"/>
              <w:gridCol w:w="570"/>
              <w:gridCol w:w="2039"/>
            </w:tblGrid>
            <w:tr w14:paraId="520AB13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38">
                  <w:pPr>
                    <w:widowControl/>
                    <w:jc w:val="center"/>
                    <w:rPr>
                      <w:kern w:val="0"/>
                      <w:szCs w:val="21"/>
                    </w:rPr>
                  </w:pPr>
                  <w:r>
                    <w:rPr>
                      <w:b/>
                      <w:szCs w:val="21"/>
                      <w:lang w:val="pt-BR"/>
                    </w:rPr>
                    <w:t>序号</w:t>
                  </w:r>
                </w:p>
              </w:tc>
              <w:tc>
                <w:tcPr>
                  <w:tcW w:w="1378" w:type="dxa"/>
                  <w:vAlign w:val="center"/>
                </w:tcPr>
                <w:p w14:paraId="520AB139">
                  <w:pPr>
                    <w:jc w:val="center"/>
                    <w:rPr>
                      <w:szCs w:val="21"/>
                    </w:rPr>
                  </w:pPr>
                  <w:r>
                    <w:rPr>
                      <w:b/>
                      <w:szCs w:val="21"/>
                      <w:lang w:val="pt-BR"/>
                    </w:rPr>
                    <w:t>设备名称</w:t>
                  </w:r>
                </w:p>
              </w:tc>
              <w:tc>
                <w:tcPr>
                  <w:tcW w:w="1571" w:type="dxa"/>
                  <w:vAlign w:val="center"/>
                </w:tcPr>
                <w:p w14:paraId="520AB13A">
                  <w:pPr>
                    <w:jc w:val="center"/>
                    <w:rPr>
                      <w:b/>
                      <w:szCs w:val="21"/>
                      <w:lang w:val="pt-BR"/>
                    </w:rPr>
                  </w:pPr>
                  <w:r>
                    <w:rPr>
                      <w:rFonts w:hint="eastAsia"/>
                      <w:b/>
                      <w:szCs w:val="21"/>
                      <w:lang w:val="pt-BR"/>
                    </w:rPr>
                    <w:t>介质及年用量</w:t>
                  </w:r>
                </w:p>
              </w:tc>
              <w:tc>
                <w:tcPr>
                  <w:tcW w:w="992" w:type="dxa"/>
                  <w:vAlign w:val="center"/>
                </w:tcPr>
                <w:p w14:paraId="520AB13B">
                  <w:pPr>
                    <w:jc w:val="center"/>
                    <w:rPr>
                      <w:bCs/>
                      <w:szCs w:val="21"/>
                      <w:lang w:val="pt-BR"/>
                    </w:rPr>
                  </w:pPr>
                  <w:r>
                    <w:rPr>
                      <w:b/>
                      <w:szCs w:val="21"/>
                      <w:lang w:val="pt-BR"/>
                    </w:rPr>
                    <w:t>数</w:t>
                  </w:r>
                  <w:r>
                    <w:rPr>
                      <w:rFonts w:hint="eastAsia"/>
                      <w:b/>
                      <w:szCs w:val="21"/>
                      <w:lang w:val="pt-BR"/>
                    </w:rPr>
                    <w:t>量/台/套</w:t>
                  </w:r>
                </w:p>
              </w:tc>
              <w:tc>
                <w:tcPr>
                  <w:tcW w:w="980" w:type="dxa"/>
                  <w:vAlign w:val="center"/>
                </w:tcPr>
                <w:p w14:paraId="520AB13C">
                  <w:pPr>
                    <w:jc w:val="center"/>
                    <w:rPr>
                      <w:b/>
                      <w:szCs w:val="21"/>
                      <w:lang w:val="pt-BR"/>
                    </w:rPr>
                  </w:pPr>
                  <w:r>
                    <w:rPr>
                      <w:rFonts w:hint="eastAsia"/>
                      <w:b/>
                      <w:szCs w:val="21"/>
                      <w:lang w:val="pt-BR"/>
                    </w:rPr>
                    <w:t>位置</w:t>
                  </w:r>
                </w:p>
              </w:tc>
              <w:tc>
                <w:tcPr>
                  <w:tcW w:w="570" w:type="dxa"/>
                  <w:vAlign w:val="center"/>
                </w:tcPr>
                <w:p w14:paraId="520AB13D">
                  <w:pPr>
                    <w:jc w:val="center"/>
                    <w:rPr>
                      <w:b/>
                      <w:szCs w:val="21"/>
                      <w:lang w:val="pt-BR"/>
                    </w:rPr>
                  </w:pPr>
                  <w:r>
                    <w:rPr>
                      <w:rFonts w:hint="eastAsia"/>
                      <w:b/>
                      <w:szCs w:val="21"/>
                      <w:lang w:val="pt-BR"/>
                    </w:rPr>
                    <w:t>厂区</w:t>
                  </w:r>
                </w:p>
              </w:tc>
              <w:tc>
                <w:tcPr>
                  <w:tcW w:w="2039" w:type="dxa"/>
                  <w:vAlign w:val="center"/>
                </w:tcPr>
                <w:p w14:paraId="520AB13E">
                  <w:pPr>
                    <w:jc w:val="center"/>
                    <w:rPr>
                      <w:bCs/>
                      <w:szCs w:val="21"/>
                      <w:lang w:val="pt-BR"/>
                    </w:rPr>
                  </w:pPr>
                  <w:r>
                    <w:rPr>
                      <w:b/>
                      <w:szCs w:val="21"/>
                      <w:lang w:val="pt-BR"/>
                    </w:rPr>
                    <w:t>备注</w:t>
                  </w:r>
                </w:p>
              </w:tc>
            </w:tr>
            <w:tr w14:paraId="520AB14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7979" w:type="dxa"/>
                  <w:gridSpan w:val="7"/>
                  <w:vAlign w:val="center"/>
                </w:tcPr>
                <w:p w14:paraId="520AB140">
                  <w:pPr>
                    <w:jc w:val="center"/>
                    <w:rPr>
                      <w:b/>
                      <w:szCs w:val="21"/>
                      <w:highlight w:val="yellow"/>
                      <w:lang w:val="pt-BR"/>
                    </w:rPr>
                  </w:pPr>
                  <w:r>
                    <w:rPr>
                      <w:rFonts w:hint="eastAsia"/>
                      <w:b/>
                      <w:szCs w:val="21"/>
                      <w:lang w:val="pt-BR"/>
                    </w:rPr>
                    <w:t>一、设备部分</w:t>
                  </w:r>
                </w:p>
              </w:tc>
            </w:tr>
            <w:tr w14:paraId="520AB14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42">
                  <w:pPr>
                    <w:widowControl/>
                    <w:jc w:val="center"/>
                    <w:rPr>
                      <w:kern w:val="0"/>
                      <w:szCs w:val="21"/>
                    </w:rPr>
                  </w:pPr>
                  <w:r>
                    <w:rPr>
                      <w:rFonts w:hint="eastAsia"/>
                      <w:kern w:val="0"/>
                      <w:szCs w:val="21"/>
                    </w:rPr>
                    <w:t>1</w:t>
                  </w:r>
                </w:p>
              </w:tc>
              <w:tc>
                <w:tcPr>
                  <w:tcW w:w="1378" w:type="dxa"/>
                  <w:vAlign w:val="center"/>
                </w:tcPr>
                <w:p w14:paraId="520AB143">
                  <w:pPr>
                    <w:jc w:val="center"/>
                    <w:rPr>
                      <w:szCs w:val="22"/>
                    </w:rPr>
                  </w:pPr>
                  <w:r>
                    <w:rPr>
                      <w:rFonts w:hint="eastAsia"/>
                      <w:szCs w:val="22"/>
                    </w:rPr>
                    <w:t>卧式加工中心（四轴）</w:t>
                  </w:r>
                </w:p>
              </w:tc>
              <w:tc>
                <w:tcPr>
                  <w:tcW w:w="1571" w:type="dxa"/>
                  <w:vAlign w:val="center"/>
                </w:tcPr>
                <w:p w14:paraId="520AB144">
                  <w:pPr>
                    <w:jc w:val="center"/>
                    <w:rPr>
                      <w:szCs w:val="21"/>
                      <w:lang w:val="pt-BR"/>
                    </w:rPr>
                  </w:pPr>
                  <w:r>
                    <w:rPr>
                      <w:rFonts w:hint="eastAsia"/>
                      <w:szCs w:val="21"/>
                      <w:lang w:val="pt-BR"/>
                    </w:rPr>
                    <w:t>切削液、15L/a</w:t>
                  </w:r>
                </w:p>
              </w:tc>
              <w:tc>
                <w:tcPr>
                  <w:tcW w:w="992" w:type="dxa"/>
                  <w:vAlign w:val="center"/>
                </w:tcPr>
                <w:p w14:paraId="520AB145">
                  <w:pPr>
                    <w:jc w:val="center"/>
                    <w:rPr>
                      <w:szCs w:val="21"/>
                      <w:lang w:val="pt-BR"/>
                    </w:rPr>
                  </w:pPr>
                  <w:r>
                    <w:rPr>
                      <w:rFonts w:hint="eastAsia"/>
                      <w:szCs w:val="21"/>
                      <w:lang w:val="pt-BR"/>
                    </w:rPr>
                    <w:t>1</w:t>
                  </w:r>
                </w:p>
              </w:tc>
              <w:tc>
                <w:tcPr>
                  <w:tcW w:w="980" w:type="dxa"/>
                  <w:vMerge w:val="restart"/>
                  <w:vAlign w:val="center"/>
                </w:tcPr>
                <w:p w14:paraId="520AB146">
                  <w:pPr>
                    <w:jc w:val="center"/>
                    <w:rPr>
                      <w:bCs/>
                      <w:szCs w:val="21"/>
                      <w:highlight w:val="yellow"/>
                      <w:lang w:val="pt-BR"/>
                    </w:rPr>
                  </w:pPr>
                  <w:r>
                    <w:rPr>
                      <w:szCs w:val="21"/>
                    </w:rPr>
                    <w:t>153</w:t>
                  </w:r>
                  <w:r>
                    <w:rPr>
                      <w:rFonts w:hint="eastAsia"/>
                      <w:szCs w:val="21"/>
                    </w:rPr>
                    <w:t>#</w:t>
                  </w:r>
                  <w:r>
                    <w:rPr>
                      <w:szCs w:val="21"/>
                    </w:rPr>
                    <w:t>-1厂房</w:t>
                  </w:r>
                </w:p>
              </w:tc>
              <w:tc>
                <w:tcPr>
                  <w:tcW w:w="570" w:type="dxa"/>
                  <w:vMerge w:val="restart"/>
                  <w:vAlign w:val="center"/>
                </w:tcPr>
                <w:p w14:paraId="520AB147">
                  <w:pPr>
                    <w:jc w:val="center"/>
                    <w:rPr>
                      <w:bCs/>
                      <w:szCs w:val="21"/>
                      <w:highlight w:val="yellow"/>
                      <w:lang w:val="pt-BR"/>
                    </w:rPr>
                  </w:pPr>
                  <w:r>
                    <w:rPr>
                      <w:szCs w:val="21"/>
                    </w:rPr>
                    <w:t>建设路</w:t>
                  </w:r>
                  <w:r>
                    <w:rPr>
                      <w:rFonts w:hint="eastAsia"/>
                      <w:szCs w:val="21"/>
                    </w:rPr>
                    <w:t>厂区</w:t>
                  </w:r>
                </w:p>
              </w:tc>
              <w:tc>
                <w:tcPr>
                  <w:tcW w:w="2039" w:type="dxa"/>
                  <w:vAlign w:val="center"/>
                </w:tcPr>
                <w:p w14:paraId="520AB148">
                  <w:pPr>
                    <w:jc w:val="center"/>
                    <w:rPr>
                      <w:bCs/>
                      <w:szCs w:val="21"/>
                      <w:highlight w:val="yellow"/>
                      <w:lang w:val="pt-BR"/>
                    </w:rPr>
                  </w:pPr>
                  <w:r>
                    <w:rPr>
                      <w:rFonts w:hint="eastAsia"/>
                      <w:bCs/>
                      <w:szCs w:val="21"/>
                      <w:lang w:val="pt-BR"/>
                    </w:rPr>
                    <w:t>用于多面、复杂曲面加工</w:t>
                  </w:r>
                </w:p>
              </w:tc>
            </w:tr>
            <w:tr w14:paraId="520AB15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4A">
                  <w:pPr>
                    <w:widowControl/>
                    <w:jc w:val="center"/>
                    <w:rPr>
                      <w:kern w:val="0"/>
                      <w:szCs w:val="21"/>
                    </w:rPr>
                  </w:pPr>
                  <w:r>
                    <w:rPr>
                      <w:rFonts w:hint="eastAsia"/>
                      <w:kern w:val="0"/>
                      <w:szCs w:val="21"/>
                    </w:rPr>
                    <w:t>2</w:t>
                  </w:r>
                </w:p>
              </w:tc>
              <w:tc>
                <w:tcPr>
                  <w:tcW w:w="1378" w:type="dxa"/>
                  <w:vAlign w:val="center"/>
                </w:tcPr>
                <w:p w14:paraId="520AB14B">
                  <w:pPr>
                    <w:jc w:val="center"/>
                    <w:rPr>
                      <w:szCs w:val="22"/>
                    </w:rPr>
                  </w:pPr>
                  <w:r>
                    <w:rPr>
                      <w:szCs w:val="21"/>
                    </w:rPr>
                    <w:t>干燥箱</w:t>
                  </w:r>
                </w:p>
              </w:tc>
              <w:tc>
                <w:tcPr>
                  <w:tcW w:w="1571" w:type="dxa"/>
                  <w:vAlign w:val="center"/>
                </w:tcPr>
                <w:p w14:paraId="520AB14C">
                  <w:pPr>
                    <w:jc w:val="center"/>
                    <w:rPr>
                      <w:szCs w:val="21"/>
                      <w:lang w:val="pt-BR"/>
                    </w:rPr>
                  </w:pPr>
                  <w:r>
                    <w:rPr>
                      <w:rFonts w:hint="eastAsia"/>
                      <w:szCs w:val="21"/>
                      <w:lang w:val="pt-BR"/>
                    </w:rPr>
                    <w:t>/</w:t>
                  </w:r>
                </w:p>
              </w:tc>
              <w:tc>
                <w:tcPr>
                  <w:tcW w:w="992" w:type="dxa"/>
                  <w:vAlign w:val="center"/>
                </w:tcPr>
                <w:p w14:paraId="520AB14D">
                  <w:pPr>
                    <w:jc w:val="center"/>
                    <w:rPr>
                      <w:szCs w:val="21"/>
                      <w:lang w:val="pt-BR"/>
                    </w:rPr>
                  </w:pPr>
                  <w:r>
                    <w:rPr>
                      <w:rFonts w:hint="eastAsia"/>
                      <w:szCs w:val="21"/>
                      <w:lang w:val="pt-BR"/>
                    </w:rPr>
                    <w:t>1</w:t>
                  </w:r>
                </w:p>
              </w:tc>
              <w:tc>
                <w:tcPr>
                  <w:tcW w:w="980" w:type="dxa"/>
                  <w:vMerge w:val="continue"/>
                  <w:vAlign w:val="center"/>
                </w:tcPr>
                <w:p w14:paraId="520AB14E">
                  <w:pPr>
                    <w:jc w:val="center"/>
                    <w:rPr>
                      <w:szCs w:val="21"/>
                    </w:rPr>
                  </w:pPr>
                </w:p>
              </w:tc>
              <w:tc>
                <w:tcPr>
                  <w:tcW w:w="570" w:type="dxa"/>
                  <w:vMerge w:val="continue"/>
                  <w:vAlign w:val="center"/>
                </w:tcPr>
                <w:p w14:paraId="520AB14F">
                  <w:pPr>
                    <w:jc w:val="center"/>
                    <w:rPr>
                      <w:szCs w:val="21"/>
                    </w:rPr>
                  </w:pPr>
                </w:p>
              </w:tc>
              <w:tc>
                <w:tcPr>
                  <w:tcW w:w="2039" w:type="dxa"/>
                  <w:vAlign w:val="center"/>
                </w:tcPr>
                <w:p w14:paraId="520AB150">
                  <w:pPr>
                    <w:jc w:val="center"/>
                    <w:rPr>
                      <w:bCs/>
                      <w:szCs w:val="21"/>
                      <w:highlight w:val="yellow"/>
                      <w:lang w:val="pt-BR"/>
                    </w:rPr>
                  </w:pPr>
                  <w:r>
                    <w:rPr>
                      <w:rFonts w:hint="eastAsia"/>
                      <w:bCs/>
                      <w:szCs w:val="21"/>
                      <w:lang w:val="pt-BR"/>
                    </w:rPr>
                    <w:t>保持工件干燥</w:t>
                  </w:r>
                </w:p>
              </w:tc>
            </w:tr>
            <w:tr w14:paraId="520AB15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52">
                  <w:pPr>
                    <w:widowControl/>
                    <w:jc w:val="center"/>
                    <w:rPr>
                      <w:kern w:val="0"/>
                      <w:szCs w:val="21"/>
                    </w:rPr>
                  </w:pPr>
                  <w:r>
                    <w:rPr>
                      <w:rFonts w:hint="eastAsia"/>
                      <w:kern w:val="0"/>
                      <w:szCs w:val="21"/>
                    </w:rPr>
                    <w:t>3</w:t>
                  </w:r>
                </w:p>
              </w:tc>
              <w:tc>
                <w:tcPr>
                  <w:tcW w:w="1378" w:type="dxa"/>
                  <w:vAlign w:val="center"/>
                </w:tcPr>
                <w:p w14:paraId="520AB153">
                  <w:pPr>
                    <w:jc w:val="center"/>
                    <w:rPr>
                      <w:szCs w:val="22"/>
                    </w:rPr>
                  </w:pPr>
                  <w:r>
                    <w:rPr>
                      <w:rFonts w:hint="eastAsia"/>
                      <w:szCs w:val="22"/>
                    </w:rPr>
                    <w:t>激光刻标机</w:t>
                  </w:r>
                </w:p>
              </w:tc>
              <w:tc>
                <w:tcPr>
                  <w:tcW w:w="1571" w:type="dxa"/>
                  <w:vAlign w:val="center"/>
                </w:tcPr>
                <w:p w14:paraId="520AB154">
                  <w:pPr>
                    <w:jc w:val="center"/>
                    <w:rPr>
                      <w:szCs w:val="21"/>
                      <w:lang w:val="pt-BR"/>
                    </w:rPr>
                  </w:pPr>
                  <w:r>
                    <w:rPr>
                      <w:rFonts w:hint="eastAsia"/>
                      <w:szCs w:val="21"/>
                      <w:lang w:val="pt-BR"/>
                    </w:rPr>
                    <w:t>/</w:t>
                  </w:r>
                </w:p>
              </w:tc>
              <w:tc>
                <w:tcPr>
                  <w:tcW w:w="992" w:type="dxa"/>
                  <w:vAlign w:val="center"/>
                </w:tcPr>
                <w:p w14:paraId="520AB155">
                  <w:pPr>
                    <w:jc w:val="center"/>
                    <w:rPr>
                      <w:szCs w:val="21"/>
                      <w:lang w:val="pt-BR"/>
                    </w:rPr>
                  </w:pPr>
                  <w:r>
                    <w:rPr>
                      <w:rFonts w:hint="eastAsia"/>
                      <w:szCs w:val="21"/>
                      <w:lang w:val="pt-BR"/>
                    </w:rPr>
                    <w:t>1</w:t>
                  </w:r>
                </w:p>
              </w:tc>
              <w:tc>
                <w:tcPr>
                  <w:tcW w:w="980" w:type="dxa"/>
                  <w:vMerge w:val="restart"/>
                  <w:vAlign w:val="center"/>
                </w:tcPr>
                <w:p w14:paraId="520AB156">
                  <w:pPr>
                    <w:jc w:val="center"/>
                    <w:rPr>
                      <w:bCs/>
                      <w:szCs w:val="21"/>
                      <w:highlight w:val="yellow"/>
                      <w:lang w:val="pt-BR"/>
                    </w:rPr>
                  </w:pPr>
                  <w:r>
                    <w:rPr>
                      <w:szCs w:val="21"/>
                    </w:rPr>
                    <w:t>1205</w:t>
                  </w:r>
                  <w:r>
                    <w:rPr>
                      <w:rFonts w:hint="eastAsia"/>
                      <w:szCs w:val="21"/>
                    </w:rPr>
                    <w:t>#</w:t>
                  </w:r>
                  <w:r>
                    <w:rPr>
                      <w:szCs w:val="21"/>
                    </w:rPr>
                    <w:t>厂房</w:t>
                  </w:r>
                </w:p>
              </w:tc>
              <w:tc>
                <w:tcPr>
                  <w:tcW w:w="570" w:type="dxa"/>
                  <w:vMerge w:val="continue"/>
                  <w:vAlign w:val="center"/>
                </w:tcPr>
                <w:p w14:paraId="520AB157">
                  <w:pPr>
                    <w:jc w:val="center"/>
                    <w:rPr>
                      <w:bCs/>
                      <w:szCs w:val="21"/>
                      <w:highlight w:val="yellow"/>
                      <w:lang w:val="pt-BR"/>
                    </w:rPr>
                  </w:pPr>
                </w:p>
              </w:tc>
              <w:tc>
                <w:tcPr>
                  <w:tcW w:w="2039" w:type="dxa"/>
                  <w:vAlign w:val="center"/>
                </w:tcPr>
                <w:p w14:paraId="520AB158">
                  <w:pPr>
                    <w:jc w:val="center"/>
                    <w:rPr>
                      <w:bCs/>
                      <w:szCs w:val="21"/>
                      <w:highlight w:val="yellow"/>
                      <w:lang w:val="pt-BR"/>
                    </w:rPr>
                  </w:pPr>
                  <w:r>
                    <w:rPr>
                      <w:rFonts w:hint="eastAsia"/>
                      <w:bCs/>
                      <w:szCs w:val="21"/>
                      <w:lang w:val="pt-BR"/>
                    </w:rPr>
                    <w:t>用于工件激光刻标</w:t>
                  </w:r>
                </w:p>
              </w:tc>
            </w:tr>
            <w:tr w14:paraId="520AB16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5A">
                  <w:pPr>
                    <w:widowControl/>
                    <w:jc w:val="center"/>
                    <w:rPr>
                      <w:kern w:val="0"/>
                      <w:szCs w:val="21"/>
                    </w:rPr>
                  </w:pPr>
                  <w:r>
                    <w:rPr>
                      <w:rFonts w:hint="eastAsia"/>
                      <w:kern w:val="0"/>
                      <w:szCs w:val="21"/>
                    </w:rPr>
                    <w:t>4</w:t>
                  </w:r>
                </w:p>
              </w:tc>
              <w:tc>
                <w:tcPr>
                  <w:tcW w:w="1378" w:type="dxa"/>
                  <w:vAlign w:val="center"/>
                </w:tcPr>
                <w:p w14:paraId="520AB15B">
                  <w:pPr>
                    <w:jc w:val="center"/>
                    <w:rPr>
                      <w:szCs w:val="22"/>
                    </w:rPr>
                  </w:pPr>
                  <w:r>
                    <w:rPr>
                      <w:rFonts w:hint="eastAsia"/>
                      <w:szCs w:val="22"/>
                    </w:rPr>
                    <w:t>滑油冲洗试验台</w:t>
                  </w:r>
                </w:p>
              </w:tc>
              <w:tc>
                <w:tcPr>
                  <w:tcW w:w="1571" w:type="dxa"/>
                  <w:vAlign w:val="center"/>
                </w:tcPr>
                <w:p w14:paraId="520AB15C">
                  <w:pPr>
                    <w:jc w:val="center"/>
                    <w:rPr>
                      <w:szCs w:val="21"/>
                      <w:lang w:val="pt-BR"/>
                    </w:rPr>
                  </w:pPr>
                  <w:r>
                    <w:rPr>
                      <w:rFonts w:hint="eastAsia"/>
                      <w:szCs w:val="21"/>
                      <w:lang w:val="pt-BR"/>
                    </w:rPr>
                    <w:t>滑油，0.5t/a</w:t>
                  </w:r>
                </w:p>
              </w:tc>
              <w:tc>
                <w:tcPr>
                  <w:tcW w:w="992" w:type="dxa"/>
                  <w:vAlign w:val="center"/>
                </w:tcPr>
                <w:p w14:paraId="520AB15D">
                  <w:pPr>
                    <w:jc w:val="center"/>
                    <w:rPr>
                      <w:szCs w:val="21"/>
                      <w:lang w:val="pt-BR"/>
                    </w:rPr>
                  </w:pPr>
                  <w:r>
                    <w:rPr>
                      <w:rFonts w:hint="eastAsia"/>
                      <w:szCs w:val="21"/>
                      <w:lang w:val="pt-BR"/>
                    </w:rPr>
                    <w:t>1</w:t>
                  </w:r>
                </w:p>
              </w:tc>
              <w:tc>
                <w:tcPr>
                  <w:tcW w:w="980" w:type="dxa"/>
                  <w:vMerge w:val="continue"/>
                  <w:vAlign w:val="center"/>
                </w:tcPr>
                <w:p w14:paraId="520AB15E">
                  <w:pPr>
                    <w:jc w:val="center"/>
                    <w:rPr>
                      <w:szCs w:val="21"/>
                    </w:rPr>
                  </w:pPr>
                </w:p>
              </w:tc>
              <w:tc>
                <w:tcPr>
                  <w:tcW w:w="570" w:type="dxa"/>
                  <w:vMerge w:val="continue"/>
                  <w:vAlign w:val="center"/>
                </w:tcPr>
                <w:p w14:paraId="520AB15F">
                  <w:pPr>
                    <w:jc w:val="center"/>
                    <w:rPr>
                      <w:bCs/>
                      <w:szCs w:val="21"/>
                      <w:highlight w:val="yellow"/>
                      <w:lang w:val="pt-BR"/>
                    </w:rPr>
                  </w:pPr>
                </w:p>
              </w:tc>
              <w:tc>
                <w:tcPr>
                  <w:tcW w:w="2039" w:type="dxa"/>
                  <w:vAlign w:val="center"/>
                </w:tcPr>
                <w:p w14:paraId="520AB160">
                  <w:pPr>
                    <w:jc w:val="center"/>
                    <w:rPr>
                      <w:bCs/>
                      <w:szCs w:val="21"/>
                      <w:highlight w:val="yellow"/>
                      <w:lang w:val="pt-BR"/>
                    </w:rPr>
                  </w:pPr>
                  <w:r>
                    <w:rPr>
                      <w:rFonts w:hint="eastAsia"/>
                      <w:bCs/>
                      <w:szCs w:val="21"/>
                      <w:lang w:val="pt-BR"/>
                    </w:rPr>
                    <w:t>用于检测发动机滑油系统关键部位性能</w:t>
                  </w:r>
                </w:p>
              </w:tc>
            </w:tr>
            <w:tr w14:paraId="520AB16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62">
                  <w:pPr>
                    <w:widowControl/>
                    <w:jc w:val="center"/>
                    <w:rPr>
                      <w:kern w:val="0"/>
                      <w:szCs w:val="21"/>
                    </w:rPr>
                  </w:pPr>
                  <w:r>
                    <w:rPr>
                      <w:rFonts w:hint="eastAsia"/>
                      <w:kern w:val="0"/>
                      <w:szCs w:val="21"/>
                    </w:rPr>
                    <w:t>5</w:t>
                  </w:r>
                </w:p>
              </w:tc>
              <w:tc>
                <w:tcPr>
                  <w:tcW w:w="1378" w:type="dxa"/>
                  <w:vAlign w:val="center"/>
                </w:tcPr>
                <w:p w14:paraId="520AB163">
                  <w:pPr>
                    <w:jc w:val="center"/>
                    <w:rPr>
                      <w:szCs w:val="22"/>
                    </w:rPr>
                  </w:pPr>
                  <w:r>
                    <w:rPr>
                      <w:rFonts w:hint="eastAsia"/>
                      <w:szCs w:val="22"/>
                    </w:rPr>
                    <w:t>示波器</w:t>
                  </w:r>
                </w:p>
              </w:tc>
              <w:tc>
                <w:tcPr>
                  <w:tcW w:w="1571" w:type="dxa"/>
                  <w:vAlign w:val="center"/>
                </w:tcPr>
                <w:p w14:paraId="520AB164">
                  <w:pPr>
                    <w:jc w:val="center"/>
                    <w:rPr>
                      <w:szCs w:val="21"/>
                      <w:lang w:val="pt-BR"/>
                    </w:rPr>
                  </w:pPr>
                  <w:r>
                    <w:rPr>
                      <w:rFonts w:hint="eastAsia"/>
                      <w:szCs w:val="21"/>
                      <w:lang w:val="pt-BR"/>
                    </w:rPr>
                    <w:t>/</w:t>
                  </w:r>
                </w:p>
              </w:tc>
              <w:tc>
                <w:tcPr>
                  <w:tcW w:w="992" w:type="dxa"/>
                  <w:vAlign w:val="center"/>
                </w:tcPr>
                <w:p w14:paraId="520AB165">
                  <w:pPr>
                    <w:jc w:val="center"/>
                    <w:rPr>
                      <w:szCs w:val="21"/>
                      <w:lang w:val="pt-BR"/>
                    </w:rPr>
                  </w:pPr>
                  <w:r>
                    <w:rPr>
                      <w:rFonts w:hint="eastAsia"/>
                      <w:szCs w:val="21"/>
                      <w:lang w:val="pt-BR"/>
                    </w:rPr>
                    <w:t>1</w:t>
                  </w:r>
                </w:p>
              </w:tc>
              <w:tc>
                <w:tcPr>
                  <w:tcW w:w="980" w:type="dxa"/>
                  <w:vMerge w:val="restart"/>
                  <w:vAlign w:val="center"/>
                </w:tcPr>
                <w:p w14:paraId="520AB166">
                  <w:pPr>
                    <w:jc w:val="center"/>
                    <w:rPr>
                      <w:bCs/>
                      <w:szCs w:val="21"/>
                      <w:highlight w:val="yellow"/>
                      <w:lang w:val="pt-BR"/>
                    </w:rPr>
                  </w:pPr>
                  <w:r>
                    <w:rPr>
                      <w:szCs w:val="21"/>
                    </w:rPr>
                    <w:t>1202</w:t>
                  </w:r>
                  <w:r>
                    <w:rPr>
                      <w:rFonts w:hint="eastAsia"/>
                      <w:szCs w:val="21"/>
                    </w:rPr>
                    <w:t>#</w:t>
                  </w:r>
                  <w:r>
                    <w:rPr>
                      <w:szCs w:val="21"/>
                    </w:rPr>
                    <w:t>厂房</w:t>
                  </w:r>
                </w:p>
              </w:tc>
              <w:tc>
                <w:tcPr>
                  <w:tcW w:w="570" w:type="dxa"/>
                  <w:vMerge w:val="continue"/>
                  <w:vAlign w:val="center"/>
                </w:tcPr>
                <w:p w14:paraId="520AB167">
                  <w:pPr>
                    <w:jc w:val="center"/>
                    <w:rPr>
                      <w:bCs/>
                      <w:szCs w:val="21"/>
                      <w:highlight w:val="yellow"/>
                      <w:lang w:val="pt-BR"/>
                    </w:rPr>
                  </w:pPr>
                </w:p>
              </w:tc>
              <w:tc>
                <w:tcPr>
                  <w:tcW w:w="2039" w:type="dxa"/>
                  <w:vAlign w:val="center"/>
                </w:tcPr>
                <w:p w14:paraId="520AB168">
                  <w:pPr>
                    <w:jc w:val="center"/>
                    <w:rPr>
                      <w:bCs/>
                      <w:szCs w:val="21"/>
                      <w:highlight w:val="yellow"/>
                      <w:lang w:val="pt-BR"/>
                    </w:rPr>
                  </w:pPr>
                  <w:r>
                    <w:rPr>
                      <w:rFonts w:hint="eastAsia"/>
                      <w:bCs/>
                      <w:szCs w:val="21"/>
                      <w:lang w:val="pt-BR"/>
                    </w:rPr>
                    <w:t>电信号检验</w:t>
                  </w:r>
                </w:p>
              </w:tc>
            </w:tr>
            <w:tr w14:paraId="520AB17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6A">
                  <w:pPr>
                    <w:widowControl/>
                    <w:jc w:val="center"/>
                    <w:rPr>
                      <w:kern w:val="0"/>
                      <w:szCs w:val="21"/>
                    </w:rPr>
                  </w:pPr>
                  <w:r>
                    <w:rPr>
                      <w:rFonts w:hint="eastAsia"/>
                      <w:kern w:val="0"/>
                      <w:szCs w:val="21"/>
                    </w:rPr>
                    <w:t>6</w:t>
                  </w:r>
                </w:p>
              </w:tc>
              <w:tc>
                <w:tcPr>
                  <w:tcW w:w="1378" w:type="dxa"/>
                  <w:vAlign w:val="center"/>
                </w:tcPr>
                <w:p w14:paraId="520AB16B">
                  <w:pPr>
                    <w:jc w:val="center"/>
                    <w:rPr>
                      <w:szCs w:val="22"/>
                    </w:rPr>
                  </w:pPr>
                  <w:r>
                    <w:rPr>
                      <w:szCs w:val="21"/>
                    </w:rPr>
                    <w:t>充放电设备</w:t>
                  </w:r>
                </w:p>
              </w:tc>
              <w:tc>
                <w:tcPr>
                  <w:tcW w:w="1571" w:type="dxa"/>
                  <w:vAlign w:val="center"/>
                </w:tcPr>
                <w:p w14:paraId="520AB16C">
                  <w:pPr>
                    <w:jc w:val="center"/>
                    <w:rPr>
                      <w:szCs w:val="21"/>
                      <w:lang w:val="pt-BR"/>
                    </w:rPr>
                  </w:pPr>
                  <w:r>
                    <w:rPr>
                      <w:rFonts w:hint="eastAsia"/>
                      <w:szCs w:val="21"/>
                      <w:lang w:val="pt-BR"/>
                    </w:rPr>
                    <w:t>/</w:t>
                  </w:r>
                </w:p>
              </w:tc>
              <w:tc>
                <w:tcPr>
                  <w:tcW w:w="992" w:type="dxa"/>
                  <w:vAlign w:val="center"/>
                </w:tcPr>
                <w:p w14:paraId="520AB16D">
                  <w:pPr>
                    <w:jc w:val="center"/>
                    <w:rPr>
                      <w:szCs w:val="21"/>
                      <w:lang w:val="pt-BR"/>
                    </w:rPr>
                  </w:pPr>
                  <w:r>
                    <w:rPr>
                      <w:rFonts w:hint="eastAsia"/>
                      <w:szCs w:val="21"/>
                      <w:lang w:val="pt-BR"/>
                    </w:rPr>
                    <w:t>1</w:t>
                  </w:r>
                </w:p>
              </w:tc>
              <w:tc>
                <w:tcPr>
                  <w:tcW w:w="980" w:type="dxa"/>
                  <w:vMerge w:val="continue"/>
                  <w:vAlign w:val="center"/>
                </w:tcPr>
                <w:p w14:paraId="520AB16E">
                  <w:pPr>
                    <w:jc w:val="center"/>
                    <w:rPr>
                      <w:bCs/>
                      <w:szCs w:val="21"/>
                      <w:highlight w:val="yellow"/>
                      <w:lang w:val="pt-BR"/>
                    </w:rPr>
                  </w:pPr>
                </w:p>
              </w:tc>
              <w:tc>
                <w:tcPr>
                  <w:tcW w:w="570" w:type="dxa"/>
                  <w:vMerge w:val="continue"/>
                  <w:vAlign w:val="center"/>
                </w:tcPr>
                <w:p w14:paraId="520AB16F">
                  <w:pPr>
                    <w:jc w:val="center"/>
                    <w:rPr>
                      <w:bCs/>
                      <w:szCs w:val="21"/>
                      <w:highlight w:val="yellow"/>
                      <w:lang w:val="pt-BR"/>
                    </w:rPr>
                  </w:pPr>
                </w:p>
              </w:tc>
              <w:tc>
                <w:tcPr>
                  <w:tcW w:w="2039" w:type="dxa"/>
                  <w:vAlign w:val="center"/>
                </w:tcPr>
                <w:p w14:paraId="520AB170">
                  <w:pPr>
                    <w:jc w:val="center"/>
                    <w:rPr>
                      <w:bCs/>
                      <w:szCs w:val="21"/>
                      <w:highlight w:val="yellow"/>
                      <w:lang w:val="pt-BR"/>
                    </w:rPr>
                  </w:pPr>
                  <w:r>
                    <w:rPr>
                      <w:rFonts w:hint="eastAsia"/>
                      <w:bCs/>
                      <w:szCs w:val="21"/>
                      <w:lang w:val="pt-BR"/>
                    </w:rPr>
                    <w:t>检验产品是否绝缘</w:t>
                  </w:r>
                </w:p>
              </w:tc>
            </w:tr>
            <w:tr w14:paraId="520AB17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72">
                  <w:pPr>
                    <w:widowControl/>
                    <w:jc w:val="center"/>
                    <w:rPr>
                      <w:kern w:val="0"/>
                      <w:szCs w:val="21"/>
                    </w:rPr>
                  </w:pPr>
                  <w:r>
                    <w:rPr>
                      <w:rFonts w:hint="eastAsia"/>
                      <w:kern w:val="0"/>
                      <w:szCs w:val="21"/>
                    </w:rPr>
                    <w:t>7</w:t>
                  </w:r>
                </w:p>
              </w:tc>
              <w:tc>
                <w:tcPr>
                  <w:tcW w:w="1378" w:type="dxa"/>
                  <w:vAlign w:val="center"/>
                </w:tcPr>
                <w:p w14:paraId="520AB173">
                  <w:pPr>
                    <w:jc w:val="center"/>
                    <w:rPr>
                      <w:szCs w:val="21"/>
                    </w:rPr>
                  </w:pPr>
                  <w:r>
                    <w:rPr>
                      <w:szCs w:val="21"/>
                    </w:rPr>
                    <w:t>液压高低压冲击试验台</w:t>
                  </w:r>
                </w:p>
              </w:tc>
              <w:tc>
                <w:tcPr>
                  <w:tcW w:w="1571" w:type="dxa"/>
                  <w:vAlign w:val="center"/>
                </w:tcPr>
                <w:p w14:paraId="520AB174">
                  <w:pPr>
                    <w:jc w:val="center"/>
                    <w:rPr>
                      <w:szCs w:val="21"/>
                      <w:highlight w:val="yellow"/>
                      <w:lang w:val="pt-BR"/>
                    </w:rPr>
                  </w:pPr>
                  <w:r>
                    <w:rPr>
                      <w:rFonts w:hint="eastAsia"/>
                      <w:szCs w:val="21"/>
                    </w:rPr>
                    <w:t>15#航空液压油</w:t>
                  </w:r>
                  <w:r>
                    <w:rPr>
                      <w:rFonts w:hint="eastAsia"/>
                      <w:szCs w:val="21"/>
                      <w:lang w:val="pt-BR"/>
                    </w:rPr>
                    <w:t>，100L/a</w:t>
                  </w:r>
                </w:p>
              </w:tc>
              <w:tc>
                <w:tcPr>
                  <w:tcW w:w="992" w:type="dxa"/>
                  <w:vAlign w:val="center"/>
                </w:tcPr>
                <w:p w14:paraId="520AB175">
                  <w:pPr>
                    <w:jc w:val="center"/>
                    <w:rPr>
                      <w:szCs w:val="21"/>
                      <w:lang w:val="pt-BR"/>
                    </w:rPr>
                  </w:pPr>
                  <w:r>
                    <w:rPr>
                      <w:rFonts w:hint="eastAsia"/>
                      <w:szCs w:val="21"/>
                      <w:lang w:val="pt-BR"/>
                    </w:rPr>
                    <w:t>1</w:t>
                  </w:r>
                </w:p>
              </w:tc>
              <w:tc>
                <w:tcPr>
                  <w:tcW w:w="980" w:type="dxa"/>
                  <w:vMerge w:val="restart"/>
                  <w:vAlign w:val="center"/>
                </w:tcPr>
                <w:p w14:paraId="520AB176">
                  <w:pPr>
                    <w:jc w:val="center"/>
                    <w:rPr>
                      <w:szCs w:val="21"/>
                    </w:rPr>
                  </w:pPr>
                  <w:r>
                    <w:rPr>
                      <w:szCs w:val="21"/>
                    </w:rPr>
                    <w:t>10</w:t>
                  </w:r>
                  <w:r>
                    <w:rPr>
                      <w:rFonts w:hint="eastAsia"/>
                      <w:szCs w:val="21"/>
                    </w:rPr>
                    <w:t>#</w:t>
                  </w:r>
                  <w:r>
                    <w:rPr>
                      <w:szCs w:val="21"/>
                    </w:rPr>
                    <w:t>1厂房</w:t>
                  </w:r>
                </w:p>
              </w:tc>
              <w:tc>
                <w:tcPr>
                  <w:tcW w:w="570" w:type="dxa"/>
                  <w:vMerge w:val="continue"/>
                  <w:vAlign w:val="center"/>
                </w:tcPr>
                <w:p w14:paraId="520AB177">
                  <w:pPr>
                    <w:jc w:val="center"/>
                    <w:rPr>
                      <w:bCs/>
                      <w:szCs w:val="21"/>
                      <w:highlight w:val="yellow"/>
                      <w:lang w:val="pt-BR"/>
                    </w:rPr>
                  </w:pPr>
                </w:p>
              </w:tc>
              <w:tc>
                <w:tcPr>
                  <w:tcW w:w="2039" w:type="dxa"/>
                  <w:vAlign w:val="center"/>
                </w:tcPr>
                <w:p w14:paraId="520AB178">
                  <w:pPr>
                    <w:jc w:val="center"/>
                    <w:rPr>
                      <w:bCs/>
                      <w:szCs w:val="21"/>
                      <w:highlight w:val="yellow"/>
                      <w:lang w:val="pt-BR"/>
                    </w:rPr>
                  </w:pPr>
                  <w:r>
                    <w:rPr>
                      <w:rFonts w:hint="eastAsia"/>
                      <w:bCs/>
                      <w:szCs w:val="21"/>
                      <w:lang w:val="pt-BR"/>
                    </w:rPr>
                    <w:t>用于测试工件在高压脉冲和低压脉冲条件下的耐久性及抗压能力</w:t>
                  </w:r>
                </w:p>
              </w:tc>
            </w:tr>
            <w:tr w14:paraId="520AB18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7A">
                  <w:pPr>
                    <w:widowControl/>
                    <w:jc w:val="center"/>
                    <w:rPr>
                      <w:kern w:val="0"/>
                      <w:szCs w:val="21"/>
                    </w:rPr>
                  </w:pPr>
                  <w:r>
                    <w:rPr>
                      <w:rFonts w:hint="eastAsia"/>
                      <w:kern w:val="0"/>
                      <w:szCs w:val="21"/>
                    </w:rPr>
                    <w:t>8</w:t>
                  </w:r>
                </w:p>
              </w:tc>
              <w:tc>
                <w:tcPr>
                  <w:tcW w:w="1378" w:type="dxa"/>
                  <w:vAlign w:val="center"/>
                </w:tcPr>
                <w:p w14:paraId="520AB17B">
                  <w:pPr>
                    <w:jc w:val="center"/>
                    <w:rPr>
                      <w:szCs w:val="21"/>
                    </w:rPr>
                  </w:pPr>
                  <w:r>
                    <w:rPr>
                      <w:rFonts w:hint="eastAsia"/>
                      <w:szCs w:val="21"/>
                    </w:rPr>
                    <w:t>悬臂行吊</w:t>
                  </w:r>
                </w:p>
              </w:tc>
              <w:tc>
                <w:tcPr>
                  <w:tcW w:w="1571" w:type="dxa"/>
                  <w:vAlign w:val="center"/>
                </w:tcPr>
                <w:p w14:paraId="520AB17C">
                  <w:pPr>
                    <w:jc w:val="center"/>
                    <w:rPr>
                      <w:szCs w:val="21"/>
                      <w:lang w:val="pt-BR"/>
                    </w:rPr>
                  </w:pPr>
                  <w:r>
                    <w:rPr>
                      <w:rFonts w:hint="eastAsia"/>
                      <w:szCs w:val="21"/>
                      <w:lang w:val="pt-BR"/>
                    </w:rPr>
                    <w:t>/</w:t>
                  </w:r>
                </w:p>
              </w:tc>
              <w:tc>
                <w:tcPr>
                  <w:tcW w:w="992" w:type="dxa"/>
                  <w:vAlign w:val="center"/>
                </w:tcPr>
                <w:p w14:paraId="520AB17D">
                  <w:pPr>
                    <w:jc w:val="center"/>
                    <w:rPr>
                      <w:szCs w:val="21"/>
                      <w:lang w:val="pt-BR"/>
                    </w:rPr>
                  </w:pPr>
                  <w:r>
                    <w:rPr>
                      <w:rFonts w:hint="eastAsia"/>
                      <w:szCs w:val="21"/>
                      <w:lang w:val="pt-BR"/>
                    </w:rPr>
                    <w:t>1</w:t>
                  </w:r>
                </w:p>
              </w:tc>
              <w:tc>
                <w:tcPr>
                  <w:tcW w:w="980" w:type="dxa"/>
                  <w:vMerge w:val="continue"/>
                  <w:vAlign w:val="center"/>
                </w:tcPr>
                <w:p w14:paraId="520AB17E">
                  <w:pPr>
                    <w:jc w:val="center"/>
                    <w:rPr>
                      <w:szCs w:val="21"/>
                    </w:rPr>
                  </w:pPr>
                </w:p>
              </w:tc>
              <w:tc>
                <w:tcPr>
                  <w:tcW w:w="570" w:type="dxa"/>
                  <w:vMerge w:val="continue"/>
                  <w:vAlign w:val="center"/>
                </w:tcPr>
                <w:p w14:paraId="520AB17F">
                  <w:pPr>
                    <w:jc w:val="center"/>
                    <w:rPr>
                      <w:bCs/>
                      <w:szCs w:val="21"/>
                      <w:highlight w:val="yellow"/>
                      <w:lang w:val="pt-BR"/>
                    </w:rPr>
                  </w:pPr>
                </w:p>
              </w:tc>
              <w:tc>
                <w:tcPr>
                  <w:tcW w:w="2039" w:type="dxa"/>
                  <w:vAlign w:val="center"/>
                </w:tcPr>
                <w:p w14:paraId="520AB180">
                  <w:pPr>
                    <w:jc w:val="center"/>
                    <w:rPr>
                      <w:bCs/>
                      <w:szCs w:val="21"/>
                      <w:highlight w:val="yellow"/>
                      <w:lang w:val="pt-BR"/>
                    </w:rPr>
                  </w:pPr>
                  <w:r>
                    <w:rPr>
                      <w:rFonts w:hint="eastAsia"/>
                      <w:bCs/>
                      <w:szCs w:val="21"/>
                      <w:lang w:val="pt-BR"/>
                    </w:rPr>
                    <w:t>用于大工件移动</w:t>
                  </w:r>
                </w:p>
              </w:tc>
            </w:tr>
            <w:tr w14:paraId="520AB18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82">
                  <w:pPr>
                    <w:widowControl/>
                    <w:jc w:val="center"/>
                    <w:rPr>
                      <w:kern w:val="0"/>
                      <w:szCs w:val="21"/>
                    </w:rPr>
                  </w:pPr>
                  <w:r>
                    <w:rPr>
                      <w:rFonts w:hint="eastAsia"/>
                      <w:kern w:val="0"/>
                      <w:szCs w:val="21"/>
                    </w:rPr>
                    <w:t>9</w:t>
                  </w:r>
                </w:p>
              </w:tc>
              <w:tc>
                <w:tcPr>
                  <w:tcW w:w="1378" w:type="dxa"/>
                  <w:vAlign w:val="center"/>
                </w:tcPr>
                <w:p w14:paraId="520AB183">
                  <w:pPr>
                    <w:jc w:val="center"/>
                    <w:rPr>
                      <w:szCs w:val="21"/>
                    </w:rPr>
                  </w:pPr>
                  <w:r>
                    <w:rPr>
                      <w:szCs w:val="21"/>
                    </w:rPr>
                    <w:t>抛丸机</w:t>
                  </w:r>
                </w:p>
              </w:tc>
              <w:tc>
                <w:tcPr>
                  <w:tcW w:w="1571" w:type="dxa"/>
                  <w:vAlign w:val="center"/>
                </w:tcPr>
                <w:p w14:paraId="520AB184">
                  <w:pPr>
                    <w:jc w:val="center"/>
                    <w:rPr>
                      <w:szCs w:val="21"/>
                      <w:lang w:val="pt-BR"/>
                    </w:rPr>
                  </w:pPr>
                  <w:r>
                    <w:rPr>
                      <w:rFonts w:hint="eastAsia"/>
                      <w:szCs w:val="21"/>
                      <w:lang w:val="pt-BR"/>
                    </w:rPr>
                    <w:t>钢丸，</w:t>
                  </w:r>
                </w:p>
              </w:tc>
              <w:tc>
                <w:tcPr>
                  <w:tcW w:w="992" w:type="dxa"/>
                  <w:vAlign w:val="center"/>
                </w:tcPr>
                <w:p w14:paraId="520AB185">
                  <w:pPr>
                    <w:jc w:val="center"/>
                    <w:rPr>
                      <w:szCs w:val="21"/>
                      <w:lang w:val="pt-BR"/>
                    </w:rPr>
                  </w:pPr>
                  <w:r>
                    <w:rPr>
                      <w:rFonts w:hint="eastAsia"/>
                      <w:szCs w:val="21"/>
                      <w:lang w:val="pt-BR"/>
                    </w:rPr>
                    <w:t>1</w:t>
                  </w:r>
                </w:p>
              </w:tc>
              <w:tc>
                <w:tcPr>
                  <w:tcW w:w="980" w:type="dxa"/>
                  <w:vAlign w:val="center"/>
                </w:tcPr>
                <w:p w14:paraId="520AB186">
                  <w:pPr>
                    <w:jc w:val="center"/>
                    <w:rPr>
                      <w:szCs w:val="21"/>
                    </w:rPr>
                  </w:pPr>
                  <w:r>
                    <w:rPr>
                      <w:rFonts w:hint="eastAsia"/>
                      <w:szCs w:val="21"/>
                    </w:rPr>
                    <w:t>105#</w:t>
                  </w:r>
                  <w:r>
                    <w:rPr>
                      <w:szCs w:val="21"/>
                    </w:rPr>
                    <w:t>厂房</w:t>
                  </w:r>
                </w:p>
              </w:tc>
              <w:tc>
                <w:tcPr>
                  <w:tcW w:w="570" w:type="dxa"/>
                  <w:vMerge w:val="continue"/>
                  <w:vAlign w:val="center"/>
                </w:tcPr>
                <w:p w14:paraId="520AB187">
                  <w:pPr>
                    <w:jc w:val="center"/>
                    <w:rPr>
                      <w:bCs/>
                      <w:szCs w:val="21"/>
                      <w:highlight w:val="yellow"/>
                      <w:lang w:val="pt-BR"/>
                    </w:rPr>
                  </w:pPr>
                </w:p>
              </w:tc>
              <w:tc>
                <w:tcPr>
                  <w:tcW w:w="2039" w:type="dxa"/>
                  <w:vAlign w:val="center"/>
                </w:tcPr>
                <w:p w14:paraId="520AB188">
                  <w:pPr>
                    <w:jc w:val="center"/>
                    <w:rPr>
                      <w:bCs/>
                      <w:szCs w:val="21"/>
                      <w:highlight w:val="yellow"/>
                      <w:lang w:val="pt-BR"/>
                    </w:rPr>
                  </w:pPr>
                  <w:r>
                    <w:rPr>
                      <w:rFonts w:hint="eastAsia"/>
                      <w:bCs/>
                      <w:szCs w:val="21"/>
                      <w:lang w:val="pt-BR"/>
                    </w:rPr>
                    <w:t>处理工件表面</w:t>
                  </w:r>
                </w:p>
              </w:tc>
            </w:tr>
            <w:tr w14:paraId="520AB19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8A">
                  <w:pPr>
                    <w:widowControl/>
                    <w:jc w:val="center"/>
                    <w:rPr>
                      <w:kern w:val="0"/>
                      <w:szCs w:val="21"/>
                    </w:rPr>
                  </w:pPr>
                  <w:r>
                    <w:rPr>
                      <w:rFonts w:hint="eastAsia"/>
                      <w:kern w:val="0"/>
                      <w:szCs w:val="21"/>
                    </w:rPr>
                    <w:t>10</w:t>
                  </w:r>
                </w:p>
              </w:tc>
              <w:tc>
                <w:tcPr>
                  <w:tcW w:w="1378" w:type="dxa"/>
                  <w:vAlign w:val="center"/>
                </w:tcPr>
                <w:p w14:paraId="520AB18B">
                  <w:pPr>
                    <w:jc w:val="center"/>
                    <w:rPr>
                      <w:szCs w:val="21"/>
                    </w:rPr>
                  </w:pPr>
                  <w:r>
                    <w:rPr>
                      <w:szCs w:val="21"/>
                    </w:rPr>
                    <w:t>3150变压器</w:t>
                  </w:r>
                </w:p>
              </w:tc>
              <w:tc>
                <w:tcPr>
                  <w:tcW w:w="1571" w:type="dxa"/>
                  <w:vAlign w:val="center"/>
                </w:tcPr>
                <w:p w14:paraId="520AB18C">
                  <w:pPr>
                    <w:jc w:val="center"/>
                    <w:rPr>
                      <w:szCs w:val="21"/>
                      <w:lang w:val="pt-BR"/>
                    </w:rPr>
                  </w:pPr>
                  <w:r>
                    <w:rPr>
                      <w:rFonts w:hint="eastAsia"/>
                      <w:szCs w:val="21"/>
                      <w:lang w:val="pt-BR"/>
                    </w:rPr>
                    <w:t>/</w:t>
                  </w:r>
                </w:p>
              </w:tc>
              <w:tc>
                <w:tcPr>
                  <w:tcW w:w="992" w:type="dxa"/>
                  <w:vAlign w:val="center"/>
                </w:tcPr>
                <w:p w14:paraId="520AB18D">
                  <w:pPr>
                    <w:jc w:val="center"/>
                    <w:rPr>
                      <w:szCs w:val="21"/>
                      <w:lang w:val="pt-BR"/>
                    </w:rPr>
                  </w:pPr>
                  <w:r>
                    <w:rPr>
                      <w:rFonts w:hint="eastAsia"/>
                      <w:szCs w:val="21"/>
                      <w:lang w:val="pt-BR"/>
                    </w:rPr>
                    <w:t>1</w:t>
                  </w:r>
                </w:p>
              </w:tc>
              <w:tc>
                <w:tcPr>
                  <w:tcW w:w="980" w:type="dxa"/>
                  <w:vAlign w:val="center"/>
                </w:tcPr>
                <w:p w14:paraId="520AB18E">
                  <w:pPr>
                    <w:jc w:val="center"/>
                    <w:rPr>
                      <w:szCs w:val="21"/>
                    </w:rPr>
                  </w:pPr>
                  <w:r>
                    <w:rPr>
                      <w:szCs w:val="21"/>
                    </w:rPr>
                    <w:t>114</w:t>
                  </w:r>
                  <w:r>
                    <w:rPr>
                      <w:rFonts w:hint="eastAsia"/>
                      <w:szCs w:val="21"/>
                    </w:rPr>
                    <w:t>配电</w:t>
                  </w:r>
                  <w:r>
                    <w:rPr>
                      <w:szCs w:val="21"/>
                    </w:rPr>
                    <w:t>站</w:t>
                  </w:r>
                </w:p>
              </w:tc>
              <w:tc>
                <w:tcPr>
                  <w:tcW w:w="570" w:type="dxa"/>
                  <w:vMerge w:val="continue"/>
                  <w:vAlign w:val="center"/>
                </w:tcPr>
                <w:p w14:paraId="520AB18F">
                  <w:pPr>
                    <w:jc w:val="center"/>
                    <w:rPr>
                      <w:bCs/>
                      <w:szCs w:val="21"/>
                      <w:highlight w:val="yellow"/>
                      <w:lang w:val="pt-BR"/>
                    </w:rPr>
                  </w:pPr>
                </w:p>
              </w:tc>
              <w:tc>
                <w:tcPr>
                  <w:tcW w:w="2039" w:type="dxa"/>
                  <w:vAlign w:val="center"/>
                </w:tcPr>
                <w:p w14:paraId="520AB190">
                  <w:pPr>
                    <w:jc w:val="center"/>
                    <w:rPr>
                      <w:bCs/>
                      <w:szCs w:val="21"/>
                      <w:highlight w:val="yellow"/>
                      <w:lang w:val="pt-BR"/>
                    </w:rPr>
                  </w:pPr>
                  <w:r>
                    <w:rPr>
                      <w:rFonts w:hint="eastAsia"/>
                      <w:bCs/>
                      <w:szCs w:val="21"/>
                      <w:lang w:val="pt-BR"/>
                    </w:rPr>
                    <w:t>设备增加后扩容</w:t>
                  </w:r>
                </w:p>
              </w:tc>
            </w:tr>
            <w:tr w14:paraId="520AB19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92">
                  <w:pPr>
                    <w:widowControl/>
                    <w:jc w:val="center"/>
                    <w:rPr>
                      <w:kern w:val="0"/>
                      <w:szCs w:val="21"/>
                    </w:rPr>
                  </w:pPr>
                  <w:r>
                    <w:rPr>
                      <w:rFonts w:hint="eastAsia"/>
                      <w:kern w:val="0"/>
                      <w:szCs w:val="21"/>
                    </w:rPr>
                    <w:t>11</w:t>
                  </w:r>
                </w:p>
              </w:tc>
              <w:tc>
                <w:tcPr>
                  <w:tcW w:w="1378" w:type="dxa"/>
                  <w:vAlign w:val="center"/>
                </w:tcPr>
                <w:p w14:paraId="520AB193">
                  <w:pPr>
                    <w:jc w:val="center"/>
                    <w:rPr>
                      <w:szCs w:val="22"/>
                      <w:highlight w:val="yellow"/>
                    </w:rPr>
                  </w:pPr>
                  <w:r>
                    <w:rPr>
                      <w:szCs w:val="21"/>
                    </w:rPr>
                    <w:t>制冷机</w:t>
                  </w:r>
                </w:p>
              </w:tc>
              <w:tc>
                <w:tcPr>
                  <w:tcW w:w="1571" w:type="dxa"/>
                  <w:vAlign w:val="center"/>
                </w:tcPr>
                <w:p w14:paraId="520AB194">
                  <w:pPr>
                    <w:jc w:val="center"/>
                    <w:rPr>
                      <w:szCs w:val="21"/>
                      <w:highlight w:val="yellow"/>
                      <w:lang w:val="pt-BR"/>
                    </w:rPr>
                  </w:pPr>
                  <w:r>
                    <w:rPr>
                      <w:rFonts w:hint="eastAsia"/>
                      <w:szCs w:val="21"/>
                      <w:lang w:val="pt-BR"/>
                    </w:rPr>
                    <w:t>氟利昂（R134a），5kg/a</w:t>
                  </w:r>
                </w:p>
              </w:tc>
              <w:tc>
                <w:tcPr>
                  <w:tcW w:w="992" w:type="dxa"/>
                  <w:vAlign w:val="center"/>
                </w:tcPr>
                <w:p w14:paraId="520AB195">
                  <w:pPr>
                    <w:jc w:val="center"/>
                    <w:rPr>
                      <w:szCs w:val="21"/>
                      <w:lang w:val="pt-BR"/>
                    </w:rPr>
                  </w:pPr>
                  <w:r>
                    <w:rPr>
                      <w:rFonts w:hint="eastAsia"/>
                      <w:szCs w:val="21"/>
                      <w:lang w:val="pt-BR"/>
                    </w:rPr>
                    <w:t>1</w:t>
                  </w:r>
                </w:p>
              </w:tc>
              <w:tc>
                <w:tcPr>
                  <w:tcW w:w="980" w:type="dxa"/>
                  <w:vMerge w:val="restart"/>
                  <w:vAlign w:val="center"/>
                </w:tcPr>
                <w:p w14:paraId="520AB196">
                  <w:pPr>
                    <w:jc w:val="center"/>
                    <w:rPr>
                      <w:bCs/>
                      <w:szCs w:val="21"/>
                      <w:highlight w:val="yellow"/>
                      <w:lang w:val="pt-BR"/>
                    </w:rPr>
                  </w:pPr>
                  <w:r>
                    <w:rPr>
                      <w:szCs w:val="21"/>
                    </w:rPr>
                    <w:t>201</w:t>
                  </w:r>
                  <w:r>
                    <w:rPr>
                      <w:rFonts w:hint="eastAsia"/>
                      <w:szCs w:val="21"/>
                    </w:rPr>
                    <w:t>#</w:t>
                  </w:r>
                  <w:r>
                    <w:rPr>
                      <w:szCs w:val="21"/>
                    </w:rPr>
                    <w:t>厂房</w:t>
                  </w:r>
                </w:p>
              </w:tc>
              <w:tc>
                <w:tcPr>
                  <w:tcW w:w="570" w:type="dxa"/>
                  <w:vMerge w:val="continue"/>
                  <w:vAlign w:val="center"/>
                </w:tcPr>
                <w:p w14:paraId="520AB197">
                  <w:pPr>
                    <w:jc w:val="center"/>
                    <w:rPr>
                      <w:bCs/>
                      <w:szCs w:val="21"/>
                      <w:highlight w:val="yellow"/>
                      <w:lang w:val="pt-BR"/>
                    </w:rPr>
                  </w:pPr>
                </w:p>
              </w:tc>
              <w:tc>
                <w:tcPr>
                  <w:tcW w:w="2039" w:type="dxa"/>
                  <w:vAlign w:val="center"/>
                </w:tcPr>
                <w:p w14:paraId="520AB198">
                  <w:pPr>
                    <w:jc w:val="center"/>
                    <w:rPr>
                      <w:bCs/>
                      <w:szCs w:val="21"/>
                      <w:highlight w:val="yellow"/>
                      <w:lang w:val="pt-BR"/>
                    </w:rPr>
                  </w:pPr>
                  <w:r>
                    <w:rPr>
                      <w:rFonts w:hint="eastAsia"/>
                      <w:bCs/>
                      <w:szCs w:val="21"/>
                      <w:lang w:val="pt-BR"/>
                    </w:rPr>
                    <w:t>保持工作环境温度</w:t>
                  </w:r>
                </w:p>
              </w:tc>
            </w:tr>
            <w:tr w14:paraId="520AB1A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9A">
                  <w:pPr>
                    <w:widowControl/>
                    <w:jc w:val="center"/>
                    <w:rPr>
                      <w:kern w:val="0"/>
                      <w:szCs w:val="21"/>
                    </w:rPr>
                  </w:pPr>
                  <w:r>
                    <w:rPr>
                      <w:rFonts w:hint="eastAsia"/>
                      <w:kern w:val="0"/>
                      <w:szCs w:val="21"/>
                    </w:rPr>
                    <w:t>12</w:t>
                  </w:r>
                </w:p>
              </w:tc>
              <w:tc>
                <w:tcPr>
                  <w:tcW w:w="1378" w:type="dxa"/>
                  <w:vAlign w:val="center"/>
                </w:tcPr>
                <w:p w14:paraId="520AB19B">
                  <w:pPr>
                    <w:jc w:val="center"/>
                    <w:rPr>
                      <w:szCs w:val="21"/>
                    </w:rPr>
                  </w:pPr>
                  <w:r>
                    <w:rPr>
                      <w:szCs w:val="21"/>
                    </w:rPr>
                    <w:t>干燥箱</w:t>
                  </w:r>
                </w:p>
              </w:tc>
              <w:tc>
                <w:tcPr>
                  <w:tcW w:w="1571" w:type="dxa"/>
                  <w:vAlign w:val="center"/>
                </w:tcPr>
                <w:p w14:paraId="520AB19C">
                  <w:pPr>
                    <w:jc w:val="center"/>
                    <w:rPr>
                      <w:szCs w:val="21"/>
                      <w:highlight w:val="yellow"/>
                      <w:lang w:val="pt-BR"/>
                    </w:rPr>
                  </w:pPr>
                  <w:r>
                    <w:rPr>
                      <w:rFonts w:hint="eastAsia"/>
                      <w:szCs w:val="21"/>
                      <w:lang w:val="pt-BR"/>
                    </w:rPr>
                    <w:t>/</w:t>
                  </w:r>
                </w:p>
              </w:tc>
              <w:tc>
                <w:tcPr>
                  <w:tcW w:w="992" w:type="dxa"/>
                  <w:vAlign w:val="center"/>
                </w:tcPr>
                <w:p w14:paraId="520AB19D">
                  <w:pPr>
                    <w:jc w:val="center"/>
                    <w:rPr>
                      <w:szCs w:val="21"/>
                      <w:lang w:val="pt-BR"/>
                    </w:rPr>
                  </w:pPr>
                  <w:r>
                    <w:rPr>
                      <w:rFonts w:hint="eastAsia"/>
                      <w:szCs w:val="21"/>
                      <w:lang w:val="pt-BR"/>
                    </w:rPr>
                    <w:t>1</w:t>
                  </w:r>
                </w:p>
              </w:tc>
              <w:tc>
                <w:tcPr>
                  <w:tcW w:w="980" w:type="dxa"/>
                  <w:vMerge w:val="continue"/>
                  <w:vAlign w:val="center"/>
                </w:tcPr>
                <w:p w14:paraId="520AB19E">
                  <w:pPr>
                    <w:jc w:val="center"/>
                    <w:rPr>
                      <w:szCs w:val="21"/>
                    </w:rPr>
                  </w:pPr>
                </w:p>
              </w:tc>
              <w:tc>
                <w:tcPr>
                  <w:tcW w:w="570" w:type="dxa"/>
                  <w:vMerge w:val="continue"/>
                  <w:vAlign w:val="center"/>
                </w:tcPr>
                <w:p w14:paraId="520AB19F">
                  <w:pPr>
                    <w:jc w:val="center"/>
                    <w:rPr>
                      <w:bCs/>
                      <w:szCs w:val="21"/>
                      <w:highlight w:val="yellow"/>
                      <w:lang w:val="pt-BR"/>
                    </w:rPr>
                  </w:pPr>
                </w:p>
              </w:tc>
              <w:tc>
                <w:tcPr>
                  <w:tcW w:w="2039" w:type="dxa"/>
                  <w:vAlign w:val="center"/>
                </w:tcPr>
                <w:p w14:paraId="520AB1A0">
                  <w:pPr>
                    <w:jc w:val="center"/>
                    <w:rPr>
                      <w:bCs/>
                      <w:szCs w:val="21"/>
                      <w:highlight w:val="yellow"/>
                      <w:lang w:val="pt-BR"/>
                    </w:rPr>
                  </w:pPr>
                  <w:r>
                    <w:rPr>
                      <w:rFonts w:hint="eastAsia"/>
                      <w:bCs/>
                      <w:szCs w:val="21"/>
                      <w:lang w:val="pt-BR"/>
                    </w:rPr>
                    <w:t>保持工件干燥</w:t>
                  </w:r>
                </w:p>
              </w:tc>
            </w:tr>
            <w:tr w14:paraId="520AB1A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A2">
                  <w:pPr>
                    <w:widowControl/>
                    <w:jc w:val="center"/>
                    <w:rPr>
                      <w:kern w:val="0"/>
                      <w:szCs w:val="21"/>
                    </w:rPr>
                  </w:pPr>
                  <w:r>
                    <w:rPr>
                      <w:rFonts w:hint="eastAsia"/>
                      <w:kern w:val="0"/>
                      <w:szCs w:val="21"/>
                    </w:rPr>
                    <w:t>13</w:t>
                  </w:r>
                </w:p>
              </w:tc>
              <w:tc>
                <w:tcPr>
                  <w:tcW w:w="1378" w:type="dxa"/>
                  <w:vAlign w:val="center"/>
                </w:tcPr>
                <w:p w14:paraId="520AB1A3">
                  <w:pPr>
                    <w:jc w:val="center"/>
                    <w:rPr>
                      <w:szCs w:val="22"/>
                      <w:highlight w:val="yellow"/>
                    </w:rPr>
                  </w:pPr>
                  <w:r>
                    <w:rPr>
                      <w:rFonts w:hint="eastAsia"/>
                      <w:szCs w:val="22"/>
                    </w:rPr>
                    <w:t>表面处理安全改造</w:t>
                  </w:r>
                </w:p>
              </w:tc>
              <w:tc>
                <w:tcPr>
                  <w:tcW w:w="1571" w:type="dxa"/>
                  <w:vAlign w:val="center"/>
                </w:tcPr>
                <w:p w14:paraId="520AB1A4">
                  <w:pPr>
                    <w:jc w:val="center"/>
                    <w:rPr>
                      <w:szCs w:val="21"/>
                      <w:lang w:val="pt-BR"/>
                    </w:rPr>
                  </w:pPr>
                  <w:r>
                    <w:rPr>
                      <w:rFonts w:hint="eastAsia"/>
                      <w:szCs w:val="21"/>
                      <w:lang w:val="pt-BR"/>
                    </w:rPr>
                    <w:t>/</w:t>
                  </w:r>
                </w:p>
              </w:tc>
              <w:tc>
                <w:tcPr>
                  <w:tcW w:w="992" w:type="dxa"/>
                  <w:vAlign w:val="center"/>
                </w:tcPr>
                <w:p w14:paraId="520AB1A5">
                  <w:pPr>
                    <w:jc w:val="center"/>
                    <w:rPr>
                      <w:szCs w:val="21"/>
                      <w:lang w:val="pt-BR"/>
                    </w:rPr>
                  </w:pPr>
                  <w:r>
                    <w:rPr>
                      <w:rFonts w:hint="eastAsia"/>
                      <w:szCs w:val="21"/>
                      <w:lang w:val="pt-BR"/>
                    </w:rPr>
                    <w:t>1</w:t>
                  </w:r>
                </w:p>
              </w:tc>
              <w:tc>
                <w:tcPr>
                  <w:tcW w:w="980" w:type="dxa"/>
                  <w:vMerge w:val="continue"/>
                  <w:vAlign w:val="center"/>
                </w:tcPr>
                <w:p w14:paraId="520AB1A6">
                  <w:pPr>
                    <w:jc w:val="center"/>
                    <w:rPr>
                      <w:bCs/>
                      <w:szCs w:val="21"/>
                      <w:highlight w:val="yellow"/>
                      <w:lang w:val="pt-BR"/>
                    </w:rPr>
                  </w:pPr>
                </w:p>
              </w:tc>
              <w:tc>
                <w:tcPr>
                  <w:tcW w:w="570" w:type="dxa"/>
                  <w:vMerge w:val="continue"/>
                  <w:vAlign w:val="center"/>
                </w:tcPr>
                <w:p w14:paraId="520AB1A7">
                  <w:pPr>
                    <w:jc w:val="center"/>
                    <w:rPr>
                      <w:bCs/>
                      <w:szCs w:val="21"/>
                      <w:highlight w:val="yellow"/>
                      <w:lang w:val="pt-BR"/>
                    </w:rPr>
                  </w:pPr>
                </w:p>
              </w:tc>
              <w:tc>
                <w:tcPr>
                  <w:tcW w:w="2039" w:type="dxa"/>
                  <w:vAlign w:val="center"/>
                </w:tcPr>
                <w:p w14:paraId="520AB1A8">
                  <w:pPr>
                    <w:jc w:val="center"/>
                    <w:rPr>
                      <w:bCs/>
                      <w:szCs w:val="21"/>
                      <w:highlight w:val="yellow"/>
                      <w:lang w:val="pt-BR"/>
                    </w:rPr>
                  </w:pPr>
                  <w:r>
                    <w:rPr>
                      <w:rFonts w:hint="eastAsia"/>
                      <w:bCs/>
                      <w:szCs w:val="21"/>
                      <w:lang w:val="pt-BR"/>
                    </w:rPr>
                    <w:t>电镀生产线电加热改成蒸汽加热</w:t>
                  </w:r>
                </w:p>
              </w:tc>
            </w:tr>
            <w:tr w14:paraId="520AB1B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AA">
                  <w:pPr>
                    <w:widowControl/>
                    <w:jc w:val="center"/>
                    <w:rPr>
                      <w:kern w:val="0"/>
                      <w:szCs w:val="21"/>
                    </w:rPr>
                  </w:pPr>
                  <w:r>
                    <w:rPr>
                      <w:rFonts w:hint="eastAsia"/>
                      <w:kern w:val="0"/>
                      <w:szCs w:val="21"/>
                    </w:rPr>
                    <w:t>14</w:t>
                  </w:r>
                </w:p>
              </w:tc>
              <w:tc>
                <w:tcPr>
                  <w:tcW w:w="1378" w:type="dxa"/>
                  <w:vAlign w:val="center"/>
                </w:tcPr>
                <w:p w14:paraId="520AB1AB">
                  <w:pPr>
                    <w:jc w:val="center"/>
                    <w:rPr>
                      <w:szCs w:val="22"/>
                    </w:rPr>
                  </w:pPr>
                  <w:r>
                    <w:rPr>
                      <w:rFonts w:hint="eastAsia"/>
                      <w:szCs w:val="22"/>
                    </w:rPr>
                    <w:t>蒸汽发生器</w:t>
                  </w:r>
                </w:p>
              </w:tc>
              <w:tc>
                <w:tcPr>
                  <w:tcW w:w="1571" w:type="dxa"/>
                  <w:vAlign w:val="center"/>
                </w:tcPr>
                <w:p w14:paraId="520AB1AC">
                  <w:pPr>
                    <w:jc w:val="center"/>
                    <w:rPr>
                      <w:szCs w:val="21"/>
                      <w:lang w:val="pt-BR"/>
                    </w:rPr>
                  </w:pPr>
                  <w:r>
                    <w:rPr>
                      <w:rFonts w:hint="eastAsia"/>
                      <w:szCs w:val="21"/>
                      <w:lang w:val="pt-BR"/>
                    </w:rPr>
                    <w:t>500kg/h</w:t>
                  </w:r>
                </w:p>
              </w:tc>
              <w:tc>
                <w:tcPr>
                  <w:tcW w:w="992" w:type="dxa"/>
                  <w:vAlign w:val="center"/>
                </w:tcPr>
                <w:p w14:paraId="520AB1AD">
                  <w:pPr>
                    <w:jc w:val="center"/>
                    <w:rPr>
                      <w:szCs w:val="21"/>
                      <w:lang w:val="pt-BR"/>
                    </w:rPr>
                  </w:pPr>
                  <w:r>
                    <w:rPr>
                      <w:rFonts w:hint="eastAsia"/>
                      <w:szCs w:val="21"/>
                      <w:lang w:val="pt-BR"/>
                    </w:rPr>
                    <w:t>1</w:t>
                  </w:r>
                </w:p>
              </w:tc>
              <w:tc>
                <w:tcPr>
                  <w:tcW w:w="980" w:type="dxa"/>
                  <w:vMerge w:val="continue"/>
                  <w:vAlign w:val="center"/>
                </w:tcPr>
                <w:p w14:paraId="520AB1AE">
                  <w:pPr>
                    <w:jc w:val="center"/>
                    <w:rPr>
                      <w:bCs/>
                      <w:szCs w:val="21"/>
                      <w:highlight w:val="yellow"/>
                      <w:lang w:val="pt-BR"/>
                    </w:rPr>
                  </w:pPr>
                </w:p>
              </w:tc>
              <w:tc>
                <w:tcPr>
                  <w:tcW w:w="570" w:type="dxa"/>
                  <w:vMerge w:val="continue"/>
                  <w:vAlign w:val="center"/>
                </w:tcPr>
                <w:p w14:paraId="520AB1AF">
                  <w:pPr>
                    <w:jc w:val="center"/>
                    <w:rPr>
                      <w:bCs/>
                      <w:szCs w:val="21"/>
                      <w:highlight w:val="yellow"/>
                      <w:lang w:val="pt-BR"/>
                    </w:rPr>
                  </w:pPr>
                </w:p>
              </w:tc>
              <w:tc>
                <w:tcPr>
                  <w:tcW w:w="2039" w:type="dxa"/>
                  <w:vAlign w:val="center"/>
                </w:tcPr>
                <w:p w14:paraId="520AB1B0">
                  <w:pPr>
                    <w:jc w:val="center"/>
                    <w:rPr>
                      <w:bCs/>
                      <w:szCs w:val="21"/>
                      <w:lang w:val="pt-BR"/>
                    </w:rPr>
                  </w:pPr>
                  <w:r>
                    <w:rPr>
                      <w:rFonts w:hint="eastAsia"/>
                      <w:bCs/>
                      <w:szCs w:val="21"/>
                      <w:lang w:val="pt-BR"/>
                    </w:rPr>
                    <w:t>使用纯水制备系统产生的纯水产生蒸汽，产生的蒸汽主要用于电镀生产线加热</w:t>
                  </w:r>
                </w:p>
              </w:tc>
            </w:tr>
            <w:tr w14:paraId="520AB1B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B2">
                  <w:pPr>
                    <w:widowControl/>
                    <w:jc w:val="center"/>
                    <w:rPr>
                      <w:kern w:val="0"/>
                      <w:szCs w:val="21"/>
                    </w:rPr>
                  </w:pPr>
                  <w:r>
                    <w:rPr>
                      <w:rFonts w:hint="eastAsia"/>
                      <w:kern w:val="0"/>
                      <w:szCs w:val="21"/>
                    </w:rPr>
                    <w:t>15</w:t>
                  </w:r>
                </w:p>
              </w:tc>
              <w:tc>
                <w:tcPr>
                  <w:tcW w:w="1378" w:type="dxa"/>
                  <w:vAlign w:val="center"/>
                </w:tcPr>
                <w:p w14:paraId="520AB1B3">
                  <w:pPr>
                    <w:jc w:val="center"/>
                    <w:rPr>
                      <w:szCs w:val="22"/>
                    </w:rPr>
                  </w:pPr>
                  <w:r>
                    <w:rPr>
                      <w:rFonts w:hint="eastAsia"/>
                      <w:szCs w:val="22"/>
                    </w:rPr>
                    <w:t>纯水制备系统</w:t>
                  </w:r>
                </w:p>
              </w:tc>
              <w:tc>
                <w:tcPr>
                  <w:tcW w:w="1571" w:type="dxa"/>
                  <w:vAlign w:val="center"/>
                </w:tcPr>
                <w:p w14:paraId="520AB1B4">
                  <w:pPr>
                    <w:jc w:val="center"/>
                    <w:rPr>
                      <w:szCs w:val="21"/>
                      <w:lang w:val="pt-BR"/>
                    </w:rPr>
                  </w:pPr>
                  <w:r>
                    <w:rPr>
                      <w:rFonts w:hint="eastAsia"/>
                      <w:szCs w:val="21"/>
                      <w:lang w:val="pt-BR"/>
                    </w:rPr>
                    <w:t>40t/h</w:t>
                  </w:r>
                </w:p>
              </w:tc>
              <w:tc>
                <w:tcPr>
                  <w:tcW w:w="992" w:type="dxa"/>
                  <w:vAlign w:val="center"/>
                </w:tcPr>
                <w:p w14:paraId="520AB1B5">
                  <w:pPr>
                    <w:jc w:val="center"/>
                    <w:rPr>
                      <w:szCs w:val="21"/>
                      <w:lang w:val="pt-BR"/>
                    </w:rPr>
                  </w:pPr>
                  <w:r>
                    <w:rPr>
                      <w:rFonts w:hint="eastAsia"/>
                      <w:szCs w:val="21"/>
                      <w:lang w:val="pt-BR"/>
                    </w:rPr>
                    <w:t>1</w:t>
                  </w:r>
                </w:p>
              </w:tc>
              <w:tc>
                <w:tcPr>
                  <w:tcW w:w="980" w:type="dxa"/>
                  <w:vMerge w:val="continue"/>
                  <w:vAlign w:val="center"/>
                </w:tcPr>
                <w:p w14:paraId="520AB1B6">
                  <w:pPr>
                    <w:jc w:val="center"/>
                    <w:rPr>
                      <w:bCs/>
                      <w:szCs w:val="21"/>
                      <w:highlight w:val="yellow"/>
                      <w:lang w:val="pt-BR"/>
                    </w:rPr>
                  </w:pPr>
                </w:p>
              </w:tc>
              <w:tc>
                <w:tcPr>
                  <w:tcW w:w="570" w:type="dxa"/>
                  <w:vMerge w:val="continue"/>
                  <w:vAlign w:val="center"/>
                </w:tcPr>
                <w:p w14:paraId="520AB1B7">
                  <w:pPr>
                    <w:jc w:val="center"/>
                    <w:rPr>
                      <w:bCs/>
                      <w:szCs w:val="21"/>
                      <w:highlight w:val="yellow"/>
                      <w:lang w:val="pt-BR"/>
                    </w:rPr>
                  </w:pPr>
                </w:p>
              </w:tc>
              <w:tc>
                <w:tcPr>
                  <w:tcW w:w="2039" w:type="dxa"/>
                  <w:vAlign w:val="center"/>
                </w:tcPr>
                <w:p w14:paraId="520AB1B8">
                  <w:pPr>
                    <w:jc w:val="center"/>
                    <w:rPr>
                      <w:bCs/>
                      <w:szCs w:val="21"/>
                      <w:lang w:val="pt-BR"/>
                    </w:rPr>
                  </w:pPr>
                  <w:r>
                    <w:rPr>
                      <w:rFonts w:hint="eastAsia"/>
                      <w:bCs/>
                      <w:szCs w:val="21"/>
                      <w:lang w:val="pt-BR"/>
                    </w:rPr>
                    <w:t>利用现有，目前纯水制备系统制备纯水32.1t/h，本项目新增纯水用量约0.1075t/h，可以满足本项目用水需求</w:t>
                  </w:r>
                </w:p>
              </w:tc>
            </w:tr>
            <w:tr w14:paraId="520AB1C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BA">
                  <w:pPr>
                    <w:widowControl/>
                    <w:jc w:val="center"/>
                    <w:rPr>
                      <w:kern w:val="0"/>
                      <w:szCs w:val="21"/>
                    </w:rPr>
                  </w:pPr>
                  <w:r>
                    <w:rPr>
                      <w:rFonts w:hint="eastAsia"/>
                      <w:kern w:val="0"/>
                      <w:szCs w:val="21"/>
                    </w:rPr>
                    <w:t>16</w:t>
                  </w:r>
                </w:p>
              </w:tc>
              <w:tc>
                <w:tcPr>
                  <w:tcW w:w="1378" w:type="dxa"/>
                  <w:vAlign w:val="center"/>
                </w:tcPr>
                <w:p w14:paraId="520AB1BB">
                  <w:pPr>
                    <w:jc w:val="center"/>
                    <w:rPr>
                      <w:szCs w:val="22"/>
                      <w:highlight w:val="yellow"/>
                    </w:rPr>
                  </w:pPr>
                  <w:r>
                    <w:rPr>
                      <w:szCs w:val="21"/>
                    </w:rPr>
                    <w:t>液体冷却子系统试验台</w:t>
                  </w:r>
                </w:p>
              </w:tc>
              <w:tc>
                <w:tcPr>
                  <w:tcW w:w="1571" w:type="dxa"/>
                  <w:vAlign w:val="center"/>
                </w:tcPr>
                <w:p w14:paraId="520AB1BC">
                  <w:pPr>
                    <w:jc w:val="center"/>
                    <w:rPr>
                      <w:szCs w:val="21"/>
                      <w:lang w:val="pt-BR"/>
                    </w:rPr>
                  </w:pPr>
                  <w:r>
                    <w:rPr>
                      <w:rFonts w:hint="eastAsia"/>
                      <w:szCs w:val="21"/>
                      <w:lang w:val="pt-BR"/>
                    </w:rPr>
                    <w:t>乙二醇，200L/a</w:t>
                  </w:r>
                </w:p>
              </w:tc>
              <w:tc>
                <w:tcPr>
                  <w:tcW w:w="992" w:type="dxa"/>
                  <w:vAlign w:val="center"/>
                </w:tcPr>
                <w:p w14:paraId="520AB1BD">
                  <w:pPr>
                    <w:jc w:val="center"/>
                    <w:rPr>
                      <w:szCs w:val="21"/>
                      <w:lang w:val="pt-BR"/>
                    </w:rPr>
                  </w:pPr>
                  <w:r>
                    <w:rPr>
                      <w:rFonts w:hint="eastAsia"/>
                      <w:szCs w:val="21"/>
                      <w:lang w:val="pt-BR"/>
                    </w:rPr>
                    <w:t>1</w:t>
                  </w:r>
                </w:p>
              </w:tc>
              <w:tc>
                <w:tcPr>
                  <w:tcW w:w="980" w:type="dxa"/>
                  <w:vAlign w:val="center"/>
                </w:tcPr>
                <w:p w14:paraId="520AB1BE">
                  <w:pPr>
                    <w:jc w:val="center"/>
                    <w:rPr>
                      <w:bCs/>
                      <w:szCs w:val="21"/>
                      <w:highlight w:val="yellow"/>
                      <w:lang w:val="pt-BR"/>
                    </w:rPr>
                  </w:pPr>
                  <w:r>
                    <w:rPr>
                      <w:szCs w:val="21"/>
                    </w:rPr>
                    <w:t>1206</w:t>
                  </w:r>
                  <w:r>
                    <w:rPr>
                      <w:rFonts w:hint="eastAsia"/>
                      <w:szCs w:val="21"/>
                    </w:rPr>
                    <w:t>#</w:t>
                  </w:r>
                  <w:r>
                    <w:rPr>
                      <w:szCs w:val="21"/>
                    </w:rPr>
                    <w:t>厂房</w:t>
                  </w:r>
                </w:p>
              </w:tc>
              <w:tc>
                <w:tcPr>
                  <w:tcW w:w="570" w:type="dxa"/>
                  <w:vMerge w:val="continue"/>
                  <w:vAlign w:val="center"/>
                </w:tcPr>
                <w:p w14:paraId="520AB1BF">
                  <w:pPr>
                    <w:jc w:val="center"/>
                    <w:rPr>
                      <w:bCs/>
                      <w:szCs w:val="21"/>
                      <w:highlight w:val="yellow"/>
                      <w:lang w:val="pt-BR"/>
                    </w:rPr>
                  </w:pPr>
                </w:p>
              </w:tc>
              <w:tc>
                <w:tcPr>
                  <w:tcW w:w="2039" w:type="dxa"/>
                  <w:vAlign w:val="center"/>
                </w:tcPr>
                <w:p w14:paraId="520AB1C0">
                  <w:pPr>
                    <w:jc w:val="center"/>
                    <w:rPr>
                      <w:bCs/>
                      <w:szCs w:val="21"/>
                      <w:highlight w:val="yellow"/>
                      <w:lang w:val="pt-BR"/>
                    </w:rPr>
                  </w:pPr>
                  <w:r>
                    <w:rPr>
                      <w:rFonts w:hint="eastAsia"/>
                      <w:bCs/>
                      <w:szCs w:val="21"/>
                      <w:lang w:val="pt-BR"/>
                    </w:rPr>
                    <w:t>模拟设备液冷系统运行工况，通过精准控制温度、流量等参数，评估其热管理性能及可靠性</w:t>
                  </w:r>
                </w:p>
              </w:tc>
            </w:tr>
            <w:tr w14:paraId="520AB1C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Merge w:val="restart"/>
                  <w:vAlign w:val="center"/>
                </w:tcPr>
                <w:p w14:paraId="520AB1C2">
                  <w:pPr>
                    <w:widowControl/>
                    <w:jc w:val="center"/>
                    <w:rPr>
                      <w:kern w:val="0"/>
                      <w:szCs w:val="21"/>
                    </w:rPr>
                  </w:pPr>
                  <w:r>
                    <w:rPr>
                      <w:rFonts w:hint="eastAsia"/>
                      <w:kern w:val="0"/>
                      <w:szCs w:val="21"/>
                    </w:rPr>
                    <w:t>17</w:t>
                  </w:r>
                </w:p>
              </w:tc>
              <w:tc>
                <w:tcPr>
                  <w:tcW w:w="1378" w:type="dxa"/>
                  <w:vMerge w:val="restart"/>
                  <w:vAlign w:val="center"/>
                </w:tcPr>
                <w:p w14:paraId="520AB1C3">
                  <w:pPr>
                    <w:jc w:val="center"/>
                    <w:rPr>
                      <w:szCs w:val="22"/>
                      <w:highlight w:val="yellow"/>
                    </w:rPr>
                  </w:pPr>
                  <w:r>
                    <w:rPr>
                      <w:szCs w:val="21"/>
                    </w:rPr>
                    <w:t>储气罐</w:t>
                  </w:r>
                </w:p>
              </w:tc>
              <w:tc>
                <w:tcPr>
                  <w:tcW w:w="1571" w:type="dxa"/>
                  <w:vAlign w:val="center"/>
                </w:tcPr>
                <w:p w14:paraId="520AB1C4">
                  <w:pPr>
                    <w:jc w:val="center"/>
                    <w:rPr>
                      <w:szCs w:val="21"/>
                      <w:lang w:val="pt-BR"/>
                    </w:rPr>
                  </w:pPr>
                  <w:r>
                    <w:rPr>
                      <w:rFonts w:hint="eastAsia"/>
                      <w:szCs w:val="21"/>
                      <w:lang w:val="pt-BR"/>
                    </w:rPr>
                    <w:t>5.4MPa，40m</w:t>
                  </w:r>
                  <w:r>
                    <w:rPr>
                      <w:rFonts w:hint="eastAsia"/>
                      <w:szCs w:val="21"/>
                      <w:vertAlign w:val="superscript"/>
                      <w:lang w:val="pt-BR"/>
                    </w:rPr>
                    <w:t>3</w:t>
                  </w:r>
                </w:p>
              </w:tc>
              <w:tc>
                <w:tcPr>
                  <w:tcW w:w="992" w:type="dxa"/>
                  <w:vAlign w:val="center"/>
                </w:tcPr>
                <w:p w14:paraId="520AB1C5">
                  <w:pPr>
                    <w:jc w:val="center"/>
                    <w:rPr>
                      <w:szCs w:val="21"/>
                      <w:lang w:val="pt-BR"/>
                    </w:rPr>
                  </w:pPr>
                  <w:r>
                    <w:rPr>
                      <w:rFonts w:hint="eastAsia"/>
                      <w:szCs w:val="21"/>
                      <w:lang w:val="pt-BR"/>
                    </w:rPr>
                    <w:t>2</w:t>
                  </w:r>
                </w:p>
              </w:tc>
              <w:tc>
                <w:tcPr>
                  <w:tcW w:w="980" w:type="dxa"/>
                  <w:vMerge w:val="restart"/>
                  <w:vAlign w:val="center"/>
                </w:tcPr>
                <w:p w14:paraId="520AB1C6">
                  <w:pPr>
                    <w:jc w:val="center"/>
                    <w:rPr>
                      <w:bCs/>
                      <w:szCs w:val="21"/>
                      <w:highlight w:val="yellow"/>
                      <w:lang w:val="pt-BR"/>
                    </w:rPr>
                  </w:pPr>
                  <w:r>
                    <w:rPr>
                      <w:szCs w:val="21"/>
                    </w:rPr>
                    <w:t>建设路</w:t>
                  </w:r>
                </w:p>
              </w:tc>
              <w:tc>
                <w:tcPr>
                  <w:tcW w:w="570" w:type="dxa"/>
                  <w:vMerge w:val="continue"/>
                  <w:vAlign w:val="center"/>
                </w:tcPr>
                <w:p w14:paraId="520AB1C7">
                  <w:pPr>
                    <w:jc w:val="center"/>
                    <w:rPr>
                      <w:bCs/>
                      <w:szCs w:val="21"/>
                      <w:highlight w:val="yellow"/>
                      <w:lang w:val="pt-BR"/>
                    </w:rPr>
                  </w:pPr>
                </w:p>
              </w:tc>
              <w:tc>
                <w:tcPr>
                  <w:tcW w:w="2039" w:type="dxa"/>
                  <w:vMerge w:val="restart"/>
                  <w:vAlign w:val="center"/>
                </w:tcPr>
                <w:p w14:paraId="520AB1C8">
                  <w:pPr>
                    <w:jc w:val="center"/>
                    <w:rPr>
                      <w:bCs/>
                      <w:szCs w:val="21"/>
                      <w:highlight w:val="yellow"/>
                      <w:lang w:val="pt-BR"/>
                    </w:rPr>
                  </w:pPr>
                  <w:r>
                    <w:rPr>
                      <w:rFonts w:hint="eastAsia"/>
                      <w:bCs/>
                      <w:szCs w:val="21"/>
                      <w:lang w:val="pt-BR"/>
                    </w:rPr>
                    <w:t>存储压缩空气</w:t>
                  </w:r>
                </w:p>
              </w:tc>
            </w:tr>
            <w:tr w14:paraId="7E98643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Merge w:val="continue"/>
                  <w:vAlign w:val="center"/>
                </w:tcPr>
                <w:p w14:paraId="0F01BC84">
                  <w:pPr>
                    <w:widowControl/>
                    <w:jc w:val="center"/>
                    <w:rPr>
                      <w:kern w:val="0"/>
                      <w:szCs w:val="21"/>
                    </w:rPr>
                  </w:pPr>
                </w:p>
              </w:tc>
              <w:tc>
                <w:tcPr>
                  <w:tcW w:w="1378" w:type="dxa"/>
                  <w:vMerge w:val="continue"/>
                  <w:vAlign w:val="center"/>
                </w:tcPr>
                <w:p w14:paraId="50A9D810">
                  <w:pPr>
                    <w:jc w:val="center"/>
                    <w:rPr>
                      <w:szCs w:val="21"/>
                    </w:rPr>
                  </w:pPr>
                </w:p>
              </w:tc>
              <w:tc>
                <w:tcPr>
                  <w:tcW w:w="1571" w:type="dxa"/>
                  <w:vAlign w:val="center"/>
                </w:tcPr>
                <w:p w14:paraId="1ED2BBED">
                  <w:pPr>
                    <w:jc w:val="center"/>
                    <w:rPr>
                      <w:szCs w:val="21"/>
                      <w:lang w:val="pt-BR"/>
                    </w:rPr>
                  </w:pPr>
                  <w:r>
                    <w:rPr>
                      <w:rFonts w:hint="eastAsia"/>
                      <w:szCs w:val="21"/>
                      <w:lang w:val="pt-BR"/>
                    </w:rPr>
                    <w:t>0.9MPa，3m</w:t>
                  </w:r>
                  <w:r>
                    <w:rPr>
                      <w:rFonts w:hint="eastAsia"/>
                      <w:szCs w:val="21"/>
                      <w:vertAlign w:val="superscript"/>
                      <w:lang w:val="pt-BR"/>
                    </w:rPr>
                    <w:t>3</w:t>
                  </w:r>
                </w:p>
              </w:tc>
              <w:tc>
                <w:tcPr>
                  <w:tcW w:w="992" w:type="dxa"/>
                  <w:vAlign w:val="center"/>
                </w:tcPr>
                <w:p w14:paraId="15802BF9">
                  <w:pPr>
                    <w:jc w:val="center"/>
                    <w:rPr>
                      <w:szCs w:val="21"/>
                      <w:lang w:val="pt-BR"/>
                    </w:rPr>
                  </w:pPr>
                  <w:r>
                    <w:rPr>
                      <w:rFonts w:hint="eastAsia"/>
                      <w:szCs w:val="21"/>
                      <w:lang w:val="pt-BR"/>
                    </w:rPr>
                    <w:t>1</w:t>
                  </w:r>
                </w:p>
              </w:tc>
              <w:tc>
                <w:tcPr>
                  <w:tcW w:w="980" w:type="dxa"/>
                  <w:vMerge w:val="continue"/>
                  <w:vAlign w:val="center"/>
                </w:tcPr>
                <w:p w14:paraId="71239DC3">
                  <w:pPr>
                    <w:jc w:val="center"/>
                    <w:rPr>
                      <w:szCs w:val="21"/>
                    </w:rPr>
                  </w:pPr>
                </w:p>
              </w:tc>
              <w:tc>
                <w:tcPr>
                  <w:tcW w:w="570" w:type="dxa"/>
                  <w:vMerge w:val="continue"/>
                  <w:vAlign w:val="center"/>
                </w:tcPr>
                <w:p w14:paraId="7E68256B">
                  <w:pPr>
                    <w:jc w:val="center"/>
                    <w:rPr>
                      <w:bCs/>
                      <w:szCs w:val="21"/>
                      <w:highlight w:val="yellow"/>
                      <w:lang w:val="pt-BR"/>
                    </w:rPr>
                  </w:pPr>
                </w:p>
              </w:tc>
              <w:tc>
                <w:tcPr>
                  <w:tcW w:w="2039" w:type="dxa"/>
                  <w:vMerge w:val="continue"/>
                  <w:vAlign w:val="center"/>
                </w:tcPr>
                <w:p w14:paraId="7C706324">
                  <w:pPr>
                    <w:jc w:val="center"/>
                    <w:rPr>
                      <w:bCs/>
                      <w:szCs w:val="21"/>
                      <w:lang w:val="pt-BR"/>
                    </w:rPr>
                  </w:pPr>
                </w:p>
              </w:tc>
            </w:tr>
            <w:tr w14:paraId="4493C21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Merge w:val="continue"/>
                  <w:vAlign w:val="center"/>
                </w:tcPr>
                <w:p w14:paraId="43600139">
                  <w:pPr>
                    <w:widowControl/>
                    <w:jc w:val="center"/>
                    <w:rPr>
                      <w:kern w:val="0"/>
                      <w:szCs w:val="21"/>
                    </w:rPr>
                  </w:pPr>
                </w:p>
              </w:tc>
              <w:tc>
                <w:tcPr>
                  <w:tcW w:w="1378" w:type="dxa"/>
                  <w:vMerge w:val="continue"/>
                  <w:vAlign w:val="center"/>
                </w:tcPr>
                <w:p w14:paraId="551BCAD6">
                  <w:pPr>
                    <w:jc w:val="center"/>
                    <w:rPr>
                      <w:szCs w:val="21"/>
                    </w:rPr>
                  </w:pPr>
                </w:p>
              </w:tc>
              <w:tc>
                <w:tcPr>
                  <w:tcW w:w="1571" w:type="dxa"/>
                  <w:vAlign w:val="center"/>
                </w:tcPr>
                <w:p w14:paraId="2641597F">
                  <w:pPr>
                    <w:jc w:val="center"/>
                    <w:rPr>
                      <w:szCs w:val="21"/>
                      <w:lang w:val="pt-BR"/>
                    </w:rPr>
                  </w:pPr>
                  <w:r>
                    <w:rPr>
                      <w:rFonts w:hint="eastAsia"/>
                      <w:szCs w:val="21"/>
                      <w:lang w:val="pt-BR"/>
                    </w:rPr>
                    <w:t>4MPa，20m</w:t>
                  </w:r>
                  <w:r>
                    <w:rPr>
                      <w:rFonts w:hint="eastAsia"/>
                      <w:szCs w:val="21"/>
                      <w:vertAlign w:val="superscript"/>
                      <w:lang w:val="pt-BR"/>
                    </w:rPr>
                    <w:t>3</w:t>
                  </w:r>
                </w:p>
              </w:tc>
              <w:tc>
                <w:tcPr>
                  <w:tcW w:w="992" w:type="dxa"/>
                  <w:vAlign w:val="center"/>
                </w:tcPr>
                <w:p w14:paraId="34132A3D">
                  <w:pPr>
                    <w:jc w:val="center"/>
                    <w:rPr>
                      <w:szCs w:val="21"/>
                      <w:lang w:val="pt-BR"/>
                    </w:rPr>
                  </w:pPr>
                  <w:r>
                    <w:rPr>
                      <w:rFonts w:hint="eastAsia"/>
                      <w:szCs w:val="21"/>
                      <w:lang w:val="pt-BR"/>
                    </w:rPr>
                    <w:t>1</w:t>
                  </w:r>
                </w:p>
              </w:tc>
              <w:tc>
                <w:tcPr>
                  <w:tcW w:w="980" w:type="dxa"/>
                  <w:vMerge w:val="continue"/>
                  <w:vAlign w:val="center"/>
                </w:tcPr>
                <w:p w14:paraId="5E483C7A">
                  <w:pPr>
                    <w:jc w:val="center"/>
                    <w:rPr>
                      <w:szCs w:val="21"/>
                    </w:rPr>
                  </w:pPr>
                </w:p>
              </w:tc>
              <w:tc>
                <w:tcPr>
                  <w:tcW w:w="570" w:type="dxa"/>
                  <w:vMerge w:val="continue"/>
                  <w:vAlign w:val="center"/>
                </w:tcPr>
                <w:p w14:paraId="1444F7C1">
                  <w:pPr>
                    <w:jc w:val="center"/>
                    <w:rPr>
                      <w:bCs/>
                      <w:szCs w:val="21"/>
                      <w:highlight w:val="yellow"/>
                      <w:lang w:val="pt-BR"/>
                    </w:rPr>
                  </w:pPr>
                </w:p>
              </w:tc>
              <w:tc>
                <w:tcPr>
                  <w:tcW w:w="2039" w:type="dxa"/>
                  <w:vMerge w:val="continue"/>
                  <w:vAlign w:val="center"/>
                </w:tcPr>
                <w:p w14:paraId="34E15C03">
                  <w:pPr>
                    <w:jc w:val="center"/>
                    <w:rPr>
                      <w:bCs/>
                      <w:szCs w:val="21"/>
                      <w:lang w:val="pt-BR"/>
                    </w:rPr>
                  </w:pPr>
                </w:p>
              </w:tc>
            </w:tr>
            <w:tr w14:paraId="6CC9194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Merge w:val="continue"/>
                  <w:vAlign w:val="center"/>
                </w:tcPr>
                <w:p w14:paraId="3464A859">
                  <w:pPr>
                    <w:widowControl/>
                    <w:jc w:val="center"/>
                    <w:rPr>
                      <w:kern w:val="0"/>
                      <w:szCs w:val="21"/>
                    </w:rPr>
                  </w:pPr>
                </w:p>
              </w:tc>
              <w:tc>
                <w:tcPr>
                  <w:tcW w:w="1378" w:type="dxa"/>
                  <w:vMerge w:val="continue"/>
                  <w:vAlign w:val="center"/>
                </w:tcPr>
                <w:p w14:paraId="149B2332">
                  <w:pPr>
                    <w:jc w:val="center"/>
                    <w:rPr>
                      <w:szCs w:val="21"/>
                    </w:rPr>
                  </w:pPr>
                </w:p>
              </w:tc>
              <w:tc>
                <w:tcPr>
                  <w:tcW w:w="1571" w:type="dxa"/>
                  <w:vAlign w:val="center"/>
                </w:tcPr>
                <w:p w14:paraId="1EA1E5DF">
                  <w:pPr>
                    <w:jc w:val="center"/>
                    <w:rPr>
                      <w:szCs w:val="21"/>
                      <w:lang w:val="pt-BR"/>
                    </w:rPr>
                  </w:pPr>
                  <w:r>
                    <w:rPr>
                      <w:rFonts w:hint="eastAsia"/>
                      <w:szCs w:val="21"/>
                      <w:lang w:val="pt-BR"/>
                    </w:rPr>
                    <w:t>1.2MPa，20m</w:t>
                  </w:r>
                  <w:r>
                    <w:rPr>
                      <w:rFonts w:hint="eastAsia"/>
                      <w:szCs w:val="21"/>
                      <w:vertAlign w:val="superscript"/>
                      <w:lang w:val="pt-BR"/>
                    </w:rPr>
                    <w:t>3</w:t>
                  </w:r>
                </w:p>
              </w:tc>
              <w:tc>
                <w:tcPr>
                  <w:tcW w:w="992" w:type="dxa"/>
                  <w:vAlign w:val="center"/>
                </w:tcPr>
                <w:p w14:paraId="43FC5209">
                  <w:pPr>
                    <w:jc w:val="center"/>
                    <w:rPr>
                      <w:szCs w:val="21"/>
                      <w:lang w:val="pt-BR"/>
                    </w:rPr>
                  </w:pPr>
                  <w:r>
                    <w:rPr>
                      <w:rFonts w:hint="eastAsia"/>
                      <w:szCs w:val="21"/>
                      <w:lang w:val="pt-BR"/>
                    </w:rPr>
                    <w:t>2</w:t>
                  </w:r>
                </w:p>
              </w:tc>
              <w:tc>
                <w:tcPr>
                  <w:tcW w:w="980" w:type="dxa"/>
                  <w:vMerge w:val="continue"/>
                  <w:vAlign w:val="center"/>
                </w:tcPr>
                <w:p w14:paraId="41E3FBAF">
                  <w:pPr>
                    <w:jc w:val="center"/>
                    <w:rPr>
                      <w:szCs w:val="21"/>
                    </w:rPr>
                  </w:pPr>
                </w:p>
              </w:tc>
              <w:tc>
                <w:tcPr>
                  <w:tcW w:w="570" w:type="dxa"/>
                  <w:vMerge w:val="continue"/>
                  <w:vAlign w:val="center"/>
                </w:tcPr>
                <w:p w14:paraId="623B4F4D">
                  <w:pPr>
                    <w:jc w:val="center"/>
                    <w:rPr>
                      <w:bCs/>
                      <w:szCs w:val="21"/>
                      <w:highlight w:val="yellow"/>
                      <w:lang w:val="pt-BR"/>
                    </w:rPr>
                  </w:pPr>
                </w:p>
              </w:tc>
              <w:tc>
                <w:tcPr>
                  <w:tcW w:w="2039" w:type="dxa"/>
                  <w:vMerge w:val="continue"/>
                  <w:vAlign w:val="center"/>
                </w:tcPr>
                <w:p w14:paraId="185E17F0">
                  <w:pPr>
                    <w:jc w:val="center"/>
                    <w:rPr>
                      <w:bCs/>
                      <w:szCs w:val="21"/>
                      <w:lang w:val="pt-BR"/>
                    </w:rPr>
                  </w:pPr>
                </w:p>
              </w:tc>
            </w:tr>
            <w:tr w14:paraId="1CDDBDB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Merge w:val="continue"/>
                  <w:vAlign w:val="center"/>
                </w:tcPr>
                <w:p w14:paraId="3AD23647">
                  <w:pPr>
                    <w:widowControl/>
                    <w:jc w:val="center"/>
                    <w:rPr>
                      <w:kern w:val="0"/>
                      <w:szCs w:val="21"/>
                    </w:rPr>
                  </w:pPr>
                </w:p>
              </w:tc>
              <w:tc>
                <w:tcPr>
                  <w:tcW w:w="1378" w:type="dxa"/>
                  <w:vMerge w:val="continue"/>
                  <w:vAlign w:val="center"/>
                </w:tcPr>
                <w:p w14:paraId="2D790D66">
                  <w:pPr>
                    <w:jc w:val="center"/>
                    <w:rPr>
                      <w:szCs w:val="21"/>
                    </w:rPr>
                  </w:pPr>
                </w:p>
              </w:tc>
              <w:tc>
                <w:tcPr>
                  <w:tcW w:w="1571" w:type="dxa"/>
                  <w:vAlign w:val="center"/>
                </w:tcPr>
                <w:p w14:paraId="1803C019">
                  <w:pPr>
                    <w:jc w:val="center"/>
                    <w:rPr>
                      <w:szCs w:val="21"/>
                      <w:lang w:val="pt-BR"/>
                    </w:rPr>
                  </w:pPr>
                  <w:r>
                    <w:rPr>
                      <w:rFonts w:hint="eastAsia"/>
                      <w:szCs w:val="21"/>
                      <w:lang w:val="pt-BR"/>
                    </w:rPr>
                    <w:t>1.3MPa，2.8m</w:t>
                  </w:r>
                  <w:r>
                    <w:rPr>
                      <w:rFonts w:hint="eastAsia"/>
                      <w:szCs w:val="21"/>
                      <w:vertAlign w:val="superscript"/>
                      <w:lang w:val="pt-BR"/>
                    </w:rPr>
                    <w:t>3</w:t>
                  </w:r>
                </w:p>
              </w:tc>
              <w:tc>
                <w:tcPr>
                  <w:tcW w:w="992" w:type="dxa"/>
                  <w:vAlign w:val="center"/>
                </w:tcPr>
                <w:p w14:paraId="62ED41D7">
                  <w:pPr>
                    <w:jc w:val="center"/>
                    <w:rPr>
                      <w:szCs w:val="21"/>
                      <w:lang w:val="pt-BR"/>
                    </w:rPr>
                  </w:pPr>
                  <w:r>
                    <w:rPr>
                      <w:rFonts w:hint="eastAsia"/>
                      <w:szCs w:val="21"/>
                      <w:lang w:val="pt-BR"/>
                    </w:rPr>
                    <w:t>1</w:t>
                  </w:r>
                </w:p>
              </w:tc>
              <w:tc>
                <w:tcPr>
                  <w:tcW w:w="980" w:type="dxa"/>
                  <w:vMerge w:val="continue"/>
                  <w:vAlign w:val="center"/>
                </w:tcPr>
                <w:p w14:paraId="4303CF3D">
                  <w:pPr>
                    <w:jc w:val="center"/>
                    <w:rPr>
                      <w:szCs w:val="21"/>
                    </w:rPr>
                  </w:pPr>
                </w:p>
              </w:tc>
              <w:tc>
                <w:tcPr>
                  <w:tcW w:w="570" w:type="dxa"/>
                  <w:vMerge w:val="continue"/>
                  <w:vAlign w:val="center"/>
                </w:tcPr>
                <w:p w14:paraId="043233DA">
                  <w:pPr>
                    <w:jc w:val="center"/>
                    <w:rPr>
                      <w:bCs/>
                      <w:szCs w:val="21"/>
                      <w:highlight w:val="yellow"/>
                      <w:lang w:val="pt-BR"/>
                    </w:rPr>
                  </w:pPr>
                </w:p>
              </w:tc>
              <w:tc>
                <w:tcPr>
                  <w:tcW w:w="2039" w:type="dxa"/>
                  <w:vMerge w:val="continue"/>
                  <w:vAlign w:val="center"/>
                </w:tcPr>
                <w:p w14:paraId="14FBD9C3">
                  <w:pPr>
                    <w:jc w:val="center"/>
                    <w:rPr>
                      <w:bCs/>
                      <w:szCs w:val="21"/>
                      <w:lang w:val="pt-BR"/>
                    </w:rPr>
                  </w:pPr>
                </w:p>
              </w:tc>
            </w:tr>
            <w:tr w14:paraId="3A3EABE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Merge w:val="continue"/>
                  <w:vAlign w:val="center"/>
                </w:tcPr>
                <w:p w14:paraId="163DE05B">
                  <w:pPr>
                    <w:widowControl/>
                    <w:jc w:val="center"/>
                    <w:rPr>
                      <w:kern w:val="0"/>
                      <w:szCs w:val="21"/>
                    </w:rPr>
                  </w:pPr>
                </w:p>
              </w:tc>
              <w:tc>
                <w:tcPr>
                  <w:tcW w:w="1378" w:type="dxa"/>
                  <w:vMerge w:val="continue"/>
                  <w:vAlign w:val="center"/>
                </w:tcPr>
                <w:p w14:paraId="5ED4B6AF">
                  <w:pPr>
                    <w:jc w:val="center"/>
                    <w:rPr>
                      <w:szCs w:val="21"/>
                    </w:rPr>
                  </w:pPr>
                </w:p>
              </w:tc>
              <w:tc>
                <w:tcPr>
                  <w:tcW w:w="1571" w:type="dxa"/>
                  <w:vAlign w:val="center"/>
                </w:tcPr>
                <w:p w14:paraId="2171372F">
                  <w:pPr>
                    <w:jc w:val="center"/>
                    <w:rPr>
                      <w:szCs w:val="21"/>
                      <w:lang w:val="pt-BR"/>
                    </w:rPr>
                  </w:pPr>
                  <w:r>
                    <w:rPr>
                      <w:rFonts w:hint="eastAsia"/>
                      <w:szCs w:val="21"/>
                      <w:lang w:val="pt-BR"/>
                    </w:rPr>
                    <w:t>22MPa，2.1m</w:t>
                  </w:r>
                  <w:r>
                    <w:rPr>
                      <w:rFonts w:hint="eastAsia"/>
                      <w:szCs w:val="21"/>
                      <w:vertAlign w:val="superscript"/>
                      <w:lang w:val="pt-BR"/>
                    </w:rPr>
                    <w:t>3</w:t>
                  </w:r>
                </w:p>
              </w:tc>
              <w:tc>
                <w:tcPr>
                  <w:tcW w:w="992" w:type="dxa"/>
                  <w:vAlign w:val="center"/>
                </w:tcPr>
                <w:p w14:paraId="0F5ED73A">
                  <w:pPr>
                    <w:jc w:val="center"/>
                    <w:rPr>
                      <w:szCs w:val="21"/>
                      <w:lang w:val="pt-BR"/>
                    </w:rPr>
                  </w:pPr>
                  <w:r>
                    <w:rPr>
                      <w:rFonts w:hint="eastAsia"/>
                      <w:szCs w:val="21"/>
                      <w:lang w:val="pt-BR"/>
                    </w:rPr>
                    <w:t>1</w:t>
                  </w:r>
                </w:p>
              </w:tc>
              <w:tc>
                <w:tcPr>
                  <w:tcW w:w="980" w:type="dxa"/>
                  <w:vMerge w:val="continue"/>
                  <w:vAlign w:val="center"/>
                </w:tcPr>
                <w:p w14:paraId="447374AE">
                  <w:pPr>
                    <w:jc w:val="center"/>
                    <w:rPr>
                      <w:szCs w:val="21"/>
                    </w:rPr>
                  </w:pPr>
                </w:p>
              </w:tc>
              <w:tc>
                <w:tcPr>
                  <w:tcW w:w="570" w:type="dxa"/>
                  <w:vMerge w:val="continue"/>
                  <w:vAlign w:val="center"/>
                </w:tcPr>
                <w:p w14:paraId="1C502249">
                  <w:pPr>
                    <w:jc w:val="center"/>
                    <w:rPr>
                      <w:bCs/>
                      <w:szCs w:val="21"/>
                      <w:highlight w:val="yellow"/>
                      <w:lang w:val="pt-BR"/>
                    </w:rPr>
                  </w:pPr>
                </w:p>
              </w:tc>
              <w:tc>
                <w:tcPr>
                  <w:tcW w:w="2039" w:type="dxa"/>
                  <w:vMerge w:val="continue"/>
                  <w:vAlign w:val="center"/>
                </w:tcPr>
                <w:p w14:paraId="494013A6">
                  <w:pPr>
                    <w:jc w:val="center"/>
                    <w:rPr>
                      <w:bCs/>
                      <w:szCs w:val="21"/>
                      <w:lang w:val="pt-BR"/>
                    </w:rPr>
                  </w:pPr>
                </w:p>
              </w:tc>
            </w:tr>
            <w:tr w14:paraId="520AB1D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Merge w:val="continue"/>
                  <w:vAlign w:val="center"/>
                </w:tcPr>
                <w:p w14:paraId="520AB1CA">
                  <w:pPr>
                    <w:widowControl/>
                    <w:jc w:val="center"/>
                    <w:rPr>
                      <w:kern w:val="0"/>
                      <w:szCs w:val="21"/>
                    </w:rPr>
                  </w:pPr>
                </w:p>
              </w:tc>
              <w:tc>
                <w:tcPr>
                  <w:tcW w:w="1378" w:type="dxa"/>
                  <w:vMerge w:val="continue"/>
                  <w:vAlign w:val="center"/>
                </w:tcPr>
                <w:p w14:paraId="520AB1CB">
                  <w:pPr>
                    <w:jc w:val="center"/>
                    <w:rPr>
                      <w:szCs w:val="22"/>
                      <w:highlight w:val="yellow"/>
                    </w:rPr>
                  </w:pPr>
                </w:p>
              </w:tc>
              <w:tc>
                <w:tcPr>
                  <w:tcW w:w="1571" w:type="dxa"/>
                  <w:vAlign w:val="center"/>
                </w:tcPr>
                <w:p w14:paraId="520AB1CC">
                  <w:pPr>
                    <w:jc w:val="center"/>
                    <w:rPr>
                      <w:szCs w:val="21"/>
                      <w:lang w:val="pt-BR"/>
                    </w:rPr>
                  </w:pPr>
                  <w:r>
                    <w:rPr>
                      <w:rFonts w:hint="eastAsia"/>
                      <w:szCs w:val="21"/>
                      <w:lang w:val="pt-BR"/>
                    </w:rPr>
                    <w:t>1MPa，15m</w:t>
                  </w:r>
                  <w:r>
                    <w:rPr>
                      <w:rFonts w:hint="eastAsia"/>
                      <w:szCs w:val="21"/>
                      <w:vertAlign w:val="superscript"/>
                      <w:lang w:val="pt-BR"/>
                    </w:rPr>
                    <w:t>3</w:t>
                  </w:r>
                </w:p>
              </w:tc>
              <w:tc>
                <w:tcPr>
                  <w:tcW w:w="992" w:type="dxa"/>
                  <w:vAlign w:val="center"/>
                </w:tcPr>
                <w:p w14:paraId="520AB1CD">
                  <w:pPr>
                    <w:jc w:val="center"/>
                    <w:rPr>
                      <w:szCs w:val="21"/>
                      <w:lang w:val="pt-BR"/>
                    </w:rPr>
                  </w:pPr>
                  <w:r>
                    <w:rPr>
                      <w:rFonts w:hint="eastAsia"/>
                      <w:szCs w:val="21"/>
                      <w:lang w:val="pt-BR"/>
                    </w:rPr>
                    <w:t>3</w:t>
                  </w:r>
                </w:p>
              </w:tc>
              <w:tc>
                <w:tcPr>
                  <w:tcW w:w="980" w:type="dxa"/>
                  <w:vAlign w:val="center"/>
                </w:tcPr>
                <w:p w14:paraId="520AB1CE">
                  <w:pPr>
                    <w:jc w:val="center"/>
                    <w:rPr>
                      <w:bCs/>
                      <w:szCs w:val="21"/>
                      <w:highlight w:val="yellow"/>
                      <w:lang w:val="pt-BR"/>
                    </w:rPr>
                  </w:pPr>
                  <w:r>
                    <w:rPr>
                      <w:szCs w:val="21"/>
                    </w:rPr>
                    <w:t>解放路</w:t>
                  </w:r>
                </w:p>
              </w:tc>
              <w:tc>
                <w:tcPr>
                  <w:tcW w:w="570" w:type="dxa"/>
                  <w:vMerge w:val="restart"/>
                  <w:vAlign w:val="center"/>
                </w:tcPr>
                <w:p w14:paraId="520AB1CF">
                  <w:pPr>
                    <w:jc w:val="center"/>
                    <w:rPr>
                      <w:bCs/>
                      <w:szCs w:val="21"/>
                      <w:lang w:val="pt-BR"/>
                    </w:rPr>
                  </w:pPr>
                  <w:r>
                    <w:rPr>
                      <w:rFonts w:hint="eastAsia"/>
                      <w:bCs/>
                      <w:szCs w:val="21"/>
                      <w:lang w:val="pt-BR"/>
                    </w:rPr>
                    <w:t>解放路厂区</w:t>
                  </w:r>
                </w:p>
              </w:tc>
              <w:tc>
                <w:tcPr>
                  <w:tcW w:w="2039" w:type="dxa"/>
                  <w:vMerge w:val="continue"/>
                  <w:vAlign w:val="center"/>
                </w:tcPr>
                <w:p w14:paraId="520AB1D0">
                  <w:pPr>
                    <w:jc w:val="center"/>
                    <w:rPr>
                      <w:bCs/>
                      <w:szCs w:val="21"/>
                      <w:highlight w:val="yellow"/>
                      <w:lang w:val="pt-BR"/>
                    </w:rPr>
                  </w:pPr>
                </w:p>
              </w:tc>
            </w:tr>
            <w:tr w14:paraId="520AB1D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D2">
                  <w:pPr>
                    <w:widowControl/>
                    <w:jc w:val="center"/>
                    <w:rPr>
                      <w:kern w:val="0"/>
                      <w:szCs w:val="21"/>
                    </w:rPr>
                  </w:pPr>
                  <w:r>
                    <w:rPr>
                      <w:rFonts w:hint="eastAsia"/>
                      <w:kern w:val="0"/>
                      <w:szCs w:val="21"/>
                    </w:rPr>
                    <w:t>18</w:t>
                  </w:r>
                </w:p>
              </w:tc>
              <w:tc>
                <w:tcPr>
                  <w:tcW w:w="1378" w:type="dxa"/>
                  <w:vAlign w:val="center"/>
                </w:tcPr>
                <w:p w14:paraId="520AB1D3">
                  <w:pPr>
                    <w:jc w:val="center"/>
                    <w:rPr>
                      <w:szCs w:val="22"/>
                      <w:highlight w:val="cyan"/>
                    </w:rPr>
                  </w:pPr>
                  <w:r>
                    <w:rPr>
                      <w:szCs w:val="21"/>
                    </w:rPr>
                    <w:t>烘箱</w:t>
                  </w:r>
                </w:p>
              </w:tc>
              <w:tc>
                <w:tcPr>
                  <w:tcW w:w="1571" w:type="dxa"/>
                  <w:vAlign w:val="center"/>
                </w:tcPr>
                <w:p w14:paraId="520AB1D4">
                  <w:pPr>
                    <w:jc w:val="center"/>
                    <w:rPr>
                      <w:szCs w:val="21"/>
                      <w:lang w:val="pt-BR"/>
                    </w:rPr>
                  </w:pPr>
                  <w:r>
                    <w:rPr>
                      <w:rFonts w:hint="eastAsia"/>
                      <w:szCs w:val="21"/>
                      <w:lang w:val="pt-BR"/>
                    </w:rPr>
                    <w:t>/</w:t>
                  </w:r>
                </w:p>
              </w:tc>
              <w:tc>
                <w:tcPr>
                  <w:tcW w:w="992" w:type="dxa"/>
                  <w:vAlign w:val="center"/>
                </w:tcPr>
                <w:p w14:paraId="520AB1D5">
                  <w:pPr>
                    <w:jc w:val="center"/>
                    <w:rPr>
                      <w:szCs w:val="21"/>
                      <w:lang w:val="pt-BR"/>
                    </w:rPr>
                  </w:pPr>
                  <w:r>
                    <w:rPr>
                      <w:rFonts w:hint="eastAsia"/>
                      <w:szCs w:val="21"/>
                      <w:lang w:val="pt-BR"/>
                    </w:rPr>
                    <w:t>1</w:t>
                  </w:r>
                </w:p>
              </w:tc>
              <w:tc>
                <w:tcPr>
                  <w:tcW w:w="980" w:type="dxa"/>
                  <w:vMerge w:val="restart"/>
                  <w:vAlign w:val="center"/>
                </w:tcPr>
                <w:p w14:paraId="520AB1D6">
                  <w:pPr>
                    <w:jc w:val="center"/>
                    <w:rPr>
                      <w:bCs/>
                      <w:szCs w:val="21"/>
                      <w:highlight w:val="yellow"/>
                      <w:lang w:val="pt-BR"/>
                    </w:rPr>
                  </w:pPr>
                  <w:r>
                    <w:rPr>
                      <w:rFonts w:hint="eastAsia"/>
                      <w:szCs w:val="21"/>
                    </w:rPr>
                    <w:t>2207</w:t>
                  </w:r>
                  <w:r>
                    <w:rPr>
                      <w:szCs w:val="21"/>
                    </w:rPr>
                    <w:t>厂房</w:t>
                  </w:r>
                </w:p>
              </w:tc>
              <w:tc>
                <w:tcPr>
                  <w:tcW w:w="570" w:type="dxa"/>
                  <w:vMerge w:val="continue"/>
                  <w:vAlign w:val="center"/>
                </w:tcPr>
                <w:p w14:paraId="520AB1D7">
                  <w:pPr>
                    <w:jc w:val="center"/>
                    <w:rPr>
                      <w:bCs/>
                      <w:szCs w:val="21"/>
                      <w:highlight w:val="yellow"/>
                      <w:lang w:val="pt-BR"/>
                    </w:rPr>
                  </w:pPr>
                </w:p>
              </w:tc>
              <w:tc>
                <w:tcPr>
                  <w:tcW w:w="2039" w:type="dxa"/>
                  <w:vAlign w:val="center"/>
                </w:tcPr>
                <w:p w14:paraId="520AB1D8">
                  <w:pPr>
                    <w:jc w:val="center"/>
                    <w:rPr>
                      <w:bCs/>
                      <w:szCs w:val="21"/>
                      <w:highlight w:val="yellow"/>
                      <w:lang w:val="pt-BR"/>
                    </w:rPr>
                  </w:pPr>
                  <w:r>
                    <w:rPr>
                      <w:rFonts w:hint="eastAsia"/>
                      <w:bCs/>
                      <w:szCs w:val="21"/>
                      <w:lang w:val="pt-BR"/>
                    </w:rPr>
                    <w:t>二次硫化</w:t>
                  </w:r>
                </w:p>
              </w:tc>
            </w:tr>
            <w:tr w14:paraId="520AB1E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DA">
                  <w:pPr>
                    <w:widowControl/>
                    <w:jc w:val="center"/>
                    <w:rPr>
                      <w:kern w:val="0"/>
                      <w:szCs w:val="21"/>
                    </w:rPr>
                  </w:pPr>
                  <w:r>
                    <w:rPr>
                      <w:rFonts w:hint="eastAsia"/>
                      <w:kern w:val="0"/>
                      <w:szCs w:val="21"/>
                    </w:rPr>
                    <w:t>19</w:t>
                  </w:r>
                </w:p>
              </w:tc>
              <w:tc>
                <w:tcPr>
                  <w:tcW w:w="1378" w:type="dxa"/>
                  <w:vAlign w:val="center"/>
                </w:tcPr>
                <w:p w14:paraId="520AB1DB">
                  <w:pPr>
                    <w:jc w:val="center"/>
                    <w:rPr>
                      <w:szCs w:val="22"/>
                      <w:highlight w:val="cyan"/>
                    </w:rPr>
                  </w:pPr>
                  <w:r>
                    <w:rPr>
                      <w:szCs w:val="21"/>
                    </w:rPr>
                    <w:t>高温硫化机</w:t>
                  </w:r>
                </w:p>
              </w:tc>
              <w:tc>
                <w:tcPr>
                  <w:tcW w:w="1571" w:type="dxa"/>
                  <w:vAlign w:val="center"/>
                </w:tcPr>
                <w:p w14:paraId="520AB1DC">
                  <w:pPr>
                    <w:jc w:val="center"/>
                    <w:rPr>
                      <w:szCs w:val="21"/>
                      <w:highlight w:val="yellow"/>
                      <w:lang w:val="pt-BR"/>
                    </w:rPr>
                  </w:pPr>
                  <w:r>
                    <w:rPr>
                      <w:rFonts w:hint="eastAsia"/>
                      <w:szCs w:val="21"/>
                      <w:lang w:val="pt-BR"/>
                    </w:rPr>
                    <w:t>46#高抗磨液压油，200L/a</w:t>
                  </w:r>
                </w:p>
              </w:tc>
              <w:tc>
                <w:tcPr>
                  <w:tcW w:w="992" w:type="dxa"/>
                  <w:vAlign w:val="center"/>
                </w:tcPr>
                <w:p w14:paraId="520AB1DD">
                  <w:pPr>
                    <w:jc w:val="center"/>
                    <w:rPr>
                      <w:szCs w:val="21"/>
                      <w:lang w:val="pt-BR"/>
                    </w:rPr>
                  </w:pPr>
                  <w:r>
                    <w:rPr>
                      <w:rFonts w:hint="eastAsia"/>
                      <w:szCs w:val="21"/>
                      <w:lang w:val="pt-BR"/>
                    </w:rPr>
                    <w:t>1</w:t>
                  </w:r>
                </w:p>
              </w:tc>
              <w:tc>
                <w:tcPr>
                  <w:tcW w:w="980" w:type="dxa"/>
                  <w:vMerge w:val="continue"/>
                  <w:vAlign w:val="center"/>
                </w:tcPr>
                <w:p w14:paraId="520AB1DE">
                  <w:pPr>
                    <w:jc w:val="center"/>
                    <w:rPr>
                      <w:bCs/>
                      <w:szCs w:val="21"/>
                      <w:highlight w:val="yellow"/>
                      <w:lang w:val="pt-BR"/>
                    </w:rPr>
                  </w:pPr>
                </w:p>
              </w:tc>
              <w:tc>
                <w:tcPr>
                  <w:tcW w:w="570" w:type="dxa"/>
                  <w:vMerge w:val="continue"/>
                  <w:vAlign w:val="center"/>
                </w:tcPr>
                <w:p w14:paraId="520AB1DF">
                  <w:pPr>
                    <w:jc w:val="center"/>
                    <w:rPr>
                      <w:bCs/>
                      <w:szCs w:val="21"/>
                      <w:highlight w:val="yellow"/>
                      <w:lang w:val="pt-BR"/>
                    </w:rPr>
                  </w:pPr>
                </w:p>
              </w:tc>
              <w:tc>
                <w:tcPr>
                  <w:tcW w:w="2039" w:type="dxa"/>
                  <w:vAlign w:val="center"/>
                </w:tcPr>
                <w:p w14:paraId="520AB1E0">
                  <w:pPr>
                    <w:jc w:val="center"/>
                    <w:rPr>
                      <w:bCs/>
                      <w:szCs w:val="21"/>
                      <w:highlight w:val="yellow"/>
                      <w:lang w:val="pt-BR"/>
                    </w:rPr>
                  </w:pPr>
                  <w:r>
                    <w:rPr>
                      <w:rFonts w:hint="eastAsia"/>
                      <w:bCs/>
                      <w:szCs w:val="21"/>
                      <w:lang w:val="pt-BR"/>
                    </w:rPr>
                    <w:t>硫化</w:t>
                  </w:r>
                </w:p>
              </w:tc>
            </w:tr>
            <w:tr w14:paraId="520AB1E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E2">
                  <w:pPr>
                    <w:widowControl/>
                    <w:jc w:val="center"/>
                    <w:rPr>
                      <w:kern w:val="0"/>
                      <w:szCs w:val="21"/>
                    </w:rPr>
                  </w:pPr>
                  <w:r>
                    <w:rPr>
                      <w:rFonts w:hint="eastAsia"/>
                      <w:kern w:val="0"/>
                      <w:szCs w:val="21"/>
                    </w:rPr>
                    <w:t>20</w:t>
                  </w:r>
                </w:p>
              </w:tc>
              <w:tc>
                <w:tcPr>
                  <w:tcW w:w="1378" w:type="dxa"/>
                  <w:vAlign w:val="center"/>
                </w:tcPr>
                <w:p w14:paraId="520AB1E3">
                  <w:pPr>
                    <w:jc w:val="center"/>
                    <w:rPr>
                      <w:szCs w:val="22"/>
                      <w:highlight w:val="yellow"/>
                    </w:rPr>
                  </w:pPr>
                  <w:r>
                    <w:rPr>
                      <w:szCs w:val="21"/>
                    </w:rPr>
                    <w:t>测高仪</w:t>
                  </w:r>
                </w:p>
              </w:tc>
              <w:tc>
                <w:tcPr>
                  <w:tcW w:w="1571" w:type="dxa"/>
                  <w:vAlign w:val="center"/>
                </w:tcPr>
                <w:p w14:paraId="520AB1E4">
                  <w:pPr>
                    <w:jc w:val="center"/>
                    <w:rPr>
                      <w:szCs w:val="21"/>
                      <w:lang w:val="pt-BR"/>
                    </w:rPr>
                  </w:pPr>
                  <w:r>
                    <w:rPr>
                      <w:rFonts w:hint="eastAsia"/>
                      <w:szCs w:val="21"/>
                      <w:lang w:val="pt-BR"/>
                    </w:rPr>
                    <w:t>/</w:t>
                  </w:r>
                </w:p>
              </w:tc>
              <w:tc>
                <w:tcPr>
                  <w:tcW w:w="992" w:type="dxa"/>
                  <w:vAlign w:val="center"/>
                </w:tcPr>
                <w:p w14:paraId="520AB1E5">
                  <w:pPr>
                    <w:jc w:val="center"/>
                    <w:rPr>
                      <w:szCs w:val="21"/>
                      <w:lang w:val="pt-BR"/>
                    </w:rPr>
                  </w:pPr>
                  <w:r>
                    <w:rPr>
                      <w:rFonts w:hint="eastAsia"/>
                      <w:szCs w:val="21"/>
                      <w:lang w:val="pt-BR"/>
                    </w:rPr>
                    <w:t>1</w:t>
                  </w:r>
                </w:p>
              </w:tc>
              <w:tc>
                <w:tcPr>
                  <w:tcW w:w="980" w:type="dxa"/>
                  <w:vMerge w:val="restart"/>
                  <w:vAlign w:val="center"/>
                </w:tcPr>
                <w:p w14:paraId="520AB1E6">
                  <w:pPr>
                    <w:jc w:val="center"/>
                    <w:rPr>
                      <w:bCs/>
                      <w:szCs w:val="21"/>
                      <w:highlight w:val="yellow"/>
                      <w:lang w:val="pt-BR"/>
                    </w:rPr>
                  </w:pPr>
                  <w:r>
                    <w:rPr>
                      <w:rFonts w:hint="eastAsia"/>
                      <w:szCs w:val="21"/>
                    </w:rPr>
                    <w:t>2</w:t>
                  </w:r>
                  <w:r>
                    <w:rPr>
                      <w:szCs w:val="21"/>
                    </w:rPr>
                    <w:t>209厂房</w:t>
                  </w:r>
                </w:p>
              </w:tc>
              <w:tc>
                <w:tcPr>
                  <w:tcW w:w="570" w:type="dxa"/>
                  <w:vMerge w:val="continue"/>
                  <w:vAlign w:val="center"/>
                </w:tcPr>
                <w:p w14:paraId="520AB1E7">
                  <w:pPr>
                    <w:jc w:val="center"/>
                    <w:rPr>
                      <w:bCs/>
                      <w:szCs w:val="21"/>
                      <w:highlight w:val="yellow"/>
                      <w:lang w:val="pt-BR"/>
                    </w:rPr>
                  </w:pPr>
                </w:p>
              </w:tc>
              <w:tc>
                <w:tcPr>
                  <w:tcW w:w="2039" w:type="dxa"/>
                  <w:vAlign w:val="center"/>
                </w:tcPr>
                <w:p w14:paraId="520AB1E8">
                  <w:pPr>
                    <w:jc w:val="center"/>
                    <w:rPr>
                      <w:bCs/>
                      <w:szCs w:val="21"/>
                      <w:highlight w:val="yellow"/>
                      <w:lang w:val="pt-BR"/>
                    </w:rPr>
                  </w:pPr>
                  <w:r>
                    <w:rPr>
                      <w:rFonts w:hint="eastAsia"/>
                      <w:bCs/>
                      <w:szCs w:val="21"/>
                      <w:lang w:val="pt-BR"/>
                    </w:rPr>
                    <w:t>测量工件精密高度</w:t>
                  </w:r>
                </w:p>
              </w:tc>
            </w:tr>
            <w:tr w14:paraId="520AB1F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EA">
                  <w:pPr>
                    <w:widowControl/>
                    <w:jc w:val="center"/>
                    <w:rPr>
                      <w:kern w:val="0"/>
                      <w:szCs w:val="21"/>
                    </w:rPr>
                  </w:pPr>
                  <w:r>
                    <w:rPr>
                      <w:rFonts w:hint="eastAsia"/>
                      <w:kern w:val="0"/>
                      <w:szCs w:val="21"/>
                    </w:rPr>
                    <w:t>21</w:t>
                  </w:r>
                </w:p>
              </w:tc>
              <w:tc>
                <w:tcPr>
                  <w:tcW w:w="1378" w:type="dxa"/>
                  <w:vAlign w:val="center"/>
                </w:tcPr>
                <w:p w14:paraId="520AB1EB">
                  <w:pPr>
                    <w:jc w:val="center"/>
                    <w:rPr>
                      <w:szCs w:val="22"/>
                      <w:highlight w:val="yellow"/>
                    </w:rPr>
                  </w:pPr>
                  <w:r>
                    <w:rPr>
                      <w:rFonts w:hint="eastAsia"/>
                      <w:szCs w:val="22"/>
                    </w:rPr>
                    <w:t>除湿机</w:t>
                  </w:r>
                </w:p>
              </w:tc>
              <w:tc>
                <w:tcPr>
                  <w:tcW w:w="1571" w:type="dxa"/>
                  <w:vAlign w:val="center"/>
                </w:tcPr>
                <w:p w14:paraId="520AB1EC">
                  <w:pPr>
                    <w:jc w:val="center"/>
                    <w:rPr>
                      <w:szCs w:val="21"/>
                      <w:lang w:val="pt-BR"/>
                    </w:rPr>
                  </w:pPr>
                  <w:r>
                    <w:rPr>
                      <w:rFonts w:hint="eastAsia"/>
                      <w:szCs w:val="21"/>
                      <w:lang w:val="pt-BR"/>
                    </w:rPr>
                    <w:t>/</w:t>
                  </w:r>
                </w:p>
              </w:tc>
              <w:tc>
                <w:tcPr>
                  <w:tcW w:w="992" w:type="dxa"/>
                  <w:vAlign w:val="center"/>
                </w:tcPr>
                <w:p w14:paraId="520AB1ED">
                  <w:pPr>
                    <w:jc w:val="center"/>
                    <w:rPr>
                      <w:szCs w:val="21"/>
                      <w:lang w:val="pt-BR"/>
                    </w:rPr>
                  </w:pPr>
                  <w:r>
                    <w:rPr>
                      <w:rFonts w:hint="eastAsia"/>
                      <w:szCs w:val="21"/>
                      <w:lang w:val="pt-BR"/>
                    </w:rPr>
                    <w:t>1</w:t>
                  </w:r>
                </w:p>
              </w:tc>
              <w:tc>
                <w:tcPr>
                  <w:tcW w:w="980" w:type="dxa"/>
                  <w:vMerge w:val="continue"/>
                  <w:vAlign w:val="center"/>
                </w:tcPr>
                <w:p w14:paraId="520AB1EE">
                  <w:pPr>
                    <w:jc w:val="center"/>
                    <w:rPr>
                      <w:bCs/>
                      <w:szCs w:val="21"/>
                      <w:highlight w:val="yellow"/>
                      <w:lang w:val="pt-BR"/>
                    </w:rPr>
                  </w:pPr>
                </w:p>
              </w:tc>
              <w:tc>
                <w:tcPr>
                  <w:tcW w:w="570" w:type="dxa"/>
                  <w:vMerge w:val="continue"/>
                  <w:vAlign w:val="center"/>
                </w:tcPr>
                <w:p w14:paraId="520AB1EF">
                  <w:pPr>
                    <w:jc w:val="center"/>
                    <w:rPr>
                      <w:bCs/>
                      <w:szCs w:val="21"/>
                      <w:highlight w:val="yellow"/>
                      <w:lang w:val="pt-BR"/>
                    </w:rPr>
                  </w:pPr>
                </w:p>
              </w:tc>
              <w:tc>
                <w:tcPr>
                  <w:tcW w:w="2039" w:type="dxa"/>
                  <w:vAlign w:val="center"/>
                </w:tcPr>
                <w:p w14:paraId="520AB1F0">
                  <w:pPr>
                    <w:jc w:val="center"/>
                    <w:rPr>
                      <w:bCs/>
                      <w:szCs w:val="21"/>
                      <w:highlight w:val="yellow"/>
                      <w:lang w:val="pt-BR"/>
                    </w:rPr>
                  </w:pPr>
                  <w:r>
                    <w:rPr>
                      <w:rFonts w:hint="eastAsia"/>
                      <w:bCs/>
                      <w:szCs w:val="21"/>
                      <w:lang w:val="pt-BR"/>
                    </w:rPr>
                    <w:t>保持工作环境干燥</w:t>
                  </w:r>
                </w:p>
              </w:tc>
            </w:tr>
            <w:tr w14:paraId="520AB1F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7979" w:type="dxa"/>
                  <w:gridSpan w:val="7"/>
                  <w:vAlign w:val="center"/>
                </w:tcPr>
                <w:p w14:paraId="520AB1F2">
                  <w:pPr>
                    <w:jc w:val="center"/>
                    <w:rPr>
                      <w:bCs/>
                      <w:szCs w:val="21"/>
                      <w:highlight w:val="yellow"/>
                      <w:lang w:val="pt-BR"/>
                    </w:rPr>
                  </w:pPr>
                  <w:r>
                    <w:rPr>
                      <w:b/>
                      <w:bCs/>
                      <w:szCs w:val="21"/>
                    </w:rPr>
                    <w:t>软硬件部分</w:t>
                  </w:r>
                </w:p>
              </w:tc>
            </w:tr>
            <w:tr w14:paraId="520AB1F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F4">
                  <w:pPr>
                    <w:widowControl/>
                    <w:jc w:val="center"/>
                    <w:rPr>
                      <w:kern w:val="0"/>
                      <w:szCs w:val="21"/>
                    </w:rPr>
                  </w:pPr>
                  <w:r>
                    <w:rPr>
                      <w:rFonts w:hint="eastAsia"/>
                      <w:kern w:val="0"/>
                      <w:szCs w:val="21"/>
                    </w:rPr>
                    <w:t>1</w:t>
                  </w:r>
                </w:p>
              </w:tc>
              <w:tc>
                <w:tcPr>
                  <w:tcW w:w="1378" w:type="dxa"/>
                  <w:vAlign w:val="center"/>
                </w:tcPr>
                <w:p w14:paraId="520AB1F5">
                  <w:pPr>
                    <w:jc w:val="center"/>
                    <w:rPr>
                      <w:szCs w:val="21"/>
                    </w:rPr>
                  </w:pPr>
                  <w:r>
                    <w:rPr>
                      <w:szCs w:val="21"/>
                    </w:rPr>
                    <w:t>仓储物流数智化建设</w:t>
                  </w:r>
                </w:p>
              </w:tc>
              <w:tc>
                <w:tcPr>
                  <w:tcW w:w="1571" w:type="dxa"/>
                  <w:vAlign w:val="center"/>
                </w:tcPr>
                <w:p w14:paraId="520AB1F6">
                  <w:pPr>
                    <w:jc w:val="center"/>
                    <w:rPr>
                      <w:szCs w:val="21"/>
                      <w:lang w:val="pt-BR"/>
                    </w:rPr>
                  </w:pPr>
                  <w:r>
                    <w:rPr>
                      <w:rFonts w:hint="eastAsia"/>
                      <w:szCs w:val="21"/>
                      <w:lang w:val="pt-BR"/>
                    </w:rPr>
                    <w:t>/</w:t>
                  </w:r>
                </w:p>
              </w:tc>
              <w:tc>
                <w:tcPr>
                  <w:tcW w:w="992" w:type="dxa"/>
                  <w:vAlign w:val="center"/>
                </w:tcPr>
                <w:p w14:paraId="520AB1F7">
                  <w:pPr>
                    <w:jc w:val="center"/>
                    <w:rPr>
                      <w:szCs w:val="21"/>
                      <w:lang w:val="pt-BR"/>
                    </w:rPr>
                  </w:pPr>
                  <w:r>
                    <w:rPr>
                      <w:rFonts w:hint="eastAsia"/>
                      <w:szCs w:val="21"/>
                      <w:lang w:val="pt-BR"/>
                    </w:rPr>
                    <w:t>1</w:t>
                  </w:r>
                </w:p>
              </w:tc>
              <w:tc>
                <w:tcPr>
                  <w:tcW w:w="980" w:type="dxa"/>
                  <w:vAlign w:val="center"/>
                </w:tcPr>
                <w:p w14:paraId="520AB1F8">
                  <w:pPr>
                    <w:jc w:val="center"/>
                    <w:rPr>
                      <w:szCs w:val="21"/>
                    </w:rPr>
                  </w:pPr>
                  <w:r>
                    <w:rPr>
                      <w:rFonts w:hint="eastAsia"/>
                      <w:bCs/>
                      <w:szCs w:val="21"/>
                      <w:lang w:val="pt-BR"/>
                    </w:rPr>
                    <w:t>1208厂房</w:t>
                  </w:r>
                </w:p>
              </w:tc>
              <w:tc>
                <w:tcPr>
                  <w:tcW w:w="570" w:type="dxa"/>
                  <w:vMerge w:val="restart"/>
                  <w:vAlign w:val="center"/>
                </w:tcPr>
                <w:p w14:paraId="520AB1F9">
                  <w:pPr>
                    <w:jc w:val="center"/>
                    <w:rPr>
                      <w:bCs/>
                      <w:szCs w:val="21"/>
                      <w:highlight w:val="yellow"/>
                      <w:lang w:val="pt-BR"/>
                    </w:rPr>
                  </w:pPr>
                  <w:r>
                    <w:rPr>
                      <w:rFonts w:hint="eastAsia"/>
                      <w:bCs/>
                      <w:szCs w:val="21"/>
                      <w:lang w:val="pt-BR"/>
                    </w:rPr>
                    <w:t>建设路厂区</w:t>
                  </w:r>
                </w:p>
              </w:tc>
              <w:tc>
                <w:tcPr>
                  <w:tcW w:w="2039" w:type="dxa"/>
                  <w:vMerge w:val="restart"/>
                  <w:vAlign w:val="center"/>
                </w:tcPr>
                <w:p w14:paraId="520AB1FA">
                  <w:pPr>
                    <w:jc w:val="center"/>
                    <w:rPr>
                      <w:bCs/>
                      <w:szCs w:val="21"/>
                      <w:highlight w:val="yellow"/>
                      <w:lang w:val="pt-BR"/>
                    </w:rPr>
                  </w:pPr>
                  <w:r>
                    <w:rPr>
                      <w:rFonts w:hint="eastAsia"/>
                      <w:bCs/>
                      <w:szCs w:val="21"/>
                      <w:lang w:val="pt-BR"/>
                    </w:rPr>
                    <w:t>主要为数据采集、分析等辅助功能</w:t>
                  </w:r>
                </w:p>
              </w:tc>
            </w:tr>
            <w:tr w14:paraId="520AB20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1FC">
                  <w:pPr>
                    <w:widowControl/>
                    <w:jc w:val="center"/>
                    <w:rPr>
                      <w:kern w:val="0"/>
                      <w:szCs w:val="21"/>
                    </w:rPr>
                  </w:pPr>
                  <w:r>
                    <w:rPr>
                      <w:rFonts w:hint="eastAsia"/>
                      <w:kern w:val="0"/>
                      <w:szCs w:val="21"/>
                    </w:rPr>
                    <w:t>2</w:t>
                  </w:r>
                </w:p>
              </w:tc>
              <w:tc>
                <w:tcPr>
                  <w:tcW w:w="1378" w:type="dxa"/>
                  <w:vAlign w:val="center"/>
                </w:tcPr>
                <w:p w14:paraId="520AB1FD">
                  <w:pPr>
                    <w:jc w:val="center"/>
                    <w:rPr>
                      <w:szCs w:val="22"/>
                      <w:highlight w:val="yellow"/>
                    </w:rPr>
                  </w:pPr>
                  <w:r>
                    <w:rPr>
                      <w:szCs w:val="21"/>
                    </w:rPr>
                    <w:t>MOM平台建设</w:t>
                  </w:r>
                </w:p>
              </w:tc>
              <w:tc>
                <w:tcPr>
                  <w:tcW w:w="1571" w:type="dxa"/>
                  <w:vAlign w:val="center"/>
                </w:tcPr>
                <w:p w14:paraId="520AB1FE">
                  <w:pPr>
                    <w:jc w:val="center"/>
                    <w:rPr>
                      <w:szCs w:val="21"/>
                      <w:lang w:val="pt-BR"/>
                    </w:rPr>
                  </w:pPr>
                  <w:r>
                    <w:rPr>
                      <w:rFonts w:hint="eastAsia"/>
                      <w:szCs w:val="21"/>
                      <w:lang w:val="pt-BR"/>
                    </w:rPr>
                    <w:t>/</w:t>
                  </w:r>
                </w:p>
              </w:tc>
              <w:tc>
                <w:tcPr>
                  <w:tcW w:w="992" w:type="dxa"/>
                  <w:vAlign w:val="center"/>
                </w:tcPr>
                <w:p w14:paraId="520AB1FF">
                  <w:pPr>
                    <w:jc w:val="center"/>
                    <w:rPr>
                      <w:szCs w:val="21"/>
                      <w:lang w:val="pt-BR"/>
                    </w:rPr>
                  </w:pPr>
                  <w:r>
                    <w:rPr>
                      <w:rFonts w:hint="eastAsia"/>
                      <w:szCs w:val="21"/>
                      <w:lang w:val="pt-BR"/>
                    </w:rPr>
                    <w:t>1</w:t>
                  </w:r>
                </w:p>
              </w:tc>
              <w:tc>
                <w:tcPr>
                  <w:tcW w:w="980" w:type="dxa"/>
                  <w:vMerge w:val="restart"/>
                  <w:vAlign w:val="center"/>
                </w:tcPr>
                <w:p w14:paraId="520AB200">
                  <w:pPr>
                    <w:jc w:val="center"/>
                    <w:rPr>
                      <w:bCs/>
                      <w:szCs w:val="21"/>
                      <w:highlight w:val="yellow"/>
                      <w:lang w:val="pt-BR"/>
                    </w:rPr>
                  </w:pPr>
                  <w:r>
                    <w:rPr>
                      <w:szCs w:val="21"/>
                    </w:rPr>
                    <w:t>科研大楼</w:t>
                  </w:r>
                </w:p>
              </w:tc>
              <w:tc>
                <w:tcPr>
                  <w:tcW w:w="570" w:type="dxa"/>
                  <w:vMerge w:val="continue"/>
                  <w:vAlign w:val="center"/>
                </w:tcPr>
                <w:p w14:paraId="520AB201">
                  <w:pPr>
                    <w:jc w:val="center"/>
                    <w:rPr>
                      <w:bCs/>
                      <w:szCs w:val="21"/>
                      <w:highlight w:val="yellow"/>
                      <w:lang w:val="pt-BR"/>
                    </w:rPr>
                  </w:pPr>
                </w:p>
              </w:tc>
              <w:tc>
                <w:tcPr>
                  <w:tcW w:w="2039" w:type="dxa"/>
                  <w:vMerge w:val="continue"/>
                  <w:vAlign w:val="center"/>
                </w:tcPr>
                <w:p w14:paraId="520AB202">
                  <w:pPr>
                    <w:jc w:val="center"/>
                    <w:rPr>
                      <w:bCs/>
                      <w:szCs w:val="21"/>
                      <w:highlight w:val="yellow"/>
                      <w:lang w:val="pt-BR"/>
                    </w:rPr>
                  </w:pPr>
                </w:p>
              </w:tc>
            </w:tr>
            <w:tr w14:paraId="520AB20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204">
                  <w:pPr>
                    <w:widowControl/>
                    <w:jc w:val="center"/>
                    <w:rPr>
                      <w:kern w:val="0"/>
                      <w:szCs w:val="21"/>
                    </w:rPr>
                  </w:pPr>
                  <w:r>
                    <w:rPr>
                      <w:rFonts w:hint="eastAsia"/>
                      <w:kern w:val="0"/>
                      <w:szCs w:val="21"/>
                    </w:rPr>
                    <w:t>3</w:t>
                  </w:r>
                </w:p>
              </w:tc>
              <w:tc>
                <w:tcPr>
                  <w:tcW w:w="1378" w:type="dxa"/>
                  <w:vAlign w:val="center"/>
                </w:tcPr>
                <w:p w14:paraId="520AB205">
                  <w:pPr>
                    <w:jc w:val="center"/>
                    <w:rPr>
                      <w:szCs w:val="22"/>
                      <w:highlight w:val="yellow"/>
                    </w:rPr>
                  </w:pPr>
                  <w:r>
                    <w:rPr>
                      <w:szCs w:val="21"/>
                    </w:rPr>
                    <w:t>IOT平台建设</w:t>
                  </w:r>
                </w:p>
              </w:tc>
              <w:tc>
                <w:tcPr>
                  <w:tcW w:w="1571" w:type="dxa"/>
                  <w:vAlign w:val="center"/>
                </w:tcPr>
                <w:p w14:paraId="520AB206">
                  <w:pPr>
                    <w:jc w:val="center"/>
                    <w:rPr>
                      <w:szCs w:val="21"/>
                      <w:lang w:val="pt-BR"/>
                    </w:rPr>
                  </w:pPr>
                  <w:r>
                    <w:rPr>
                      <w:rFonts w:hint="eastAsia"/>
                      <w:szCs w:val="21"/>
                      <w:lang w:val="pt-BR"/>
                    </w:rPr>
                    <w:t>/</w:t>
                  </w:r>
                </w:p>
              </w:tc>
              <w:tc>
                <w:tcPr>
                  <w:tcW w:w="992" w:type="dxa"/>
                  <w:vAlign w:val="center"/>
                </w:tcPr>
                <w:p w14:paraId="520AB207">
                  <w:pPr>
                    <w:jc w:val="center"/>
                    <w:rPr>
                      <w:szCs w:val="21"/>
                      <w:lang w:val="pt-BR"/>
                    </w:rPr>
                  </w:pPr>
                  <w:r>
                    <w:rPr>
                      <w:rFonts w:hint="eastAsia"/>
                      <w:szCs w:val="21"/>
                      <w:lang w:val="pt-BR"/>
                    </w:rPr>
                    <w:t>1</w:t>
                  </w:r>
                </w:p>
              </w:tc>
              <w:tc>
                <w:tcPr>
                  <w:tcW w:w="980" w:type="dxa"/>
                  <w:vMerge w:val="continue"/>
                  <w:vAlign w:val="center"/>
                </w:tcPr>
                <w:p w14:paraId="520AB208">
                  <w:pPr>
                    <w:jc w:val="center"/>
                    <w:rPr>
                      <w:bCs/>
                      <w:szCs w:val="21"/>
                      <w:highlight w:val="yellow"/>
                      <w:lang w:val="pt-BR"/>
                    </w:rPr>
                  </w:pPr>
                </w:p>
              </w:tc>
              <w:tc>
                <w:tcPr>
                  <w:tcW w:w="570" w:type="dxa"/>
                  <w:vMerge w:val="continue"/>
                  <w:vAlign w:val="center"/>
                </w:tcPr>
                <w:p w14:paraId="520AB209">
                  <w:pPr>
                    <w:jc w:val="center"/>
                    <w:rPr>
                      <w:bCs/>
                      <w:szCs w:val="21"/>
                      <w:highlight w:val="yellow"/>
                      <w:lang w:val="pt-BR"/>
                    </w:rPr>
                  </w:pPr>
                </w:p>
              </w:tc>
              <w:tc>
                <w:tcPr>
                  <w:tcW w:w="2039" w:type="dxa"/>
                  <w:vMerge w:val="continue"/>
                  <w:vAlign w:val="center"/>
                </w:tcPr>
                <w:p w14:paraId="520AB20A">
                  <w:pPr>
                    <w:jc w:val="center"/>
                    <w:rPr>
                      <w:bCs/>
                      <w:szCs w:val="21"/>
                      <w:highlight w:val="yellow"/>
                      <w:lang w:val="pt-BR"/>
                    </w:rPr>
                  </w:pPr>
                </w:p>
              </w:tc>
            </w:tr>
            <w:tr w14:paraId="520AB21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20C">
                  <w:pPr>
                    <w:widowControl/>
                    <w:jc w:val="center"/>
                    <w:rPr>
                      <w:kern w:val="0"/>
                      <w:szCs w:val="21"/>
                    </w:rPr>
                  </w:pPr>
                  <w:r>
                    <w:rPr>
                      <w:rFonts w:hint="eastAsia"/>
                      <w:kern w:val="0"/>
                      <w:szCs w:val="21"/>
                    </w:rPr>
                    <w:t>4</w:t>
                  </w:r>
                </w:p>
              </w:tc>
              <w:tc>
                <w:tcPr>
                  <w:tcW w:w="1378" w:type="dxa"/>
                  <w:vAlign w:val="center"/>
                </w:tcPr>
                <w:p w14:paraId="520AB20D">
                  <w:pPr>
                    <w:jc w:val="center"/>
                    <w:rPr>
                      <w:szCs w:val="22"/>
                      <w:highlight w:val="yellow"/>
                    </w:rPr>
                  </w:pPr>
                  <w:r>
                    <w:rPr>
                      <w:szCs w:val="21"/>
                    </w:rPr>
                    <w:t>PDM建设</w:t>
                  </w:r>
                </w:p>
              </w:tc>
              <w:tc>
                <w:tcPr>
                  <w:tcW w:w="1571" w:type="dxa"/>
                  <w:vAlign w:val="center"/>
                </w:tcPr>
                <w:p w14:paraId="520AB20E">
                  <w:pPr>
                    <w:jc w:val="center"/>
                    <w:rPr>
                      <w:szCs w:val="21"/>
                      <w:lang w:val="pt-BR"/>
                    </w:rPr>
                  </w:pPr>
                  <w:r>
                    <w:rPr>
                      <w:rFonts w:hint="eastAsia"/>
                      <w:szCs w:val="21"/>
                      <w:lang w:val="pt-BR"/>
                    </w:rPr>
                    <w:t>/</w:t>
                  </w:r>
                </w:p>
              </w:tc>
              <w:tc>
                <w:tcPr>
                  <w:tcW w:w="992" w:type="dxa"/>
                  <w:vAlign w:val="center"/>
                </w:tcPr>
                <w:p w14:paraId="520AB20F">
                  <w:pPr>
                    <w:jc w:val="center"/>
                    <w:rPr>
                      <w:szCs w:val="21"/>
                      <w:highlight w:val="yellow"/>
                      <w:lang w:val="pt-BR"/>
                    </w:rPr>
                  </w:pPr>
                  <w:r>
                    <w:rPr>
                      <w:rFonts w:hint="eastAsia"/>
                      <w:szCs w:val="21"/>
                      <w:lang w:val="pt-BR"/>
                    </w:rPr>
                    <w:t>1</w:t>
                  </w:r>
                </w:p>
              </w:tc>
              <w:tc>
                <w:tcPr>
                  <w:tcW w:w="980" w:type="dxa"/>
                  <w:vMerge w:val="continue"/>
                  <w:vAlign w:val="center"/>
                </w:tcPr>
                <w:p w14:paraId="520AB210">
                  <w:pPr>
                    <w:jc w:val="center"/>
                    <w:rPr>
                      <w:bCs/>
                      <w:szCs w:val="21"/>
                      <w:highlight w:val="yellow"/>
                      <w:lang w:val="pt-BR"/>
                    </w:rPr>
                  </w:pPr>
                </w:p>
              </w:tc>
              <w:tc>
                <w:tcPr>
                  <w:tcW w:w="570" w:type="dxa"/>
                  <w:vMerge w:val="continue"/>
                  <w:vAlign w:val="center"/>
                </w:tcPr>
                <w:p w14:paraId="520AB211">
                  <w:pPr>
                    <w:jc w:val="center"/>
                    <w:rPr>
                      <w:bCs/>
                      <w:szCs w:val="21"/>
                      <w:highlight w:val="yellow"/>
                      <w:lang w:val="pt-BR"/>
                    </w:rPr>
                  </w:pPr>
                </w:p>
              </w:tc>
              <w:tc>
                <w:tcPr>
                  <w:tcW w:w="2039" w:type="dxa"/>
                  <w:vMerge w:val="continue"/>
                  <w:vAlign w:val="center"/>
                </w:tcPr>
                <w:p w14:paraId="520AB212">
                  <w:pPr>
                    <w:jc w:val="center"/>
                    <w:rPr>
                      <w:bCs/>
                      <w:szCs w:val="21"/>
                      <w:highlight w:val="yellow"/>
                      <w:lang w:val="pt-BR"/>
                    </w:rPr>
                  </w:pPr>
                </w:p>
              </w:tc>
            </w:tr>
            <w:tr w14:paraId="520AB21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214">
                  <w:pPr>
                    <w:widowControl/>
                    <w:jc w:val="center"/>
                    <w:rPr>
                      <w:kern w:val="0"/>
                      <w:szCs w:val="21"/>
                    </w:rPr>
                  </w:pPr>
                  <w:r>
                    <w:rPr>
                      <w:rFonts w:hint="eastAsia"/>
                      <w:kern w:val="0"/>
                      <w:szCs w:val="21"/>
                    </w:rPr>
                    <w:t>5</w:t>
                  </w:r>
                </w:p>
              </w:tc>
              <w:tc>
                <w:tcPr>
                  <w:tcW w:w="1378" w:type="dxa"/>
                  <w:vAlign w:val="center"/>
                </w:tcPr>
                <w:p w14:paraId="520AB215">
                  <w:pPr>
                    <w:jc w:val="center"/>
                    <w:rPr>
                      <w:szCs w:val="22"/>
                      <w:highlight w:val="yellow"/>
                    </w:rPr>
                  </w:pPr>
                  <w:r>
                    <w:rPr>
                      <w:szCs w:val="21"/>
                    </w:rPr>
                    <w:t>CAPP建设</w:t>
                  </w:r>
                </w:p>
              </w:tc>
              <w:tc>
                <w:tcPr>
                  <w:tcW w:w="1571" w:type="dxa"/>
                  <w:vAlign w:val="center"/>
                </w:tcPr>
                <w:p w14:paraId="520AB216">
                  <w:pPr>
                    <w:jc w:val="center"/>
                    <w:rPr>
                      <w:szCs w:val="21"/>
                      <w:lang w:val="pt-BR"/>
                    </w:rPr>
                  </w:pPr>
                  <w:r>
                    <w:rPr>
                      <w:rFonts w:hint="eastAsia"/>
                      <w:szCs w:val="21"/>
                      <w:lang w:val="pt-BR"/>
                    </w:rPr>
                    <w:t>/</w:t>
                  </w:r>
                </w:p>
              </w:tc>
              <w:tc>
                <w:tcPr>
                  <w:tcW w:w="992" w:type="dxa"/>
                  <w:vAlign w:val="center"/>
                </w:tcPr>
                <w:p w14:paraId="520AB217">
                  <w:pPr>
                    <w:jc w:val="center"/>
                    <w:rPr>
                      <w:szCs w:val="21"/>
                      <w:lang w:val="pt-BR"/>
                    </w:rPr>
                  </w:pPr>
                  <w:r>
                    <w:rPr>
                      <w:rFonts w:hint="eastAsia"/>
                      <w:szCs w:val="21"/>
                      <w:lang w:val="pt-BR"/>
                    </w:rPr>
                    <w:t>1</w:t>
                  </w:r>
                </w:p>
              </w:tc>
              <w:tc>
                <w:tcPr>
                  <w:tcW w:w="980" w:type="dxa"/>
                  <w:vMerge w:val="continue"/>
                  <w:vAlign w:val="center"/>
                </w:tcPr>
                <w:p w14:paraId="520AB218">
                  <w:pPr>
                    <w:jc w:val="center"/>
                    <w:rPr>
                      <w:bCs/>
                      <w:szCs w:val="21"/>
                      <w:highlight w:val="yellow"/>
                      <w:lang w:val="pt-BR"/>
                    </w:rPr>
                  </w:pPr>
                </w:p>
              </w:tc>
              <w:tc>
                <w:tcPr>
                  <w:tcW w:w="570" w:type="dxa"/>
                  <w:vMerge w:val="continue"/>
                  <w:vAlign w:val="center"/>
                </w:tcPr>
                <w:p w14:paraId="520AB219">
                  <w:pPr>
                    <w:jc w:val="center"/>
                    <w:rPr>
                      <w:bCs/>
                      <w:szCs w:val="21"/>
                      <w:highlight w:val="yellow"/>
                      <w:lang w:val="pt-BR"/>
                    </w:rPr>
                  </w:pPr>
                </w:p>
              </w:tc>
              <w:tc>
                <w:tcPr>
                  <w:tcW w:w="2039" w:type="dxa"/>
                  <w:vMerge w:val="continue"/>
                  <w:vAlign w:val="center"/>
                </w:tcPr>
                <w:p w14:paraId="520AB21A">
                  <w:pPr>
                    <w:jc w:val="center"/>
                    <w:rPr>
                      <w:bCs/>
                      <w:szCs w:val="21"/>
                      <w:highlight w:val="yellow"/>
                      <w:lang w:val="pt-BR"/>
                    </w:rPr>
                  </w:pPr>
                </w:p>
              </w:tc>
            </w:tr>
            <w:tr w14:paraId="520AB22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21C">
                  <w:pPr>
                    <w:widowControl/>
                    <w:jc w:val="center"/>
                    <w:rPr>
                      <w:kern w:val="0"/>
                      <w:szCs w:val="21"/>
                    </w:rPr>
                  </w:pPr>
                  <w:r>
                    <w:rPr>
                      <w:rFonts w:hint="eastAsia"/>
                      <w:kern w:val="0"/>
                      <w:szCs w:val="21"/>
                    </w:rPr>
                    <w:t>6</w:t>
                  </w:r>
                </w:p>
              </w:tc>
              <w:tc>
                <w:tcPr>
                  <w:tcW w:w="1378" w:type="dxa"/>
                  <w:vAlign w:val="center"/>
                </w:tcPr>
                <w:p w14:paraId="520AB21D">
                  <w:pPr>
                    <w:jc w:val="center"/>
                    <w:rPr>
                      <w:szCs w:val="22"/>
                      <w:highlight w:val="yellow"/>
                    </w:rPr>
                  </w:pPr>
                  <w:r>
                    <w:rPr>
                      <w:szCs w:val="21"/>
                    </w:rPr>
                    <w:t>采购数字化</w:t>
                  </w:r>
                </w:p>
              </w:tc>
              <w:tc>
                <w:tcPr>
                  <w:tcW w:w="1571" w:type="dxa"/>
                  <w:vAlign w:val="center"/>
                </w:tcPr>
                <w:p w14:paraId="520AB21E">
                  <w:pPr>
                    <w:jc w:val="center"/>
                    <w:rPr>
                      <w:szCs w:val="21"/>
                      <w:lang w:val="pt-BR"/>
                    </w:rPr>
                  </w:pPr>
                  <w:r>
                    <w:rPr>
                      <w:rFonts w:hint="eastAsia"/>
                      <w:szCs w:val="21"/>
                      <w:lang w:val="pt-BR"/>
                    </w:rPr>
                    <w:t>/</w:t>
                  </w:r>
                </w:p>
              </w:tc>
              <w:tc>
                <w:tcPr>
                  <w:tcW w:w="992" w:type="dxa"/>
                  <w:vAlign w:val="center"/>
                </w:tcPr>
                <w:p w14:paraId="520AB21F">
                  <w:pPr>
                    <w:jc w:val="center"/>
                    <w:rPr>
                      <w:szCs w:val="21"/>
                      <w:lang w:val="pt-BR"/>
                    </w:rPr>
                  </w:pPr>
                  <w:r>
                    <w:rPr>
                      <w:rFonts w:hint="eastAsia"/>
                      <w:szCs w:val="21"/>
                      <w:lang w:val="pt-BR"/>
                    </w:rPr>
                    <w:t>1</w:t>
                  </w:r>
                </w:p>
              </w:tc>
              <w:tc>
                <w:tcPr>
                  <w:tcW w:w="980" w:type="dxa"/>
                  <w:vMerge w:val="continue"/>
                  <w:vAlign w:val="center"/>
                </w:tcPr>
                <w:p w14:paraId="520AB220">
                  <w:pPr>
                    <w:jc w:val="center"/>
                    <w:rPr>
                      <w:bCs/>
                      <w:szCs w:val="21"/>
                      <w:highlight w:val="yellow"/>
                      <w:lang w:val="pt-BR"/>
                    </w:rPr>
                  </w:pPr>
                </w:p>
              </w:tc>
              <w:tc>
                <w:tcPr>
                  <w:tcW w:w="570" w:type="dxa"/>
                  <w:vMerge w:val="continue"/>
                  <w:vAlign w:val="center"/>
                </w:tcPr>
                <w:p w14:paraId="520AB221">
                  <w:pPr>
                    <w:jc w:val="center"/>
                    <w:rPr>
                      <w:bCs/>
                      <w:szCs w:val="21"/>
                      <w:highlight w:val="yellow"/>
                      <w:lang w:val="pt-BR"/>
                    </w:rPr>
                  </w:pPr>
                </w:p>
              </w:tc>
              <w:tc>
                <w:tcPr>
                  <w:tcW w:w="2039" w:type="dxa"/>
                  <w:vMerge w:val="continue"/>
                  <w:vAlign w:val="center"/>
                </w:tcPr>
                <w:p w14:paraId="520AB222">
                  <w:pPr>
                    <w:jc w:val="center"/>
                    <w:rPr>
                      <w:bCs/>
                      <w:szCs w:val="21"/>
                      <w:highlight w:val="yellow"/>
                      <w:lang w:val="pt-BR"/>
                    </w:rPr>
                  </w:pPr>
                </w:p>
              </w:tc>
            </w:tr>
            <w:tr w14:paraId="520AB22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224">
                  <w:pPr>
                    <w:widowControl/>
                    <w:jc w:val="center"/>
                    <w:rPr>
                      <w:kern w:val="0"/>
                      <w:szCs w:val="21"/>
                    </w:rPr>
                  </w:pPr>
                  <w:r>
                    <w:rPr>
                      <w:rFonts w:hint="eastAsia"/>
                      <w:kern w:val="0"/>
                      <w:szCs w:val="21"/>
                    </w:rPr>
                    <w:t>7</w:t>
                  </w:r>
                </w:p>
              </w:tc>
              <w:tc>
                <w:tcPr>
                  <w:tcW w:w="1378" w:type="dxa"/>
                  <w:vAlign w:val="center"/>
                </w:tcPr>
                <w:p w14:paraId="520AB225">
                  <w:pPr>
                    <w:jc w:val="center"/>
                    <w:rPr>
                      <w:szCs w:val="22"/>
                      <w:highlight w:val="yellow"/>
                    </w:rPr>
                  </w:pPr>
                  <w:r>
                    <w:rPr>
                      <w:szCs w:val="21"/>
                    </w:rPr>
                    <w:t>经营数字化平台</w:t>
                  </w:r>
                </w:p>
              </w:tc>
              <w:tc>
                <w:tcPr>
                  <w:tcW w:w="1571" w:type="dxa"/>
                  <w:vAlign w:val="center"/>
                </w:tcPr>
                <w:p w14:paraId="520AB226">
                  <w:pPr>
                    <w:jc w:val="center"/>
                    <w:rPr>
                      <w:szCs w:val="21"/>
                      <w:lang w:val="pt-BR"/>
                    </w:rPr>
                  </w:pPr>
                  <w:r>
                    <w:rPr>
                      <w:rFonts w:hint="eastAsia"/>
                      <w:szCs w:val="21"/>
                      <w:lang w:val="pt-BR"/>
                    </w:rPr>
                    <w:t>/</w:t>
                  </w:r>
                </w:p>
              </w:tc>
              <w:tc>
                <w:tcPr>
                  <w:tcW w:w="992" w:type="dxa"/>
                  <w:vAlign w:val="center"/>
                </w:tcPr>
                <w:p w14:paraId="520AB227">
                  <w:pPr>
                    <w:jc w:val="center"/>
                    <w:rPr>
                      <w:szCs w:val="21"/>
                      <w:lang w:val="pt-BR"/>
                    </w:rPr>
                  </w:pPr>
                  <w:r>
                    <w:rPr>
                      <w:rFonts w:hint="eastAsia"/>
                      <w:szCs w:val="21"/>
                      <w:lang w:val="pt-BR"/>
                    </w:rPr>
                    <w:t>1</w:t>
                  </w:r>
                </w:p>
              </w:tc>
              <w:tc>
                <w:tcPr>
                  <w:tcW w:w="980" w:type="dxa"/>
                  <w:vMerge w:val="continue"/>
                  <w:vAlign w:val="center"/>
                </w:tcPr>
                <w:p w14:paraId="520AB228">
                  <w:pPr>
                    <w:jc w:val="center"/>
                    <w:rPr>
                      <w:bCs/>
                      <w:szCs w:val="21"/>
                      <w:highlight w:val="yellow"/>
                      <w:lang w:val="pt-BR"/>
                    </w:rPr>
                  </w:pPr>
                </w:p>
              </w:tc>
              <w:tc>
                <w:tcPr>
                  <w:tcW w:w="570" w:type="dxa"/>
                  <w:vMerge w:val="continue"/>
                  <w:vAlign w:val="center"/>
                </w:tcPr>
                <w:p w14:paraId="520AB229">
                  <w:pPr>
                    <w:jc w:val="center"/>
                    <w:rPr>
                      <w:bCs/>
                      <w:szCs w:val="21"/>
                      <w:highlight w:val="yellow"/>
                      <w:lang w:val="pt-BR"/>
                    </w:rPr>
                  </w:pPr>
                </w:p>
              </w:tc>
              <w:tc>
                <w:tcPr>
                  <w:tcW w:w="2039" w:type="dxa"/>
                  <w:vMerge w:val="continue"/>
                  <w:vAlign w:val="center"/>
                </w:tcPr>
                <w:p w14:paraId="520AB22A">
                  <w:pPr>
                    <w:jc w:val="center"/>
                    <w:rPr>
                      <w:bCs/>
                      <w:szCs w:val="21"/>
                      <w:highlight w:val="yellow"/>
                      <w:lang w:val="pt-BR"/>
                    </w:rPr>
                  </w:pPr>
                </w:p>
              </w:tc>
            </w:tr>
            <w:tr w14:paraId="520AB23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Merge w:val="restart"/>
                  <w:vAlign w:val="center"/>
                </w:tcPr>
                <w:p w14:paraId="520AB22C">
                  <w:pPr>
                    <w:widowControl/>
                    <w:jc w:val="center"/>
                    <w:rPr>
                      <w:kern w:val="0"/>
                      <w:szCs w:val="21"/>
                    </w:rPr>
                  </w:pPr>
                  <w:r>
                    <w:rPr>
                      <w:rFonts w:hint="eastAsia"/>
                      <w:kern w:val="0"/>
                      <w:szCs w:val="21"/>
                    </w:rPr>
                    <w:t>8</w:t>
                  </w:r>
                </w:p>
              </w:tc>
              <w:tc>
                <w:tcPr>
                  <w:tcW w:w="1378" w:type="dxa"/>
                  <w:vMerge w:val="restart"/>
                  <w:vAlign w:val="center"/>
                </w:tcPr>
                <w:p w14:paraId="520AB22D">
                  <w:pPr>
                    <w:jc w:val="center"/>
                    <w:rPr>
                      <w:szCs w:val="22"/>
                      <w:highlight w:val="yellow"/>
                    </w:rPr>
                  </w:pPr>
                  <w:r>
                    <w:rPr>
                      <w:rFonts w:hint="eastAsia"/>
                      <w:szCs w:val="22"/>
                    </w:rPr>
                    <w:t>网络改造、服务器和现场触屏终端等</w:t>
                  </w:r>
                </w:p>
              </w:tc>
              <w:tc>
                <w:tcPr>
                  <w:tcW w:w="1571" w:type="dxa"/>
                  <w:vAlign w:val="center"/>
                </w:tcPr>
                <w:p w14:paraId="520AB22E">
                  <w:pPr>
                    <w:jc w:val="center"/>
                    <w:rPr>
                      <w:szCs w:val="21"/>
                      <w:lang w:val="pt-BR"/>
                    </w:rPr>
                  </w:pPr>
                  <w:r>
                    <w:rPr>
                      <w:rFonts w:hint="eastAsia"/>
                      <w:szCs w:val="21"/>
                      <w:lang w:val="pt-BR"/>
                    </w:rPr>
                    <w:t>/</w:t>
                  </w:r>
                </w:p>
              </w:tc>
              <w:tc>
                <w:tcPr>
                  <w:tcW w:w="992" w:type="dxa"/>
                  <w:vAlign w:val="center"/>
                </w:tcPr>
                <w:p w14:paraId="520AB22F">
                  <w:pPr>
                    <w:jc w:val="center"/>
                    <w:rPr>
                      <w:szCs w:val="21"/>
                      <w:lang w:val="pt-BR"/>
                    </w:rPr>
                  </w:pPr>
                  <w:r>
                    <w:rPr>
                      <w:rFonts w:hint="eastAsia"/>
                      <w:szCs w:val="21"/>
                      <w:lang w:val="pt-BR"/>
                    </w:rPr>
                    <w:t>1</w:t>
                  </w:r>
                </w:p>
              </w:tc>
              <w:tc>
                <w:tcPr>
                  <w:tcW w:w="980" w:type="dxa"/>
                  <w:vMerge w:val="continue"/>
                  <w:vAlign w:val="center"/>
                </w:tcPr>
                <w:p w14:paraId="520AB230">
                  <w:pPr>
                    <w:jc w:val="center"/>
                    <w:rPr>
                      <w:bCs/>
                      <w:szCs w:val="21"/>
                      <w:highlight w:val="yellow"/>
                      <w:lang w:val="pt-BR"/>
                    </w:rPr>
                  </w:pPr>
                </w:p>
              </w:tc>
              <w:tc>
                <w:tcPr>
                  <w:tcW w:w="570" w:type="dxa"/>
                  <w:vMerge w:val="continue"/>
                  <w:vAlign w:val="center"/>
                </w:tcPr>
                <w:p w14:paraId="520AB231">
                  <w:pPr>
                    <w:jc w:val="center"/>
                    <w:rPr>
                      <w:bCs/>
                      <w:szCs w:val="21"/>
                      <w:highlight w:val="yellow"/>
                      <w:lang w:val="pt-BR"/>
                    </w:rPr>
                  </w:pPr>
                </w:p>
              </w:tc>
              <w:tc>
                <w:tcPr>
                  <w:tcW w:w="2039" w:type="dxa"/>
                  <w:vMerge w:val="continue"/>
                  <w:vAlign w:val="center"/>
                </w:tcPr>
                <w:p w14:paraId="520AB232">
                  <w:pPr>
                    <w:jc w:val="center"/>
                    <w:rPr>
                      <w:bCs/>
                      <w:szCs w:val="21"/>
                      <w:highlight w:val="yellow"/>
                      <w:lang w:val="pt-BR"/>
                    </w:rPr>
                  </w:pPr>
                </w:p>
              </w:tc>
            </w:tr>
            <w:tr w14:paraId="520AB23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Merge w:val="continue"/>
                  <w:vAlign w:val="center"/>
                </w:tcPr>
                <w:p w14:paraId="520AB234">
                  <w:pPr>
                    <w:widowControl/>
                    <w:jc w:val="center"/>
                    <w:rPr>
                      <w:kern w:val="0"/>
                      <w:szCs w:val="21"/>
                    </w:rPr>
                  </w:pPr>
                </w:p>
              </w:tc>
              <w:tc>
                <w:tcPr>
                  <w:tcW w:w="1378" w:type="dxa"/>
                  <w:vMerge w:val="continue"/>
                  <w:vAlign w:val="center"/>
                </w:tcPr>
                <w:p w14:paraId="520AB235">
                  <w:pPr>
                    <w:jc w:val="center"/>
                    <w:rPr>
                      <w:szCs w:val="22"/>
                      <w:highlight w:val="yellow"/>
                    </w:rPr>
                  </w:pPr>
                </w:p>
              </w:tc>
              <w:tc>
                <w:tcPr>
                  <w:tcW w:w="1571" w:type="dxa"/>
                  <w:vAlign w:val="center"/>
                </w:tcPr>
                <w:p w14:paraId="520AB236">
                  <w:pPr>
                    <w:jc w:val="center"/>
                    <w:rPr>
                      <w:szCs w:val="21"/>
                      <w:lang w:val="pt-BR"/>
                    </w:rPr>
                  </w:pPr>
                  <w:r>
                    <w:rPr>
                      <w:rFonts w:hint="eastAsia"/>
                      <w:szCs w:val="21"/>
                      <w:lang w:val="pt-BR"/>
                    </w:rPr>
                    <w:t>/</w:t>
                  </w:r>
                </w:p>
              </w:tc>
              <w:tc>
                <w:tcPr>
                  <w:tcW w:w="992" w:type="dxa"/>
                  <w:vAlign w:val="center"/>
                </w:tcPr>
                <w:p w14:paraId="520AB237">
                  <w:pPr>
                    <w:jc w:val="center"/>
                    <w:rPr>
                      <w:szCs w:val="21"/>
                      <w:lang w:val="pt-BR"/>
                    </w:rPr>
                  </w:pPr>
                  <w:r>
                    <w:rPr>
                      <w:rFonts w:hint="eastAsia"/>
                      <w:szCs w:val="21"/>
                      <w:lang w:val="pt-BR"/>
                    </w:rPr>
                    <w:t>1</w:t>
                  </w:r>
                </w:p>
              </w:tc>
              <w:tc>
                <w:tcPr>
                  <w:tcW w:w="980" w:type="dxa"/>
                  <w:vMerge w:val="restart"/>
                  <w:vAlign w:val="center"/>
                </w:tcPr>
                <w:p w14:paraId="520AB238">
                  <w:pPr>
                    <w:jc w:val="center"/>
                    <w:rPr>
                      <w:bCs/>
                      <w:szCs w:val="21"/>
                      <w:highlight w:val="yellow"/>
                      <w:lang w:val="pt-BR"/>
                    </w:rPr>
                  </w:pPr>
                  <w:r>
                    <w:rPr>
                      <w:rFonts w:hint="eastAsia"/>
                      <w:bCs/>
                      <w:szCs w:val="21"/>
                      <w:lang w:val="pt-BR"/>
                    </w:rPr>
                    <w:t>2301厂房</w:t>
                  </w:r>
                </w:p>
              </w:tc>
              <w:tc>
                <w:tcPr>
                  <w:tcW w:w="570" w:type="dxa"/>
                  <w:vMerge w:val="restart"/>
                  <w:vAlign w:val="center"/>
                </w:tcPr>
                <w:p w14:paraId="520AB239">
                  <w:pPr>
                    <w:jc w:val="center"/>
                    <w:rPr>
                      <w:bCs/>
                      <w:szCs w:val="21"/>
                      <w:highlight w:val="yellow"/>
                      <w:lang w:val="pt-BR"/>
                    </w:rPr>
                  </w:pPr>
                  <w:r>
                    <w:rPr>
                      <w:rFonts w:hint="eastAsia"/>
                      <w:bCs/>
                      <w:szCs w:val="21"/>
                      <w:lang w:val="pt-BR"/>
                    </w:rPr>
                    <w:t>解放路厂区</w:t>
                  </w:r>
                </w:p>
              </w:tc>
              <w:tc>
                <w:tcPr>
                  <w:tcW w:w="2039" w:type="dxa"/>
                  <w:vMerge w:val="continue"/>
                  <w:vAlign w:val="center"/>
                </w:tcPr>
                <w:p w14:paraId="520AB23A">
                  <w:pPr>
                    <w:jc w:val="center"/>
                    <w:rPr>
                      <w:bCs/>
                      <w:szCs w:val="21"/>
                      <w:highlight w:val="yellow"/>
                      <w:lang w:val="pt-BR"/>
                    </w:rPr>
                  </w:pPr>
                </w:p>
              </w:tc>
            </w:tr>
            <w:tr w14:paraId="520AB24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23C">
                  <w:pPr>
                    <w:widowControl/>
                    <w:jc w:val="center"/>
                    <w:rPr>
                      <w:kern w:val="0"/>
                      <w:szCs w:val="21"/>
                    </w:rPr>
                  </w:pPr>
                  <w:r>
                    <w:rPr>
                      <w:rFonts w:hint="eastAsia"/>
                      <w:kern w:val="0"/>
                      <w:szCs w:val="21"/>
                    </w:rPr>
                    <w:t>9</w:t>
                  </w:r>
                </w:p>
              </w:tc>
              <w:tc>
                <w:tcPr>
                  <w:tcW w:w="1378" w:type="dxa"/>
                  <w:vAlign w:val="center"/>
                </w:tcPr>
                <w:p w14:paraId="520AB23D">
                  <w:pPr>
                    <w:jc w:val="center"/>
                    <w:rPr>
                      <w:szCs w:val="22"/>
                      <w:highlight w:val="yellow"/>
                    </w:rPr>
                  </w:pPr>
                  <w:r>
                    <w:rPr>
                      <w:rFonts w:hint="eastAsia"/>
                      <w:szCs w:val="22"/>
                    </w:rPr>
                    <w:t>ERP深化</w:t>
                  </w:r>
                </w:p>
              </w:tc>
              <w:tc>
                <w:tcPr>
                  <w:tcW w:w="1571" w:type="dxa"/>
                  <w:vAlign w:val="center"/>
                </w:tcPr>
                <w:p w14:paraId="520AB23E">
                  <w:pPr>
                    <w:jc w:val="center"/>
                    <w:rPr>
                      <w:szCs w:val="21"/>
                      <w:lang w:val="pt-BR"/>
                    </w:rPr>
                  </w:pPr>
                  <w:r>
                    <w:rPr>
                      <w:rFonts w:hint="eastAsia"/>
                      <w:szCs w:val="21"/>
                      <w:lang w:val="pt-BR"/>
                    </w:rPr>
                    <w:t>/</w:t>
                  </w:r>
                </w:p>
              </w:tc>
              <w:tc>
                <w:tcPr>
                  <w:tcW w:w="992" w:type="dxa"/>
                  <w:vAlign w:val="center"/>
                </w:tcPr>
                <w:p w14:paraId="520AB23F">
                  <w:pPr>
                    <w:jc w:val="center"/>
                    <w:rPr>
                      <w:szCs w:val="21"/>
                      <w:lang w:val="pt-BR"/>
                    </w:rPr>
                  </w:pPr>
                  <w:r>
                    <w:rPr>
                      <w:rFonts w:hint="eastAsia"/>
                      <w:szCs w:val="21"/>
                      <w:lang w:val="pt-BR"/>
                    </w:rPr>
                    <w:t>1</w:t>
                  </w:r>
                </w:p>
              </w:tc>
              <w:tc>
                <w:tcPr>
                  <w:tcW w:w="980" w:type="dxa"/>
                  <w:vMerge w:val="continue"/>
                  <w:vAlign w:val="center"/>
                </w:tcPr>
                <w:p w14:paraId="520AB240">
                  <w:pPr>
                    <w:jc w:val="center"/>
                    <w:rPr>
                      <w:bCs/>
                      <w:szCs w:val="21"/>
                      <w:highlight w:val="yellow"/>
                      <w:lang w:val="pt-BR"/>
                    </w:rPr>
                  </w:pPr>
                </w:p>
              </w:tc>
              <w:tc>
                <w:tcPr>
                  <w:tcW w:w="570" w:type="dxa"/>
                  <w:vMerge w:val="continue"/>
                  <w:vAlign w:val="center"/>
                </w:tcPr>
                <w:p w14:paraId="520AB241">
                  <w:pPr>
                    <w:jc w:val="center"/>
                    <w:rPr>
                      <w:bCs/>
                      <w:szCs w:val="21"/>
                      <w:highlight w:val="yellow"/>
                      <w:lang w:val="pt-BR"/>
                    </w:rPr>
                  </w:pPr>
                </w:p>
              </w:tc>
              <w:tc>
                <w:tcPr>
                  <w:tcW w:w="2039" w:type="dxa"/>
                  <w:vMerge w:val="continue"/>
                  <w:vAlign w:val="center"/>
                </w:tcPr>
                <w:p w14:paraId="520AB242">
                  <w:pPr>
                    <w:jc w:val="center"/>
                    <w:rPr>
                      <w:bCs/>
                      <w:szCs w:val="21"/>
                      <w:highlight w:val="yellow"/>
                      <w:lang w:val="pt-BR"/>
                    </w:rPr>
                  </w:pPr>
                </w:p>
              </w:tc>
            </w:tr>
            <w:tr w14:paraId="520AB24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20AB244">
                  <w:pPr>
                    <w:widowControl/>
                    <w:jc w:val="center"/>
                    <w:rPr>
                      <w:kern w:val="0"/>
                      <w:szCs w:val="21"/>
                    </w:rPr>
                  </w:pPr>
                  <w:r>
                    <w:rPr>
                      <w:rFonts w:hint="eastAsia"/>
                      <w:kern w:val="0"/>
                      <w:szCs w:val="21"/>
                    </w:rPr>
                    <w:t>10</w:t>
                  </w:r>
                </w:p>
              </w:tc>
              <w:tc>
                <w:tcPr>
                  <w:tcW w:w="1378" w:type="dxa"/>
                  <w:vAlign w:val="center"/>
                </w:tcPr>
                <w:p w14:paraId="520AB245">
                  <w:pPr>
                    <w:jc w:val="center"/>
                    <w:rPr>
                      <w:szCs w:val="22"/>
                    </w:rPr>
                  </w:pPr>
                  <w:r>
                    <w:rPr>
                      <w:rFonts w:hint="eastAsia"/>
                      <w:szCs w:val="22"/>
                    </w:rPr>
                    <w:t>设备数字化改造</w:t>
                  </w:r>
                </w:p>
              </w:tc>
              <w:tc>
                <w:tcPr>
                  <w:tcW w:w="1571" w:type="dxa"/>
                  <w:vAlign w:val="center"/>
                </w:tcPr>
                <w:p w14:paraId="520AB246">
                  <w:pPr>
                    <w:jc w:val="center"/>
                    <w:rPr>
                      <w:szCs w:val="21"/>
                      <w:lang w:val="pt-BR"/>
                    </w:rPr>
                  </w:pPr>
                  <w:r>
                    <w:rPr>
                      <w:rFonts w:hint="eastAsia"/>
                      <w:szCs w:val="21"/>
                      <w:lang w:val="pt-BR"/>
                    </w:rPr>
                    <w:t>/</w:t>
                  </w:r>
                </w:p>
              </w:tc>
              <w:tc>
                <w:tcPr>
                  <w:tcW w:w="992" w:type="dxa"/>
                  <w:vAlign w:val="center"/>
                </w:tcPr>
                <w:p w14:paraId="520AB247">
                  <w:pPr>
                    <w:jc w:val="center"/>
                    <w:rPr>
                      <w:szCs w:val="21"/>
                      <w:lang w:val="pt-BR"/>
                    </w:rPr>
                  </w:pPr>
                  <w:r>
                    <w:rPr>
                      <w:rFonts w:hint="eastAsia"/>
                      <w:szCs w:val="21"/>
                      <w:lang w:val="pt-BR"/>
                    </w:rPr>
                    <w:t>1</w:t>
                  </w:r>
                </w:p>
              </w:tc>
              <w:tc>
                <w:tcPr>
                  <w:tcW w:w="980" w:type="dxa"/>
                  <w:vAlign w:val="center"/>
                </w:tcPr>
                <w:p w14:paraId="520AB248">
                  <w:pPr>
                    <w:jc w:val="center"/>
                    <w:rPr>
                      <w:bCs/>
                      <w:szCs w:val="21"/>
                      <w:highlight w:val="yellow"/>
                      <w:lang w:val="pt-BR"/>
                    </w:rPr>
                  </w:pPr>
                  <w:r>
                    <w:rPr>
                      <w:rFonts w:hint="eastAsia"/>
                      <w:bCs/>
                      <w:szCs w:val="21"/>
                      <w:lang w:val="pt-BR"/>
                    </w:rPr>
                    <w:t>2209厂房</w:t>
                  </w:r>
                </w:p>
              </w:tc>
              <w:tc>
                <w:tcPr>
                  <w:tcW w:w="570" w:type="dxa"/>
                  <w:vMerge w:val="continue"/>
                  <w:vAlign w:val="center"/>
                </w:tcPr>
                <w:p w14:paraId="520AB249">
                  <w:pPr>
                    <w:jc w:val="center"/>
                    <w:rPr>
                      <w:bCs/>
                      <w:szCs w:val="21"/>
                      <w:highlight w:val="yellow"/>
                      <w:lang w:val="pt-BR"/>
                    </w:rPr>
                  </w:pPr>
                </w:p>
              </w:tc>
              <w:tc>
                <w:tcPr>
                  <w:tcW w:w="2039" w:type="dxa"/>
                  <w:vMerge w:val="continue"/>
                  <w:vAlign w:val="center"/>
                </w:tcPr>
                <w:p w14:paraId="520AB24A">
                  <w:pPr>
                    <w:jc w:val="center"/>
                    <w:rPr>
                      <w:bCs/>
                      <w:szCs w:val="21"/>
                      <w:highlight w:val="yellow"/>
                      <w:lang w:val="pt-BR"/>
                    </w:rPr>
                  </w:pPr>
                </w:p>
              </w:tc>
            </w:tr>
          </w:tbl>
          <w:p w14:paraId="1EA54622">
            <w:pPr>
              <w:adjustRightInd w:val="0"/>
              <w:snapToGrid w:val="0"/>
              <w:spacing w:line="460" w:lineRule="exact"/>
              <w:ind w:firstLine="480" w:firstLineChars="200"/>
              <w:rPr>
                <w:bCs/>
                <w:sz w:val="24"/>
              </w:rPr>
            </w:pPr>
            <w:r>
              <w:rPr>
                <w:rFonts w:hint="eastAsia"/>
                <w:bCs/>
                <w:sz w:val="24"/>
              </w:rPr>
              <w:t>另外，由于战斗机机型更新迭代，减少其配套阀类产品100套/年。该部分产品采用的现有1台液压高温综合性能试验台淘汰，淘汰设备详情如下。</w:t>
            </w:r>
          </w:p>
          <w:p w14:paraId="516D0443">
            <w:pPr>
              <w:adjustRightInd w:val="0"/>
              <w:snapToGrid w:val="0"/>
              <w:spacing w:line="460" w:lineRule="exact"/>
              <w:ind w:firstLine="480" w:firstLineChars="200"/>
              <w:rPr>
                <w:rFonts w:eastAsia="黑体"/>
                <w:sz w:val="24"/>
              </w:rPr>
            </w:pPr>
            <w:r>
              <w:rPr>
                <w:rFonts w:eastAsia="黑体"/>
                <w:sz w:val="24"/>
                <w:lang w:val="pt-BR"/>
              </w:rPr>
              <w:t>表</w:t>
            </w:r>
            <w:r>
              <w:rPr>
                <w:rFonts w:eastAsia="黑体"/>
                <w:sz w:val="24"/>
              </w:rPr>
              <w:t>1</w:t>
            </w:r>
            <w:r>
              <w:rPr>
                <w:rFonts w:hint="eastAsia" w:eastAsia="黑体"/>
                <w:sz w:val="24"/>
              </w:rPr>
              <w:t>1</w:t>
            </w:r>
            <w:r>
              <w:rPr>
                <w:rFonts w:eastAsia="黑体"/>
                <w:sz w:val="24"/>
                <w:lang w:val="pt-BR"/>
              </w:rPr>
              <w:t xml:space="preserve">   </w:t>
            </w:r>
            <w:r>
              <w:rPr>
                <w:rFonts w:hint="eastAsia" w:eastAsia="黑体"/>
                <w:sz w:val="24"/>
                <w:lang w:val="pt-BR"/>
              </w:rPr>
              <w:t xml:space="preserve">  </w:t>
            </w:r>
            <w:r>
              <w:rPr>
                <w:rFonts w:eastAsia="黑体"/>
                <w:sz w:val="24"/>
                <w:lang w:val="pt-BR"/>
              </w:rPr>
              <w:t xml:space="preserve">      </w:t>
            </w:r>
            <w:r>
              <w:rPr>
                <w:rFonts w:hint="eastAsia" w:eastAsia="黑体"/>
                <w:sz w:val="24"/>
                <w:lang w:val="pt-BR"/>
              </w:rPr>
              <w:t xml:space="preserve"> </w:t>
            </w:r>
            <w:r>
              <w:rPr>
                <w:rFonts w:eastAsia="黑体"/>
                <w:sz w:val="24"/>
                <w:lang w:val="pt-BR"/>
              </w:rPr>
              <w:t xml:space="preserve">  </w:t>
            </w:r>
            <w:r>
              <w:rPr>
                <w:rFonts w:eastAsia="黑体"/>
                <w:sz w:val="24"/>
              </w:rPr>
              <w:t>本项目</w:t>
            </w:r>
            <w:r>
              <w:rPr>
                <w:rFonts w:hint="eastAsia" w:eastAsia="黑体"/>
                <w:sz w:val="24"/>
              </w:rPr>
              <w:t>淘汰</w:t>
            </w:r>
            <w:r>
              <w:rPr>
                <w:rFonts w:eastAsia="黑体"/>
                <w:sz w:val="24"/>
                <w:lang w:val="pt-BR"/>
              </w:rPr>
              <w:t>生产设备一览表</w:t>
            </w:r>
          </w:p>
          <w:tbl>
            <w:tblPr>
              <w:tblStyle w:val="18"/>
              <w:tblW w:w="4944"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1" w:type="dxa"/>
                <w:bottom w:w="0" w:type="dxa"/>
                <w:right w:w="11" w:type="dxa"/>
              </w:tblCellMar>
            </w:tblPr>
            <w:tblGrid>
              <w:gridCol w:w="449"/>
              <w:gridCol w:w="1378"/>
              <w:gridCol w:w="1571"/>
              <w:gridCol w:w="992"/>
              <w:gridCol w:w="980"/>
              <w:gridCol w:w="570"/>
              <w:gridCol w:w="2039"/>
            </w:tblGrid>
            <w:tr w14:paraId="78CE702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5E495B8D">
                  <w:pPr>
                    <w:widowControl/>
                    <w:jc w:val="center"/>
                    <w:rPr>
                      <w:kern w:val="0"/>
                      <w:szCs w:val="21"/>
                    </w:rPr>
                  </w:pPr>
                  <w:r>
                    <w:rPr>
                      <w:b/>
                      <w:szCs w:val="21"/>
                      <w:lang w:val="pt-BR"/>
                    </w:rPr>
                    <w:t>序号</w:t>
                  </w:r>
                </w:p>
              </w:tc>
              <w:tc>
                <w:tcPr>
                  <w:tcW w:w="1378" w:type="dxa"/>
                  <w:vAlign w:val="center"/>
                </w:tcPr>
                <w:p w14:paraId="3F4A1F91">
                  <w:pPr>
                    <w:jc w:val="center"/>
                    <w:rPr>
                      <w:szCs w:val="21"/>
                    </w:rPr>
                  </w:pPr>
                  <w:r>
                    <w:rPr>
                      <w:b/>
                      <w:szCs w:val="21"/>
                      <w:lang w:val="pt-BR"/>
                    </w:rPr>
                    <w:t>设备名称</w:t>
                  </w:r>
                </w:p>
              </w:tc>
              <w:tc>
                <w:tcPr>
                  <w:tcW w:w="1571" w:type="dxa"/>
                  <w:vAlign w:val="center"/>
                </w:tcPr>
                <w:p w14:paraId="19A9D45F">
                  <w:pPr>
                    <w:jc w:val="center"/>
                    <w:rPr>
                      <w:b/>
                      <w:szCs w:val="21"/>
                      <w:lang w:val="pt-BR"/>
                    </w:rPr>
                  </w:pPr>
                  <w:r>
                    <w:rPr>
                      <w:rFonts w:hint="eastAsia"/>
                      <w:b/>
                      <w:szCs w:val="21"/>
                      <w:lang w:val="pt-BR"/>
                    </w:rPr>
                    <w:t>介质及年用量</w:t>
                  </w:r>
                </w:p>
              </w:tc>
              <w:tc>
                <w:tcPr>
                  <w:tcW w:w="992" w:type="dxa"/>
                  <w:vAlign w:val="center"/>
                </w:tcPr>
                <w:p w14:paraId="2344FA0F">
                  <w:pPr>
                    <w:jc w:val="center"/>
                    <w:rPr>
                      <w:bCs/>
                      <w:szCs w:val="21"/>
                      <w:lang w:val="pt-BR"/>
                    </w:rPr>
                  </w:pPr>
                  <w:r>
                    <w:rPr>
                      <w:b/>
                      <w:szCs w:val="21"/>
                      <w:lang w:val="pt-BR"/>
                    </w:rPr>
                    <w:t>数</w:t>
                  </w:r>
                  <w:r>
                    <w:rPr>
                      <w:rFonts w:hint="eastAsia"/>
                      <w:b/>
                      <w:szCs w:val="21"/>
                      <w:lang w:val="pt-BR"/>
                    </w:rPr>
                    <w:t>量/台/套</w:t>
                  </w:r>
                </w:p>
              </w:tc>
              <w:tc>
                <w:tcPr>
                  <w:tcW w:w="980" w:type="dxa"/>
                  <w:vAlign w:val="center"/>
                </w:tcPr>
                <w:p w14:paraId="2839D81C">
                  <w:pPr>
                    <w:jc w:val="center"/>
                    <w:rPr>
                      <w:b/>
                      <w:szCs w:val="21"/>
                      <w:lang w:val="pt-BR"/>
                    </w:rPr>
                  </w:pPr>
                  <w:r>
                    <w:rPr>
                      <w:rFonts w:hint="eastAsia"/>
                      <w:b/>
                      <w:szCs w:val="21"/>
                      <w:lang w:val="pt-BR"/>
                    </w:rPr>
                    <w:t>位置</w:t>
                  </w:r>
                </w:p>
              </w:tc>
              <w:tc>
                <w:tcPr>
                  <w:tcW w:w="570" w:type="dxa"/>
                  <w:vAlign w:val="center"/>
                </w:tcPr>
                <w:p w14:paraId="4E2468A9">
                  <w:pPr>
                    <w:jc w:val="center"/>
                    <w:rPr>
                      <w:b/>
                      <w:szCs w:val="21"/>
                      <w:lang w:val="pt-BR"/>
                    </w:rPr>
                  </w:pPr>
                  <w:r>
                    <w:rPr>
                      <w:rFonts w:hint="eastAsia"/>
                      <w:b/>
                      <w:szCs w:val="21"/>
                      <w:lang w:val="pt-BR"/>
                    </w:rPr>
                    <w:t>厂区</w:t>
                  </w:r>
                </w:p>
              </w:tc>
              <w:tc>
                <w:tcPr>
                  <w:tcW w:w="2039" w:type="dxa"/>
                  <w:vAlign w:val="center"/>
                </w:tcPr>
                <w:p w14:paraId="65D007F7">
                  <w:pPr>
                    <w:jc w:val="center"/>
                    <w:rPr>
                      <w:bCs/>
                      <w:szCs w:val="21"/>
                      <w:lang w:val="pt-BR"/>
                    </w:rPr>
                  </w:pPr>
                  <w:r>
                    <w:rPr>
                      <w:b/>
                      <w:szCs w:val="21"/>
                      <w:lang w:val="pt-BR"/>
                    </w:rPr>
                    <w:t>备注</w:t>
                  </w:r>
                </w:p>
              </w:tc>
            </w:tr>
            <w:tr w14:paraId="0F7844E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49" w:type="dxa"/>
                  <w:vAlign w:val="center"/>
                </w:tcPr>
                <w:p w14:paraId="495BDACD">
                  <w:pPr>
                    <w:widowControl/>
                    <w:jc w:val="center"/>
                    <w:rPr>
                      <w:kern w:val="0"/>
                      <w:szCs w:val="21"/>
                    </w:rPr>
                  </w:pPr>
                  <w:r>
                    <w:rPr>
                      <w:rFonts w:hint="eastAsia"/>
                      <w:kern w:val="0"/>
                      <w:szCs w:val="21"/>
                    </w:rPr>
                    <w:t>1</w:t>
                  </w:r>
                </w:p>
              </w:tc>
              <w:tc>
                <w:tcPr>
                  <w:tcW w:w="1378" w:type="dxa"/>
                  <w:vAlign w:val="center"/>
                </w:tcPr>
                <w:p w14:paraId="63E5CE33">
                  <w:pPr>
                    <w:jc w:val="center"/>
                    <w:rPr>
                      <w:szCs w:val="22"/>
                    </w:rPr>
                  </w:pPr>
                  <w:r>
                    <w:rPr>
                      <w:rFonts w:hint="eastAsia"/>
                      <w:szCs w:val="22"/>
                    </w:rPr>
                    <w:t>液压高温综合性能试验台</w:t>
                  </w:r>
                </w:p>
              </w:tc>
              <w:tc>
                <w:tcPr>
                  <w:tcW w:w="1571" w:type="dxa"/>
                  <w:vAlign w:val="center"/>
                </w:tcPr>
                <w:p w14:paraId="022471AB">
                  <w:pPr>
                    <w:jc w:val="center"/>
                    <w:rPr>
                      <w:szCs w:val="21"/>
                      <w:lang w:val="pt-BR"/>
                    </w:rPr>
                  </w:pPr>
                  <w:r>
                    <w:rPr>
                      <w:rFonts w:hint="eastAsia"/>
                      <w:szCs w:val="21"/>
                      <w:lang w:val="pt-BR"/>
                    </w:rPr>
                    <w:t>15#航空液压油、0.6t/a</w:t>
                  </w:r>
                </w:p>
              </w:tc>
              <w:tc>
                <w:tcPr>
                  <w:tcW w:w="992" w:type="dxa"/>
                  <w:vAlign w:val="center"/>
                </w:tcPr>
                <w:p w14:paraId="4B295941">
                  <w:pPr>
                    <w:jc w:val="center"/>
                    <w:rPr>
                      <w:szCs w:val="21"/>
                      <w:lang w:val="pt-BR"/>
                    </w:rPr>
                  </w:pPr>
                  <w:r>
                    <w:rPr>
                      <w:rFonts w:hint="eastAsia"/>
                      <w:szCs w:val="21"/>
                      <w:lang w:val="pt-BR"/>
                    </w:rPr>
                    <w:t>1</w:t>
                  </w:r>
                </w:p>
              </w:tc>
              <w:tc>
                <w:tcPr>
                  <w:tcW w:w="980" w:type="dxa"/>
                  <w:vAlign w:val="center"/>
                </w:tcPr>
                <w:p w14:paraId="0C51EBEF">
                  <w:pPr>
                    <w:jc w:val="center"/>
                    <w:rPr>
                      <w:bCs/>
                      <w:szCs w:val="21"/>
                      <w:highlight w:val="yellow"/>
                      <w:lang w:val="pt-BR"/>
                    </w:rPr>
                  </w:pPr>
                  <w:r>
                    <w:rPr>
                      <w:szCs w:val="21"/>
                    </w:rPr>
                    <w:t>1</w:t>
                  </w:r>
                  <w:r>
                    <w:rPr>
                      <w:rFonts w:hint="eastAsia"/>
                      <w:szCs w:val="21"/>
                    </w:rPr>
                    <w:t>68#</w:t>
                  </w:r>
                  <w:r>
                    <w:rPr>
                      <w:szCs w:val="21"/>
                    </w:rPr>
                    <w:t>厂房</w:t>
                  </w:r>
                </w:p>
              </w:tc>
              <w:tc>
                <w:tcPr>
                  <w:tcW w:w="570" w:type="dxa"/>
                  <w:vAlign w:val="center"/>
                </w:tcPr>
                <w:p w14:paraId="3DD4E7B9">
                  <w:pPr>
                    <w:jc w:val="center"/>
                    <w:rPr>
                      <w:bCs/>
                      <w:szCs w:val="21"/>
                      <w:highlight w:val="yellow"/>
                      <w:lang w:val="pt-BR"/>
                    </w:rPr>
                  </w:pPr>
                  <w:r>
                    <w:rPr>
                      <w:szCs w:val="21"/>
                    </w:rPr>
                    <w:t>建设路</w:t>
                  </w:r>
                  <w:r>
                    <w:rPr>
                      <w:rFonts w:hint="eastAsia"/>
                      <w:szCs w:val="21"/>
                    </w:rPr>
                    <w:t>厂区</w:t>
                  </w:r>
                </w:p>
              </w:tc>
              <w:tc>
                <w:tcPr>
                  <w:tcW w:w="2039" w:type="dxa"/>
                  <w:vAlign w:val="center"/>
                </w:tcPr>
                <w:p w14:paraId="2BCA6B04">
                  <w:pPr>
                    <w:jc w:val="center"/>
                    <w:rPr>
                      <w:bCs/>
                      <w:szCs w:val="21"/>
                      <w:highlight w:val="yellow"/>
                      <w:lang w:val="pt-BR"/>
                    </w:rPr>
                  </w:pPr>
                  <w:r>
                    <w:rPr>
                      <w:rFonts w:hint="eastAsia"/>
                      <w:bCs/>
                      <w:szCs w:val="21"/>
                      <w:lang w:val="pt-BR"/>
                    </w:rPr>
                    <w:t>用于阀类产品空载、待载及耐压性能试验</w:t>
                  </w:r>
                </w:p>
              </w:tc>
            </w:tr>
          </w:tbl>
          <w:p w14:paraId="520AB24C">
            <w:pPr>
              <w:adjustRightInd w:val="0"/>
              <w:snapToGrid w:val="0"/>
              <w:spacing w:line="460" w:lineRule="exact"/>
              <w:ind w:firstLine="482" w:firstLineChars="200"/>
              <w:rPr>
                <w:b/>
                <w:sz w:val="24"/>
              </w:rPr>
            </w:pPr>
            <w:r>
              <w:rPr>
                <w:rFonts w:hint="eastAsia"/>
                <w:b/>
                <w:sz w:val="24"/>
              </w:rPr>
              <w:t>5</w:t>
            </w:r>
            <w:r>
              <w:rPr>
                <w:b/>
                <w:sz w:val="24"/>
              </w:rPr>
              <w:t>、原辅材料及资源能源消耗量</w:t>
            </w:r>
          </w:p>
          <w:p w14:paraId="520AB24D">
            <w:pPr>
              <w:adjustRightInd w:val="0"/>
              <w:snapToGrid w:val="0"/>
              <w:spacing w:line="460" w:lineRule="exact"/>
              <w:ind w:firstLine="480" w:firstLineChars="200"/>
              <w:rPr>
                <w:sz w:val="24"/>
              </w:rPr>
            </w:pPr>
            <w:r>
              <w:rPr>
                <w:rFonts w:hint="eastAsia"/>
                <w:sz w:val="24"/>
              </w:rPr>
              <w:t>本项目原辅材料消耗量见下表。</w:t>
            </w:r>
          </w:p>
          <w:p w14:paraId="321CD8EA">
            <w:pPr>
              <w:adjustRightInd w:val="0"/>
              <w:snapToGrid w:val="0"/>
              <w:spacing w:line="460" w:lineRule="exact"/>
              <w:ind w:firstLine="480" w:firstLineChars="200"/>
              <w:rPr>
                <w:sz w:val="24"/>
              </w:rPr>
            </w:pPr>
          </w:p>
          <w:p w14:paraId="520AB24E">
            <w:pPr>
              <w:adjustRightInd w:val="0"/>
              <w:snapToGrid w:val="0"/>
              <w:spacing w:line="460" w:lineRule="exact"/>
              <w:ind w:firstLine="480" w:firstLineChars="200"/>
              <w:rPr>
                <w:sz w:val="24"/>
                <w:lang w:val="pt-BR"/>
              </w:rPr>
            </w:pPr>
            <w:r>
              <w:rPr>
                <w:rFonts w:eastAsia="黑体"/>
                <w:sz w:val="24"/>
                <w:lang w:val="pt-BR"/>
              </w:rPr>
              <w:t>表</w:t>
            </w:r>
            <w:r>
              <w:rPr>
                <w:rFonts w:eastAsia="黑体"/>
                <w:bCs/>
                <w:sz w:val="24"/>
              </w:rPr>
              <w:t>1</w:t>
            </w:r>
            <w:r>
              <w:rPr>
                <w:rFonts w:hint="eastAsia" w:eastAsia="黑体"/>
                <w:bCs/>
                <w:sz w:val="24"/>
              </w:rPr>
              <w:t>4</w:t>
            </w:r>
            <w:r>
              <w:rPr>
                <w:rFonts w:eastAsia="黑体"/>
                <w:sz w:val="24"/>
                <w:lang w:val="pt-BR"/>
              </w:rPr>
              <w:t xml:space="preserve">      本项目</w:t>
            </w:r>
            <w:r>
              <w:rPr>
                <w:rFonts w:hint="eastAsia" w:eastAsia="黑体"/>
                <w:sz w:val="24"/>
                <w:lang w:val="pt-BR"/>
              </w:rPr>
              <w:t>涉及的</w:t>
            </w:r>
            <w:r>
              <w:rPr>
                <w:rFonts w:eastAsia="黑体"/>
                <w:sz w:val="24"/>
                <w:lang w:val="pt-BR"/>
              </w:rPr>
              <w:t>原辅材料</w:t>
            </w:r>
            <w:r>
              <w:rPr>
                <w:rFonts w:eastAsia="黑体"/>
                <w:sz w:val="24"/>
              </w:rPr>
              <w:t>及资源能源</w:t>
            </w:r>
            <w:r>
              <w:rPr>
                <w:rFonts w:eastAsia="黑体"/>
                <w:sz w:val="24"/>
                <w:lang w:val="pt-BR"/>
              </w:rPr>
              <w:t>消耗量</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1" w:type="dxa"/>
                <w:bottom w:w="0" w:type="dxa"/>
                <w:right w:w="11" w:type="dxa"/>
              </w:tblCellMar>
            </w:tblPr>
            <w:tblGrid>
              <w:gridCol w:w="458"/>
              <w:gridCol w:w="1567"/>
              <w:gridCol w:w="1277"/>
              <w:gridCol w:w="2409"/>
              <w:gridCol w:w="2358"/>
            </w:tblGrid>
            <w:tr w14:paraId="520AB25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tblHeader/>
                <w:jc w:val="center"/>
              </w:trPr>
              <w:tc>
                <w:tcPr>
                  <w:tcW w:w="284" w:type="pct"/>
                  <w:vAlign w:val="center"/>
                </w:tcPr>
                <w:p w14:paraId="520AB24F">
                  <w:pPr>
                    <w:jc w:val="center"/>
                    <w:rPr>
                      <w:rFonts w:cs="宋体"/>
                      <w:b/>
                      <w:szCs w:val="20"/>
                      <w:lang w:val="pt-BR"/>
                    </w:rPr>
                  </w:pPr>
                  <w:r>
                    <w:rPr>
                      <w:b/>
                      <w:szCs w:val="21"/>
                      <w:lang w:val="pt-BR"/>
                    </w:rPr>
                    <w:t>序号</w:t>
                  </w:r>
                </w:p>
              </w:tc>
              <w:tc>
                <w:tcPr>
                  <w:tcW w:w="971" w:type="pct"/>
                  <w:vAlign w:val="center"/>
                </w:tcPr>
                <w:p w14:paraId="520AB250">
                  <w:pPr>
                    <w:jc w:val="center"/>
                    <w:rPr>
                      <w:rFonts w:cs="宋体"/>
                      <w:b/>
                      <w:szCs w:val="20"/>
                      <w:lang w:val="pt-BR"/>
                    </w:rPr>
                  </w:pPr>
                  <w:r>
                    <w:rPr>
                      <w:rFonts w:hint="eastAsia" w:cs="宋体"/>
                      <w:b/>
                      <w:szCs w:val="20"/>
                    </w:rPr>
                    <w:t>原料名称</w:t>
                  </w:r>
                </w:p>
              </w:tc>
              <w:tc>
                <w:tcPr>
                  <w:tcW w:w="791" w:type="pct"/>
                  <w:vAlign w:val="center"/>
                </w:tcPr>
                <w:p w14:paraId="520AB251">
                  <w:pPr>
                    <w:jc w:val="center"/>
                    <w:rPr>
                      <w:rFonts w:cs="宋体"/>
                      <w:b/>
                      <w:szCs w:val="20"/>
                      <w:lang w:val="pt-BR"/>
                    </w:rPr>
                  </w:pPr>
                  <w:r>
                    <w:rPr>
                      <w:rFonts w:hint="eastAsia" w:cs="宋体"/>
                      <w:b/>
                      <w:szCs w:val="20"/>
                    </w:rPr>
                    <w:t>用量</w:t>
                  </w:r>
                </w:p>
              </w:tc>
              <w:tc>
                <w:tcPr>
                  <w:tcW w:w="1493" w:type="pct"/>
                  <w:vAlign w:val="center"/>
                </w:tcPr>
                <w:p w14:paraId="520AB252">
                  <w:pPr>
                    <w:jc w:val="center"/>
                    <w:rPr>
                      <w:rFonts w:cs="宋体"/>
                      <w:b/>
                      <w:szCs w:val="20"/>
                      <w:lang w:val="pt-BR"/>
                    </w:rPr>
                  </w:pPr>
                  <w:r>
                    <w:rPr>
                      <w:rFonts w:hint="eastAsia" w:cs="宋体"/>
                      <w:b/>
                      <w:szCs w:val="20"/>
                    </w:rPr>
                    <w:t>储存位置、方式</w:t>
                  </w:r>
                </w:p>
              </w:tc>
              <w:tc>
                <w:tcPr>
                  <w:tcW w:w="1461" w:type="pct"/>
                  <w:vAlign w:val="center"/>
                </w:tcPr>
                <w:p w14:paraId="520AB253">
                  <w:pPr>
                    <w:jc w:val="center"/>
                    <w:rPr>
                      <w:rFonts w:cs="宋体"/>
                      <w:b/>
                      <w:szCs w:val="20"/>
                      <w:lang w:val="pt-BR"/>
                    </w:rPr>
                  </w:pPr>
                  <w:r>
                    <w:rPr>
                      <w:rFonts w:hint="eastAsia" w:cs="宋体"/>
                      <w:b/>
                      <w:szCs w:val="20"/>
                    </w:rPr>
                    <w:t>备注</w:t>
                  </w:r>
                </w:p>
              </w:tc>
            </w:tr>
            <w:tr w14:paraId="520AB25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5000" w:type="pct"/>
                  <w:gridSpan w:val="5"/>
                  <w:vAlign w:val="center"/>
                </w:tcPr>
                <w:p w14:paraId="520AB255">
                  <w:pPr>
                    <w:jc w:val="center"/>
                    <w:rPr>
                      <w:b/>
                      <w:bCs/>
                      <w:szCs w:val="21"/>
                      <w:lang w:val="pt-BR"/>
                    </w:rPr>
                  </w:pPr>
                  <w:r>
                    <w:rPr>
                      <w:rFonts w:hint="eastAsia"/>
                      <w:b/>
                      <w:bCs/>
                      <w:szCs w:val="21"/>
                      <w:lang w:val="pt-BR"/>
                    </w:rPr>
                    <w:t>建设路厂区</w:t>
                  </w:r>
                </w:p>
              </w:tc>
            </w:tr>
            <w:tr w14:paraId="520AB25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284" w:type="pct"/>
                  <w:vAlign w:val="center"/>
                </w:tcPr>
                <w:p w14:paraId="520AB257">
                  <w:pPr>
                    <w:contextualSpacing/>
                    <w:jc w:val="center"/>
                    <w:textAlignment w:val="baseline"/>
                    <w:rPr>
                      <w:kern w:val="0"/>
                      <w:szCs w:val="21"/>
                      <w:lang w:val="pt-BR"/>
                    </w:rPr>
                  </w:pPr>
                  <w:r>
                    <w:rPr>
                      <w:rFonts w:hint="eastAsia"/>
                      <w:kern w:val="0"/>
                      <w:szCs w:val="21"/>
                      <w:lang w:val="pt-BR"/>
                    </w:rPr>
                    <w:t>1</w:t>
                  </w:r>
                </w:p>
              </w:tc>
              <w:tc>
                <w:tcPr>
                  <w:tcW w:w="971" w:type="pct"/>
                  <w:vAlign w:val="center"/>
                </w:tcPr>
                <w:p w14:paraId="520AB258">
                  <w:pPr>
                    <w:jc w:val="center"/>
                    <w:rPr>
                      <w:szCs w:val="21"/>
                    </w:rPr>
                  </w:pPr>
                  <w:r>
                    <w:rPr>
                      <w:rFonts w:hint="eastAsia"/>
                      <w:szCs w:val="21"/>
                    </w:rPr>
                    <w:t>切削液</w:t>
                  </w:r>
                </w:p>
              </w:tc>
              <w:tc>
                <w:tcPr>
                  <w:tcW w:w="791" w:type="pct"/>
                  <w:vAlign w:val="center"/>
                </w:tcPr>
                <w:p w14:paraId="520AB259">
                  <w:pPr>
                    <w:jc w:val="center"/>
                    <w:rPr>
                      <w:szCs w:val="21"/>
                      <w:lang w:val="pt-BR"/>
                    </w:rPr>
                  </w:pPr>
                  <w:r>
                    <w:rPr>
                      <w:rFonts w:hint="eastAsia"/>
                      <w:szCs w:val="21"/>
                      <w:lang w:val="pt-BR"/>
                    </w:rPr>
                    <w:t>15L/a（14.55kg/a）</w:t>
                  </w:r>
                </w:p>
              </w:tc>
              <w:tc>
                <w:tcPr>
                  <w:tcW w:w="1493" w:type="pct"/>
                  <w:vAlign w:val="center"/>
                </w:tcPr>
                <w:p w14:paraId="520AB25A">
                  <w:pPr>
                    <w:jc w:val="center"/>
                    <w:rPr>
                      <w:szCs w:val="21"/>
                    </w:rPr>
                  </w:pPr>
                  <w:r>
                    <w:rPr>
                      <w:rFonts w:hint="eastAsia"/>
                      <w:szCs w:val="21"/>
                    </w:rPr>
                    <w:t>原料库、桶装</w:t>
                  </w:r>
                </w:p>
              </w:tc>
              <w:tc>
                <w:tcPr>
                  <w:tcW w:w="1461" w:type="pct"/>
                  <w:vAlign w:val="center"/>
                </w:tcPr>
                <w:p w14:paraId="520AB25B">
                  <w:pPr>
                    <w:jc w:val="center"/>
                    <w:rPr>
                      <w:szCs w:val="21"/>
                      <w:lang w:val="pt-BR"/>
                    </w:rPr>
                  </w:pPr>
                  <w:r>
                    <w:rPr>
                      <w:rFonts w:hint="eastAsia"/>
                      <w:szCs w:val="21"/>
                      <w:lang w:val="pt-BR"/>
                    </w:rPr>
                    <w:t>外购，本项目用于机加工</w:t>
                  </w:r>
                </w:p>
              </w:tc>
            </w:tr>
            <w:tr w14:paraId="520AB26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284" w:type="pct"/>
                  <w:vAlign w:val="center"/>
                </w:tcPr>
                <w:p w14:paraId="520AB25D">
                  <w:pPr>
                    <w:contextualSpacing/>
                    <w:jc w:val="center"/>
                    <w:textAlignment w:val="baseline"/>
                    <w:rPr>
                      <w:kern w:val="0"/>
                      <w:szCs w:val="21"/>
                      <w:lang w:val="pt-BR"/>
                    </w:rPr>
                  </w:pPr>
                  <w:r>
                    <w:rPr>
                      <w:rFonts w:hint="eastAsia"/>
                      <w:kern w:val="0"/>
                      <w:szCs w:val="21"/>
                      <w:lang w:val="pt-BR"/>
                    </w:rPr>
                    <w:t>2</w:t>
                  </w:r>
                </w:p>
              </w:tc>
              <w:tc>
                <w:tcPr>
                  <w:tcW w:w="971" w:type="pct"/>
                  <w:vAlign w:val="center"/>
                </w:tcPr>
                <w:p w14:paraId="520AB25E">
                  <w:pPr>
                    <w:jc w:val="center"/>
                    <w:rPr>
                      <w:szCs w:val="21"/>
                    </w:rPr>
                  </w:pPr>
                  <w:r>
                    <w:rPr>
                      <w:rFonts w:hint="eastAsia"/>
                      <w:szCs w:val="21"/>
                    </w:rPr>
                    <w:t>15#航空液压油</w:t>
                  </w:r>
                </w:p>
              </w:tc>
              <w:tc>
                <w:tcPr>
                  <w:tcW w:w="791" w:type="pct"/>
                  <w:vAlign w:val="center"/>
                </w:tcPr>
                <w:p w14:paraId="520AB25F">
                  <w:pPr>
                    <w:jc w:val="center"/>
                    <w:rPr>
                      <w:szCs w:val="21"/>
                      <w:highlight w:val="yellow"/>
                      <w:lang w:val="pt-BR"/>
                    </w:rPr>
                  </w:pPr>
                  <w:r>
                    <w:rPr>
                      <w:rFonts w:hint="eastAsia"/>
                      <w:szCs w:val="21"/>
                      <w:lang w:val="pt-BR"/>
                    </w:rPr>
                    <w:t>100L/a（80kg/a）</w:t>
                  </w:r>
                </w:p>
              </w:tc>
              <w:tc>
                <w:tcPr>
                  <w:tcW w:w="1493" w:type="pct"/>
                  <w:vAlign w:val="center"/>
                </w:tcPr>
                <w:p w14:paraId="520AB260">
                  <w:pPr>
                    <w:jc w:val="center"/>
                    <w:rPr>
                      <w:szCs w:val="21"/>
                    </w:rPr>
                  </w:pPr>
                  <w:r>
                    <w:rPr>
                      <w:rFonts w:hint="eastAsia"/>
                      <w:szCs w:val="21"/>
                    </w:rPr>
                    <w:t>危化品库内的油库、桶装</w:t>
                  </w:r>
                </w:p>
              </w:tc>
              <w:tc>
                <w:tcPr>
                  <w:tcW w:w="1461" w:type="pct"/>
                  <w:vAlign w:val="center"/>
                </w:tcPr>
                <w:p w14:paraId="520AB261">
                  <w:pPr>
                    <w:jc w:val="center"/>
                    <w:rPr>
                      <w:szCs w:val="21"/>
                      <w:lang w:val="pt-BR"/>
                    </w:rPr>
                  </w:pPr>
                  <w:r>
                    <w:rPr>
                      <w:szCs w:val="21"/>
                      <w:lang w:val="pt-BR"/>
                    </w:rPr>
                    <w:t>外购，用于油类试验</w:t>
                  </w:r>
                </w:p>
              </w:tc>
            </w:tr>
            <w:tr w14:paraId="520AB26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284" w:type="pct"/>
                  <w:vAlign w:val="center"/>
                </w:tcPr>
                <w:p w14:paraId="520AB263">
                  <w:pPr>
                    <w:contextualSpacing/>
                    <w:jc w:val="center"/>
                    <w:textAlignment w:val="baseline"/>
                    <w:rPr>
                      <w:kern w:val="0"/>
                      <w:szCs w:val="21"/>
                      <w:lang w:val="pt-BR"/>
                    </w:rPr>
                  </w:pPr>
                  <w:r>
                    <w:rPr>
                      <w:rFonts w:hint="eastAsia"/>
                      <w:kern w:val="0"/>
                      <w:szCs w:val="21"/>
                      <w:lang w:val="pt-BR"/>
                    </w:rPr>
                    <w:t>3</w:t>
                  </w:r>
                </w:p>
              </w:tc>
              <w:tc>
                <w:tcPr>
                  <w:tcW w:w="971" w:type="pct"/>
                  <w:vAlign w:val="center"/>
                </w:tcPr>
                <w:p w14:paraId="520AB264">
                  <w:pPr>
                    <w:jc w:val="center"/>
                    <w:rPr>
                      <w:szCs w:val="21"/>
                    </w:rPr>
                  </w:pPr>
                  <w:r>
                    <w:rPr>
                      <w:rFonts w:hint="eastAsia"/>
                      <w:szCs w:val="21"/>
                    </w:rPr>
                    <w:t>滑油</w:t>
                  </w:r>
                </w:p>
              </w:tc>
              <w:tc>
                <w:tcPr>
                  <w:tcW w:w="791" w:type="pct"/>
                  <w:vAlign w:val="center"/>
                </w:tcPr>
                <w:p w14:paraId="520AB265">
                  <w:pPr>
                    <w:jc w:val="center"/>
                    <w:rPr>
                      <w:szCs w:val="21"/>
                      <w:highlight w:val="yellow"/>
                      <w:lang w:val="pt-BR"/>
                    </w:rPr>
                  </w:pPr>
                  <w:r>
                    <w:rPr>
                      <w:rFonts w:hint="eastAsia"/>
                      <w:szCs w:val="21"/>
                      <w:lang w:val="pt-BR"/>
                    </w:rPr>
                    <w:t>0.5t/a</w:t>
                  </w:r>
                </w:p>
              </w:tc>
              <w:tc>
                <w:tcPr>
                  <w:tcW w:w="1493" w:type="pct"/>
                  <w:vAlign w:val="center"/>
                </w:tcPr>
                <w:p w14:paraId="520AB266">
                  <w:pPr>
                    <w:jc w:val="center"/>
                    <w:rPr>
                      <w:szCs w:val="21"/>
                      <w:highlight w:val="yellow"/>
                    </w:rPr>
                  </w:pPr>
                  <w:r>
                    <w:rPr>
                      <w:rFonts w:hint="eastAsia"/>
                      <w:szCs w:val="21"/>
                    </w:rPr>
                    <w:t>危化品库内的油库、桶装</w:t>
                  </w:r>
                </w:p>
              </w:tc>
              <w:tc>
                <w:tcPr>
                  <w:tcW w:w="1461" w:type="pct"/>
                  <w:vAlign w:val="center"/>
                </w:tcPr>
                <w:p w14:paraId="520AB267">
                  <w:pPr>
                    <w:jc w:val="center"/>
                    <w:rPr>
                      <w:szCs w:val="21"/>
                      <w:highlight w:val="yellow"/>
                      <w:lang w:val="pt-BR"/>
                    </w:rPr>
                  </w:pPr>
                  <w:r>
                    <w:rPr>
                      <w:szCs w:val="21"/>
                      <w:lang w:val="pt-BR"/>
                    </w:rPr>
                    <w:t>外购，用于油类试验</w:t>
                  </w:r>
                </w:p>
              </w:tc>
            </w:tr>
            <w:tr w14:paraId="520AB26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284" w:type="pct"/>
                  <w:vAlign w:val="center"/>
                </w:tcPr>
                <w:p w14:paraId="520AB269">
                  <w:pPr>
                    <w:contextualSpacing/>
                    <w:jc w:val="center"/>
                    <w:textAlignment w:val="baseline"/>
                    <w:rPr>
                      <w:kern w:val="0"/>
                      <w:szCs w:val="21"/>
                      <w:lang w:val="pt-BR"/>
                    </w:rPr>
                  </w:pPr>
                  <w:r>
                    <w:rPr>
                      <w:rFonts w:hint="eastAsia"/>
                      <w:kern w:val="0"/>
                      <w:szCs w:val="21"/>
                      <w:lang w:val="pt-BR"/>
                    </w:rPr>
                    <w:t>4</w:t>
                  </w:r>
                </w:p>
              </w:tc>
              <w:tc>
                <w:tcPr>
                  <w:tcW w:w="971" w:type="pct"/>
                  <w:vAlign w:val="center"/>
                </w:tcPr>
                <w:p w14:paraId="520AB26A">
                  <w:pPr>
                    <w:jc w:val="center"/>
                    <w:rPr>
                      <w:szCs w:val="21"/>
                    </w:rPr>
                  </w:pPr>
                  <w:r>
                    <w:rPr>
                      <w:rFonts w:hint="eastAsia"/>
                      <w:szCs w:val="21"/>
                    </w:rPr>
                    <w:t>乙二醇</w:t>
                  </w:r>
                </w:p>
              </w:tc>
              <w:tc>
                <w:tcPr>
                  <w:tcW w:w="791" w:type="pct"/>
                  <w:vAlign w:val="center"/>
                </w:tcPr>
                <w:p w14:paraId="520AB26B">
                  <w:pPr>
                    <w:jc w:val="center"/>
                    <w:rPr>
                      <w:szCs w:val="21"/>
                      <w:highlight w:val="yellow"/>
                      <w:lang w:val="pt-BR"/>
                    </w:rPr>
                  </w:pPr>
                  <w:r>
                    <w:rPr>
                      <w:rFonts w:hint="eastAsia"/>
                      <w:szCs w:val="21"/>
                      <w:lang w:val="pt-BR"/>
                    </w:rPr>
                    <w:t>200L/a（222.6kg/a）</w:t>
                  </w:r>
                </w:p>
              </w:tc>
              <w:tc>
                <w:tcPr>
                  <w:tcW w:w="1493" w:type="pct"/>
                  <w:vAlign w:val="center"/>
                </w:tcPr>
                <w:p w14:paraId="520AB26C">
                  <w:pPr>
                    <w:jc w:val="center"/>
                    <w:rPr>
                      <w:szCs w:val="21"/>
                      <w:highlight w:val="yellow"/>
                    </w:rPr>
                  </w:pPr>
                  <w:r>
                    <w:rPr>
                      <w:rFonts w:hint="eastAsia"/>
                      <w:szCs w:val="21"/>
                    </w:rPr>
                    <w:t>不在厂内储存，用时厂家直接送至车间使用</w:t>
                  </w:r>
                </w:p>
              </w:tc>
              <w:tc>
                <w:tcPr>
                  <w:tcW w:w="1461" w:type="pct"/>
                  <w:vAlign w:val="center"/>
                </w:tcPr>
                <w:p w14:paraId="520AB26D">
                  <w:pPr>
                    <w:jc w:val="center"/>
                    <w:rPr>
                      <w:szCs w:val="21"/>
                      <w:highlight w:val="yellow"/>
                      <w:lang w:val="pt-BR"/>
                    </w:rPr>
                  </w:pPr>
                  <w:r>
                    <w:rPr>
                      <w:szCs w:val="21"/>
                      <w:lang w:val="pt-BR"/>
                    </w:rPr>
                    <w:t>外购，用于</w:t>
                  </w:r>
                  <w:r>
                    <w:rPr>
                      <w:rFonts w:hint="eastAsia"/>
                      <w:szCs w:val="21"/>
                      <w:lang w:val="pt-BR"/>
                    </w:rPr>
                    <w:t>冷却系统</w:t>
                  </w:r>
                  <w:r>
                    <w:rPr>
                      <w:szCs w:val="21"/>
                      <w:lang w:val="pt-BR"/>
                    </w:rPr>
                    <w:t>试验</w:t>
                  </w:r>
                </w:p>
              </w:tc>
            </w:tr>
            <w:tr w14:paraId="520AB27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284" w:type="pct"/>
                  <w:vAlign w:val="center"/>
                </w:tcPr>
                <w:p w14:paraId="520AB26F">
                  <w:pPr>
                    <w:contextualSpacing/>
                    <w:jc w:val="center"/>
                    <w:textAlignment w:val="baseline"/>
                    <w:rPr>
                      <w:kern w:val="0"/>
                      <w:szCs w:val="21"/>
                      <w:lang w:val="pt-BR"/>
                    </w:rPr>
                  </w:pPr>
                  <w:r>
                    <w:rPr>
                      <w:rFonts w:hint="eastAsia"/>
                      <w:kern w:val="0"/>
                      <w:szCs w:val="21"/>
                      <w:lang w:val="pt-BR"/>
                    </w:rPr>
                    <w:t>5</w:t>
                  </w:r>
                </w:p>
              </w:tc>
              <w:tc>
                <w:tcPr>
                  <w:tcW w:w="971" w:type="pct"/>
                  <w:vAlign w:val="center"/>
                </w:tcPr>
                <w:p w14:paraId="520AB270">
                  <w:pPr>
                    <w:jc w:val="center"/>
                    <w:rPr>
                      <w:szCs w:val="21"/>
                      <w:highlight w:val="yellow"/>
                    </w:rPr>
                  </w:pPr>
                  <w:r>
                    <w:rPr>
                      <w:rFonts w:hint="eastAsia"/>
                      <w:szCs w:val="21"/>
                      <w:lang w:val="pt-BR"/>
                    </w:rPr>
                    <w:t>氟利昂（R134a）</w:t>
                  </w:r>
                </w:p>
              </w:tc>
              <w:tc>
                <w:tcPr>
                  <w:tcW w:w="791" w:type="pct"/>
                  <w:vAlign w:val="center"/>
                </w:tcPr>
                <w:p w14:paraId="520AB271">
                  <w:pPr>
                    <w:jc w:val="center"/>
                    <w:rPr>
                      <w:szCs w:val="21"/>
                      <w:highlight w:val="yellow"/>
                      <w:lang w:val="pt-BR"/>
                    </w:rPr>
                  </w:pPr>
                  <w:r>
                    <w:rPr>
                      <w:rFonts w:hint="eastAsia"/>
                      <w:szCs w:val="21"/>
                      <w:lang w:val="pt-BR"/>
                    </w:rPr>
                    <w:t>5kg/a</w:t>
                  </w:r>
                </w:p>
              </w:tc>
              <w:tc>
                <w:tcPr>
                  <w:tcW w:w="1493" w:type="pct"/>
                  <w:vAlign w:val="center"/>
                </w:tcPr>
                <w:p w14:paraId="520AB272">
                  <w:pPr>
                    <w:jc w:val="center"/>
                    <w:rPr>
                      <w:szCs w:val="21"/>
                    </w:rPr>
                  </w:pPr>
                  <w:r>
                    <w:rPr>
                      <w:rFonts w:hint="eastAsia"/>
                      <w:szCs w:val="21"/>
                    </w:rPr>
                    <w:t>不在厂内储存，用时厂家直接送至车间使用</w:t>
                  </w:r>
                </w:p>
              </w:tc>
              <w:tc>
                <w:tcPr>
                  <w:tcW w:w="1461" w:type="pct"/>
                  <w:vAlign w:val="center"/>
                </w:tcPr>
                <w:p w14:paraId="520AB273">
                  <w:pPr>
                    <w:jc w:val="center"/>
                    <w:rPr>
                      <w:szCs w:val="21"/>
                      <w:lang w:val="pt-BR"/>
                    </w:rPr>
                  </w:pPr>
                  <w:r>
                    <w:rPr>
                      <w:rFonts w:hint="eastAsia"/>
                      <w:szCs w:val="21"/>
                      <w:lang w:val="pt-BR"/>
                    </w:rPr>
                    <w:t>外购，用于制冷剂</w:t>
                  </w:r>
                </w:p>
              </w:tc>
            </w:tr>
            <w:tr w14:paraId="520AB27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284" w:type="pct"/>
                  <w:vAlign w:val="center"/>
                </w:tcPr>
                <w:p w14:paraId="520AB275">
                  <w:pPr>
                    <w:contextualSpacing/>
                    <w:jc w:val="center"/>
                    <w:textAlignment w:val="baseline"/>
                    <w:rPr>
                      <w:kern w:val="0"/>
                      <w:szCs w:val="21"/>
                      <w:lang w:val="pt-BR"/>
                    </w:rPr>
                  </w:pPr>
                  <w:r>
                    <w:rPr>
                      <w:rFonts w:hint="eastAsia"/>
                      <w:kern w:val="0"/>
                      <w:szCs w:val="21"/>
                      <w:lang w:val="pt-BR"/>
                    </w:rPr>
                    <w:t>6</w:t>
                  </w:r>
                </w:p>
              </w:tc>
              <w:tc>
                <w:tcPr>
                  <w:tcW w:w="971" w:type="pct"/>
                  <w:vAlign w:val="center"/>
                </w:tcPr>
                <w:p w14:paraId="520AB276">
                  <w:pPr>
                    <w:jc w:val="center"/>
                    <w:rPr>
                      <w:szCs w:val="21"/>
                      <w:highlight w:val="yellow"/>
                    </w:rPr>
                  </w:pPr>
                  <w:r>
                    <w:rPr>
                      <w:rFonts w:hint="eastAsia"/>
                      <w:szCs w:val="21"/>
                    </w:rPr>
                    <w:t>水</w:t>
                  </w:r>
                </w:p>
              </w:tc>
              <w:tc>
                <w:tcPr>
                  <w:tcW w:w="791" w:type="pct"/>
                  <w:vAlign w:val="center"/>
                </w:tcPr>
                <w:p w14:paraId="520AB277">
                  <w:pPr>
                    <w:jc w:val="center"/>
                    <w:rPr>
                      <w:szCs w:val="21"/>
                      <w:lang w:val="pt-BR"/>
                    </w:rPr>
                  </w:pPr>
                  <w:r>
                    <w:rPr>
                      <w:rFonts w:hint="eastAsia"/>
                      <w:szCs w:val="21"/>
                      <w:lang w:val="pt-BR"/>
                    </w:rPr>
                    <w:t>268.75m</w:t>
                  </w:r>
                  <w:r>
                    <w:rPr>
                      <w:rFonts w:hint="eastAsia"/>
                      <w:szCs w:val="21"/>
                      <w:vertAlign w:val="superscript"/>
                      <w:lang w:val="pt-BR"/>
                    </w:rPr>
                    <w:t>3</w:t>
                  </w:r>
                  <w:r>
                    <w:rPr>
                      <w:rFonts w:hint="eastAsia"/>
                      <w:szCs w:val="21"/>
                      <w:lang w:val="pt-BR"/>
                    </w:rPr>
                    <w:t>/a</w:t>
                  </w:r>
                </w:p>
              </w:tc>
              <w:tc>
                <w:tcPr>
                  <w:tcW w:w="1493" w:type="pct"/>
                  <w:vAlign w:val="center"/>
                </w:tcPr>
                <w:p w14:paraId="520AB278">
                  <w:pPr>
                    <w:jc w:val="center"/>
                    <w:rPr>
                      <w:szCs w:val="21"/>
                    </w:rPr>
                  </w:pPr>
                  <w:r>
                    <w:rPr>
                      <w:rFonts w:hint="eastAsia"/>
                      <w:szCs w:val="21"/>
                    </w:rPr>
                    <w:t>/</w:t>
                  </w:r>
                </w:p>
              </w:tc>
              <w:tc>
                <w:tcPr>
                  <w:tcW w:w="1461" w:type="pct"/>
                  <w:vAlign w:val="center"/>
                </w:tcPr>
                <w:p w14:paraId="520AB279">
                  <w:pPr>
                    <w:jc w:val="center"/>
                    <w:rPr>
                      <w:szCs w:val="21"/>
                      <w:lang w:val="pt-BR"/>
                    </w:rPr>
                  </w:pPr>
                  <w:r>
                    <w:rPr>
                      <w:rFonts w:hint="eastAsia"/>
                      <w:szCs w:val="21"/>
                    </w:rPr>
                    <w:t>市政</w:t>
                  </w:r>
                  <w:r>
                    <w:rPr>
                      <w:szCs w:val="21"/>
                    </w:rPr>
                    <w:t>统一</w:t>
                  </w:r>
                  <w:r>
                    <w:rPr>
                      <w:szCs w:val="21"/>
                      <w:lang w:val="pt-BR"/>
                    </w:rPr>
                    <w:t>供水</w:t>
                  </w:r>
                </w:p>
              </w:tc>
            </w:tr>
            <w:tr w14:paraId="520AB28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284" w:type="pct"/>
                  <w:vAlign w:val="center"/>
                </w:tcPr>
                <w:p w14:paraId="520AB27B">
                  <w:pPr>
                    <w:contextualSpacing/>
                    <w:jc w:val="center"/>
                    <w:textAlignment w:val="baseline"/>
                    <w:rPr>
                      <w:kern w:val="0"/>
                      <w:szCs w:val="21"/>
                      <w:lang w:val="pt-BR"/>
                    </w:rPr>
                  </w:pPr>
                  <w:r>
                    <w:rPr>
                      <w:rFonts w:hint="eastAsia"/>
                      <w:kern w:val="0"/>
                      <w:szCs w:val="21"/>
                      <w:lang w:val="pt-BR"/>
                    </w:rPr>
                    <w:t>7</w:t>
                  </w:r>
                </w:p>
              </w:tc>
              <w:tc>
                <w:tcPr>
                  <w:tcW w:w="971" w:type="pct"/>
                  <w:vAlign w:val="center"/>
                </w:tcPr>
                <w:p w14:paraId="520AB27C">
                  <w:pPr>
                    <w:jc w:val="center"/>
                    <w:rPr>
                      <w:szCs w:val="21"/>
                    </w:rPr>
                  </w:pPr>
                  <w:r>
                    <w:rPr>
                      <w:rFonts w:hint="eastAsia"/>
                      <w:szCs w:val="21"/>
                    </w:rPr>
                    <w:t>电</w:t>
                  </w:r>
                </w:p>
              </w:tc>
              <w:tc>
                <w:tcPr>
                  <w:tcW w:w="791" w:type="pct"/>
                  <w:vAlign w:val="center"/>
                </w:tcPr>
                <w:p w14:paraId="520AB27D">
                  <w:pPr>
                    <w:jc w:val="center"/>
                    <w:rPr>
                      <w:szCs w:val="21"/>
                      <w:lang w:val="pt-BR"/>
                    </w:rPr>
                  </w:pPr>
                  <w:r>
                    <w:rPr>
                      <w:rFonts w:hint="eastAsia"/>
                      <w:szCs w:val="21"/>
                      <w:lang w:val="pt-BR"/>
                    </w:rPr>
                    <w:t>10万kW</w:t>
                  </w:r>
                  <w:r>
                    <w:rPr>
                      <w:szCs w:val="21"/>
                      <w:lang w:val="pt-BR"/>
                    </w:rPr>
                    <w:t>·</w:t>
                  </w:r>
                  <w:r>
                    <w:rPr>
                      <w:rFonts w:hint="eastAsia"/>
                      <w:szCs w:val="21"/>
                      <w:lang w:val="pt-BR"/>
                    </w:rPr>
                    <w:t>h/a</w:t>
                  </w:r>
                </w:p>
              </w:tc>
              <w:tc>
                <w:tcPr>
                  <w:tcW w:w="1493" w:type="pct"/>
                  <w:vAlign w:val="center"/>
                </w:tcPr>
                <w:p w14:paraId="520AB27E">
                  <w:pPr>
                    <w:jc w:val="center"/>
                    <w:rPr>
                      <w:szCs w:val="21"/>
                    </w:rPr>
                  </w:pPr>
                  <w:r>
                    <w:rPr>
                      <w:rFonts w:hint="eastAsia"/>
                      <w:szCs w:val="21"/>
                      <w:lang w:val="pt-BR"/>
                    </w:rPr>
                    <w:t>/</w:t>
                  </w:r>
                </w:p>
              </w:tc>
              <w:tc>
                <w:tcPr>
                  <w:tcW w:w="1461" w:type="pct"/>
                  <w:vAlign w:val="center"/>
                </w:tcPr>
                <w:p w14:paraId="520AB27F">
                  <w:pPr>
                    <w:jc w:val="center"/>
                    <w:rPr>
                      <w:szCs w:val="21"/>
                      <w:lang w:val="pt-BR"/>
                    </w:rPr>
                  </w:pPr>
                  <w:r>
                    <w:rPr>
                      <w:rFonts w:hint="eastAsia"/>
                      <w:szCs w:val="21"/>
                    </w:rPr>
                    <w:t>市政</w:t>
                  </w:r>
                  <w:r>
                    <w:rPr>
                      <w:szCs w:val="21"/>
                    </w:rPr>
                    <w:t>统一</w:t>
                  </w:r>
                  <w:r>
                    <w:rPr>
                      <w:szCs w:val="21"/>
                      <w:lang w:val="pt-BR"/>
                    </w:rPr>
                    <w:t>供电</w:t>
                  </w:r>
                </w:p>
              </w:tc>
            </w:tr>
            <w:tr w14:paraId="520AB28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5000" w:type="pct"/>
                  <w:gridSpan w:val="5"/>
                  <w:vAlign w:val="center"/>
                </w:tcPr>
                <w:p w14:paraId="520AB281">
                  <w:pPr>
                    <w:jc w:val="center"/>
                    <w:rPr>
                      <w:b/>
                      <w:bCs/>
                      <w:szCs w:val="21"/>
                    </w:rPr>
                  </w:pPr>
                  <w:r>
                    <w:rPr>
                      <w:rFonts w:hint="eastAsia"/>
                      <w:b/>
                      <w:bCs/>
                      <w:szCs w:val="21"/>
                    </w:rPr>
                    <w:t>解放路厂区</w:t>
                  </w:r>
                </w:p>
              </w:tc>
            </w:tr>
            <w:tr w14:paraId="520AB28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284" w:type="pct"/>
                  <w:vAlign w:val="center"/>
                </w:tcPr>
                <w:p w14:paraId="520AB283">
                  <w:pPr>
                    <w:contextualSpacing/>
                    <w:jc w:val="center"/>
                    <w:textAlignment w:val="baseline"/>
                    <w:rPr>
                      <w:kern w:val="0"/>
                      <w:szCs w:val="21"/>
                      <w:lang w:val="pt-BR"/>
                    </w:rPr>
                  </w:pPr>
                  <w:r>
                    <w:rPr>
                      <w:rFonts w:hint="eastAsia"/>
                      <w:kern w:val="0"/>
                      <w:szCs w:val="21"/>
                      <w:lang w:val="pt-BR"/>
                    </w:rPr>
                    <w:t>1</w:t>
                  </w:r>
                </w:p>
              </w:tc>
              <w:tc>
                <w:tcPr>
                  <w:tcW w:w="971" w:type="pct"/>
                  <w:vAlign w:val="center"/>
                </w:tcPr>
                <w:p w14:paraId="520AB284">
                  <w:pPr>
                    <w:jc w:val="center"/>
                    <w:rPr>
                      <w:szCs w:val="21"/>
                    </w:rPr>
                  </w:pPr>
                  <w:r>
                    <w:rPr>
                      <w:rFonts w:hint="eastAsia"/>
                      <w:szCs w:val="21"/>
                      <w:lang w:val="pt-BR"/>
                    </w:rPr>
                    <w:t>46#高抗磨液压油</w:t>
                  </w:r>
                </w:p>
              </w:tc>
              <w:tc>
                <w:tcPr>
                  <w:tcW w:w="791" w:type="pct"/>
                  <w:vAlign w:val="center"/>
                </w:tcPr>
                <w:p w14:paraId="520AB285">
                  <w:pPr>
                    <w:jc w:val="center"/>
                    <w:rPr>
                      <w:szCs w:val="21"/>
                      <w:lang w:val="pt-BR"/>
                    </w:rPr>
                  </w:pPr>
                  <w:r>
                    <w:rPr>
                      <w:rFonts w:hint="eastAsia"/>
                      <w:szCs w:val="21"/>
                      <w:lang w:val="pt-BR"/>
                    </w:rPr>
                    <w:t>200L/a（170kg/a）</w:t>
                  </w:r>
                </w:p>
              </w:tc>
              <w:tc>
                <w:tcPr>
                  <w:tcW w:w="1493" w:type="pct"/>
                  <w:vAlign w:val="center"/>
                </w:tcPr>
                <w:p w14:paraId="520AB286">
                  <w:pPr>
                    <w:jc w:val="center"/>
                    <w:rPr>
                      <w:szCs w:val="21"/>
                      <w:lang w:val="pt-BR"/>
                    </w:rPr>
                  </w:pPr>
                  <w:r>
                    <w:rPr>
                      <w:rFonts w:hint="eastAsia"/>
                      <w:szCs w:val="21"/>
                    </w:rPr>
                    <w:t>危化品库内的油库、桶装</w:t>
                  </w:r>
                </w:p>
              </w:tc>
              <w:tc>
                <w:tcPr>
                  <w:tcW w:w="1461" w:type="pct"/>
                  <w:vAlign w:val="center"/>
                </w:tcPr>
                <w:p w14:paraId="520AB287">
                  <w:pPr>
                    <w:jc w:val="center"/>
                    <w:rPr>
                      <w:szCs w:val="21"/>
                    </w:rPr>
                  </w:pPr>
                  <w:r>
                    <w:rPr>
                      <w:szCs w:val="21"/>
                      <w:lang w:val="pt-BR"/>
                    </w:rPr>
                    <w:t>外购，用于</w:t>
                  </w:r>
                  <w:r>
                    <w:rPr>
                      <w:rFonts w:hint="eastAsia"/>
                      <w:szCs w:val="21"/>
                      <w:lang w:val="pt-BR"/>
                    </w:rPr>
                    <w:t>硫化机液压系统</w:t>
                  </w:r>
                </w:p>
              </w:tc>
            </w:tr>
            <w:tr w14:paraId="520AB28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284" w:type="pct"/>
                  <w:vAlign w:val="center"/>
                </w:tcPr>
                <w:p w14:paraId="520AB289">
                  <w:pPr>
                    <w:contextualSpacing/>
                    <w:jc w:val="center"/>
                    <w:textAlignment w:val="baseline"/>
                    <w:rPr>
                      <w:kern w:val="0"/>
                      <w:szCs w:val="21"/>
                      <w:lang w:val="pt-BR"/>
                    </w:rPr>
                  </w:pPr>
                  <w:r>
                    <w:rPr>
                      <w:rFonts w:hint="eastAsia"/>
                      <w:kern w:val="0"/>
                      <w:szCs w:val="21"/>
                      <w:lang w:val="pt-BR"/>
                    </w:rPr>
                    <w:t>2</w:t>
                  </w:r>
                </w:p>
              </w:tc>
              <w:tc>
                <w:tcPr>
                  <w:tcW w:w="971" w:type="pct"/>
                  <w:vAlign w:val="center"/>
                </w:tcPr>
                <w:p w14:paraId="520AB28A">
                  <w:pPr>
                    <w:jc w:val="center"/>
                    <w:rPr>
                      <w:szCs w:val="21"/>
                      <w:lang w:val="pt-BR"/>
                    </w:rPr>
                  </w:pPr>
                  <w:r>
                    <w:rPr>
                      <w:rFonts w:hint="eastAsia"/>
                      <w:szCs w:val="21"/>
                    </w:rPr>
                    <w:t>电</w:t>
                  </w:r>
                </w:p>
              </w:tc>
              <w:tc>
                <w:tcPr>
                  <w:tcW w:w="791" w:type="pct"/>
                  <w:vAlign w:val="center"/>
                </w:tcPr>
                <w:p w14:paraId="520AB28B">
                  <w:pPr>
                    <w:jc w:val="center"/>
                    <w:rPr>
                      <w:szCs w:val="21"/>
                      <w:lang w:val="pt-BR"/>
                    </w:rPr>
                  </w:pPr>
                  <w:r>
                    <w:rPr>
                      <w:rFonts w:hint="eastAsia"/>
                      <w:szCs w:val="21"/>
                      <w:lang w:val="pt-BR"/>
                    </w:rPr>
                    <w:t>2万kW</w:t>
                  </w:r>
                  <w:r>
                    <w:rPr>
                      <w:szCs w:val="21"/>
                      <w:lang w:val="pt-BR"/>
                    </w:rPr>
                    <w:t>·</w:t>
                  </w:r>
                  <w:r>
                    <w:rPr>
                      <w:rFonts w:hint="eastAsia"/>
                      <w:szCs w:val="21"/>
                      <w:lang w:val="pt-BR"/>
                    </w:rPr>
                    <w:t>h/a</w:t>
                  </w:r>
                </w:p>
              </w:tc>
              <w:tc>
                <w:tcPr>
                  <w:tcW w:w="1493" w:type="pct"/>
                  <w:vAlign w:val="center"/>
                </w:tcPr>
                <w:p w14:paraId="520AB28C">
                  <w:pPr>
                    <w:jc w:val="center"/>
                    <w:rPr>
                      <w:szCs w:val="21"/>
                    </w:rPr>
                  </w:pPr>
                  <w:r>
                    <w:rPr>
                      <w:rFonts w:hint="eastAsia"/>
                      <w:szCs w:val="21"/>
                      <w:lang w:val="pt-BR"/>
                    </w:rPr>
                    <w:t>/</w:t>
                  </w:r>
                </w:p>
              </w:tc>
              <w:tc>
                <w:tcPr>
                  <w:tcW w:w="1461" w:type="pct"/>
                  <w:vAlign w:val="center"/>
                </w:tcPr>
                <w:p w14:paraId="520AB28D">
                  <w:pPr>
                    <w:jc w:val="center"/>
                    <w:rPr>
                      <w:szCs w:val="21"/>
                      <w:lang w:val="pt-BR"/>
                    </w:rPr>
                  </w:pPr>
                  <w:r>
                    <w:rPr>
                      <w:rFonts w:hint="eastAsia"/>
                      <w:szCs w:val="21"/>
                    </w:rPr>
                    <w:t>市政</w:t>
                  </w:r>
                  <w:r>
                    <w:rPr>
                      <w:szCs w:val="21"/>
                    </w:rPr>
                    <w:t>统一</w:t>
                  </w:r>
                  <w:r>
                    <w:rPr>
                      <w:szCs w:val="21"/>
                      <w:lang w:val="pt-BR"/>
                    </w:rPr>
                    <w:t>供电</w:t>
                  </w:r>
                </w:p>
              </w:tc>
            </w:tr>
          </w:tbl>
          <w:p w14:paraId="520AB28F">
            <w:pPr>
              <w:spacing w:line="460" w:lineRule="exact"/>
              <w:ind w:firstLine="480" w:firstLineChars="200"/>
              <w:rPr>
                <w:bCs/>
                <w:sz w:val="24"/>
              </w:rPr>
            </w:pPr>
            <w:r>
              <w:rPr>
                <w:rFonts w:hint="eastAsia"/>
                <w:bCs/>
                <w:sz w:val="24"/>
              </w:rPr>
              <w:t>本项目涉及的原辅材料理化性质见下表：</w:t>
            </w:r>
          </w:p>
          <w:p w14:paraId="520AB290">
            <w:pPr>
              <w:spacing w:line="460" w:lineRule="exact"/>
              <w:ind w:firstLine="480" w:firstLineChars="200"/>
              <w:rPr>
                <w:rFonts w:eastAsia="黑体"/>
                <w:sz w:val="24"/>
                <w:lang w:val="pt-BR"/>
              </w:rPr>
            </w:pPr>
            <w:r>
              <w:rPr>
                <w:rFonts w:eastAsia="黑体"/>
                <w:sz w:val="24"/>
                <w:lang w:val="pt-BR"/>
              </w:rPr>
              <w:t>表</w:t>
            </w:r>
            <w:r>
              <w:rPr>
                <w:rFonts w:hint="eastAsia" w:eastAsia="黑体"/>
                <w:sz w:val="24"/>
                <w:lang w:val="pt-BR"/>
              </w:rPr>
              <w:t>15</w:t>
            </w:r>
            <w:r>
              <w:rPr>
                <w:rFonts w:eastAsia="黑体"/>
                <w:sz w:val="24"/>
                <w:lang w:val="pt-BR"/>
              </w:rPr>
              <w:t xml:space="preserve">             </w:t>
            </w:r>
            <w:r>
              <w:rPr>
                <w:rFonts w:hint="eastAsia" w:eastAsia="黑体"/>
                <w:sz w:val="24"/>
                <w:lang w:val="pt-BR"/>
              </w:rPr>
              <w:t>本项目主要原辅材料理化性质</w:t>
            </w:r>
          </w:p>
          <w:tbl>
            <w:tblPr>
              <w:tblStyle w:val="18"/>
              <w:tblW w:w="5000" w:type="pct"/>
              <w:jc w:val="center"/>
              <w:tblBorders>
                <w:top w:val="single" w:color="auto" w:sz="8" w:space="0"/>
                <w:left w:val="none" w:color="auto" w:sz="0" w:space="0"/>
                <w:bottom w:val="single" w:color="auto" w:sz="6"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01"/>
              <w:gridCol w:w="1135"/>
              <w:gridCol w:w="6333"/>
            </w:tblGrid>
            <w:tr w14:paraId="520AB294">
              <w:tblPrEx>
                <w:tblBorders>
                  <w:top w:val="single" w:color="auto" w:sz="8" w:space="0"/>
                  <w:left w:val="none" w:color="auto" w:sz="0" w:space="0"/>
                  <w:bottom w:val="single" w:color="auto" w:sz="6"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73" w:type="pct"/>
                  <w:tcBorders>
                    <w:top w:val="single" w:color="auto" w:sz="8" w:space="0"/>
                    <w:left w:val="nil"/>
                    <w:bottom w:val="single" w:color="auto" w:sz="4" w:space="0"/>
                    <w:right w:val="single" w:color="auto" w:sz="4" w:space="0"/>
                  </w:tcBorders>
                  <w:vAlign w:val="center"/>
                </w:tcPr>
                <w:p w14:paraId="520AB291">
                  <w:pPr>
                    <w:jc w:val="center"/>
                    <w:rPr>
                      <w:b/>
                      <w:szCs w:val="21"/>
                    </w:rPr>
                  </w:pPr>
                  <w:r>
                    <w:rPr>
                      <w:b/>
                      <w:szCs w:val="21"/>
                      <w:lang w:val="pt-BR"/>
                    </w:rPr>
                    <w:t>序号</w:t>
                  </w:r>
                </w:p>
              </w:tc>
              <w:tc>
                <w:tcPr>
                  <w:tcW w:w="703" w:type="pct"/>
                  <w:tcBorders>
                    <w:top w:val="single" w:color="auto" w:sz="8" w:space="0"/>
                    <w:left w:val="single" w:color="auto" w:sz="4" w:space="0"/>
                    <w:bottom w:val="single" w:color="auto" w:sz="4" w:space="0"/>
                    <w:right w:val="single" w:color="auto" w:sz="4" w:space="0"/>
                  </w:tcBorders>
                  <w:vAlign w:val="center"/>
                </w:tcPr>
                <w:p w14:paraId="520AB292">
                  <w:pPr>
                    <w:jc w:val="center"/>
                    <w:rPr>
                      <w:b/>
                      <w:szCs w:val="21"/>
                    </w:rPr>
                  </w:pPr>
                  <w:r>
                    <w:rPr>
                      <w:b/>
                      <w:szCs w:val="21"/>
                    </w:rPr>
                    <w:t>原料名称</w:t>
                  </w:r>
                </w:p>
              </w:tc>
              <w:tc>
                <w:tcPr>
                  <w:tcW w:w="3924" w:type="pct"/>
                  <w:tcBorders>
                    <w:top w:val="single" w:color="auto" w:sz="8" w:space="0"/>
                    <w:left w:val="single" w:color="auto" w:sz="4" w:space="0"/>
                    <w:bottom w:val="single" w:color="auto" w:sz="4" w:space="0"/>
                    <w:right w:val="nil"/>
                  </w:tcBorders>
                  <w:vAlign w:val="center"/>
                </w:tcPr>
                <w:p w14:paraId="520AB293">
                  <w:pPr>
                    <w:jc w:val="center"/>
                    <w:rPr>
                      <w:b/>
                      <w:szCs w:val="21"/>
                    </w:rPr>
                  </w:pPr>
                  <w:r>
                    <w:rPr>
                      <w:b/>
                      <w:szCs w:val="21"/>
                    </w:rPr>
                    <w:t>理化性质</w:t>
                  </w:r>
                </w:p>
              </w:tc>
            </w:tr>
            <w:tr w14:paraId="520AB298">
              <w:tblPrEx>
                <w:tblBorders>
                  <w:top w:val="single" w:color="auto" w:sz="8" w:space="0"/>
                  <w:left w:val="none" w:color="auto" w:sz="0" w:space="0"/>
                  <w:bottom w:val="single" w:color="auto" w:sz="6"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3" w:type="pct"/>
                  <w:tcBorders>
                    <w:top w:val="single" w:color="auto" w:sz="4" w:space="0"/>
                    <w:left w:val="nil"/>
                    <w:right w:val="single" w:color="auto" w:sz="4" w:space="0"/>
                  </w:tcBorders>
                  <w:vAlign w:val="center"/>
                </w:tcPr>
                <w:p w14:paraId="520AB295">
                  <w:pPr>
                    <w:jc w:val="center"/>
                    <w:textAlignment w:val="baseline"/>
                    <w:rPr>
                      <w:szCs w:val="21"/>
                    </w:rPr>
                  </w:pPr>
                  <w:r>
                    <w:rPr>
                      <w:rFonts w:hint="eastAsia"/>
                      <w:szCs w:val="21"/>
                    </w:rPr>
                    <w:t>1</w:t>
                  </w:r>
                </w:p>
              </w:tc>
              <w:tc>
                <w:tcPr>
                  <w:tcW w:w="703" w:type="pct"/>
                  <w:tcBorders>
                    <w:top w:val="single" w:color="auto" w:sz="4" w:space="0"/>
                    <w:left w:val="single" w:color="auto" w:sz="4" w:space="0"/>
                    <w:right w:val="single" w:color="auto" w:sz="4" w:space="0"/>
                  </w:tcBorders>
                  <w:vAlign w:val="center"/>
                </w:tcPr>
                <w:p w14:paraId="520AB296">
                  <w:pPr>
                    <w:jc w:val="center"/>
                    <w:rPr>
                      <w:szCs w:val="21"/>
                    </w:rPr>
                  </w:pPr>
                  <w:r>
                    <w:rPr>
                      <w:rFonts w:hint="eastAsia"/>
                      <w:szCs w:val="21"/>
                    </w:rPr>
                    <w:t>切削液</w:t>
                  </w:r>
                </w:p>
              </w:tc>
              <w:tc>
                <w:tcPr>
                  <w:tcW w:w="3924" w:type="pct"/>
                  <w:tcBorders>
                    <w:top w:val="single" w:color="auto" w:sz="4" w:space="0"/>
                    <w:left w:val="single" w:color="auto" w:sz="4" w:space="0"/>
                    <w:bottom w:val="single" w:color="auto" w:sz="4" w:space="0"/>
                    <w:right w:val="nil"/>
                  </w:tcBorders>
                  <w:vAlign w:val="center"/>
                </w:tcPr>
                <w:p w14:paraId="520AB297">
                  <w:pPr>
                    <w:adjustRightInd w:val="0"/>
                    <w:rPr>
                      <w:szCs w:val="21"/>
                      <w:lang w:val="pt-BR"/>
                    </w:rPr>
                  </w:pPr>
                  <w:r>
                    <w:rPr>
                      <w:rFonts w:hint="eastAsia"/>
                      <w:szCs w:val="21"/>
                      <w:lang w:val="pt-BR"/>
                    </w:rPr>
                    <w:t>切削液是一种用在金属切削、磨加工过程中，用来冷却和润滑刀具和加工件的工业用液体；密度0.97g/cm</w:t>
                  </w:r>
                  <w:r>
                    <w:rPr>
                      <w:rFonts w:hint="eastAsia"/>
                      <w:szCs w:val="21"/>
                      <w:vertAlign w:val="superscript"/>
                      <w:lang w:val="pt-BR"/>
                    </w:rPr>
                    <w:t>3</w:t>
                  </w:r>
                  <w:r>
                    <w:rPr>
                      <w:rFonts w:hint="eastAsia"/>
                      <w:szCs w:val="21"/>
                      <w:lang w:val="pt-BR"/>
                    </w:rPr>
                    <w:t>，具有良好的冷却、清洗、防锈等特点；无毒无味。</w:t>
                  </w:r>
                </w:p>
              </w:tc>
            </w:tr>
            <w:tr w14:paraId="520AB29C">
              <w:tblPrEx>
                <w:tblBorders>
                  <w:top w:val="single" w:color="auto" w:sz="8" w:space="0"/>
                  <w:left w:val="none" w:color="auto" w:sz="0" w:space="0"/>
                  <w:bottom w:val="single" w:color="auto" w:sz="6"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3" w:type="pct"/>
                  <w:tcBorders>
                    <w:top w:val="single" w:color="auto" w:sz="4" w:space="0"/>
                    <w:left w:val="nil"/>
                    <w:bottom w:val="single" w:color="auto" w:sz="4" w:space="0"/>
                    <w:right w:val="single" w:color="auto" w:sz="4" w:space="0"/>
                  </w:tcBorders>
                  <w:vAlign w:val="center"/>
                </w:tcPr>
                <w:p w14:paraId="520AB299">
                  <w:pPr>
                    <w:jc w:val="center"/>
                    <w:textAlignment w:val="baseline"/>
                    <w:rPr>
                      <w:szCs w:val="21"/>
                    </w:rPr>
                  </w:pPr>
                  <w:r>
                    <w:rPr>
                      <w:rFonts w:hint="eastAsia"/>
                      <w:szCs w:val="21"/>
                    </w:rPr>
                    <w:t>2</w:t>
                  </w:r>
                </w:p>
              </w:tc>
              <w:tc>
                <w:tcPr>
                  <w:tcW w:w="703" w:type="pct"/>
                  <w:tcBorders>
                    <w:top w:val="single" w:color="auto" w:sz="4" w:space="0"/>
                    <w:left w:val="single" w:color="auto" w:sz="4" w:space="0"/>
                    <w:bottom w:val="single" w:color="auto" w:sz="4" w:space="0"/>
                    <w:right w:val="single" w:color="auto" w:sz="4" w:space="0"/>
                  </w:tcBorders>
                  <w:vAlign w:val="center"/>
                </w:tcPr>
                <w:p w14:paraId="520AB29A">
                  <w:pPr>
                    <w:jc w:val="center"/>
                    <w:rPr>
                      <w:szCs w:val="21"/>
                    </w:rPr>
                  </w:pPr>
                  <w:r>
                    <w:rPr>
                      <w:rFonts w:hint="eastAsia"/>
                      <w:szCs w:val="21"/>
                      <w:lang w:val="pt-BR"/>
                    </w:rPr>
                    <w:t>15#航空液压油</w:t>
                  </w:r>
                </w:p>
              </w:tc>
              <w:tc>
                <w:tcPr>
                  <w:tcW w:w="3924" w:type="pct"/>
                  <w:tcBorders>
                    <w:top w:val="single" w:color="auto" w:sz="4" w:space="0"/>
                    <w:left w:val="single" w:color="auto" w:sz="4" w:space="0"/>
                    <w:bottom w:val="single" w:color="auto" w:sz="4" w:space="0"/>
                    <w:right w:val="nil"/>
                  </w:tcBorders>
                  <w:vAlign w:val="center"/>
                </w:tcPr>
                <w:p w14:paraId="520AB29B">
                  <w:pPr>
                    <w:adjustRightInd w:val="0"/>
                    <w:rPr>
                      <w:szCs w:val="21"/>
                      <w:highlight w:val="yellow"/>
                      <w:lang w:val="pt-BR"/>
                    </w:rPr>
                  </w:pPr>
                  <w:r>
                    <w:rPr>
                      <w:szCs w:val="21"/>
                      <w:lang w:val="pt-BR"/>
                    </w:rPr>
                    <w:t>属于石油基液压油，密度0.8g/cm</w:t>
                  </w:r>
                  <w:r>
                    <w:rPr>
                      <w:rFonts w:hint="eastAsia"/>
                      <w:szCs w:val="21"/>
                      <w:vertAlign w:val="superscript"/>
                      <w:lang w:val="pt-BR"/>
                    </w:rPr>
                    <w:t>3</w:t>
                  </w:r>
                  <w:r>
                    <w:rPr>
                      <w:szCs w:val="21"/>
                      <w:lang w:val="pt-BR"/>
                    </w:rPr>
                    <w:t>，红色透明液体，闪点（开口）：≥ 82℃，自燃点：≈235℃（满足航空防火安全要求），凝点：≤ -60℃，低温稳定性：-54℃下无结晶或分层（适应万米高空低温环境）</w:t>
                  </w:r>
                </w:p>
              </w:tc>
            </w:tr>
            <w:tr w14:paraId="520AB2A0">
              <w:tblPrEx>
                <w:tblBorders>
                  <w:top w:val="single" w:color="auto" w:sz="8" w:space="0"/>
                  <w:left w:val="none" w:color="auto" w:sz="0" w:space="0"/>
                  <w:bottom w:val="single" w:color="auto" w:sz="6"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3" w:type="pct"/>
                  <w:tcBorders>
                    <w:top w:val="single" w:color="auto" w:sz="4" w:space="0"/>
                    <w:left w:val="nil"/>
                    <w:bottom w:val="single" w:color="auto" w:sz="4" w:space="0"/>
                    <w:right w:val="single" w:color="auto" w:sz="4" w:space="0"/>
                  </w:tcBorders>
                  <w:vAlign w:val="center"/>
                </w:tcPr>
                <w:p w14:paraId="520AB29D">
                  <w:pPr>
                    <w:jc w:val="center"/>
                    <w:textAlignment w:val="baseline"/>
                    <w:rPr>
                      <w:szCs w:val="21"/>
                    </w:rPr>
                  </w:pPr>
                  <w:r>
                    <w:rPr>
                      <w:rFonts w:hint="eastAsia"/>
                      <w:szCs w:val="21"/>
                    </w:rPr>
                    <w:t>3</w:t>
                  </w:r>
                </w:p>
              </w:tc>
              <w:tc>
                <w:tcPr>
                  <w:tcW w:w="703" w:type="pct"/>
                  <w:tcBorders>
                    <w:top w:val="single" w:color="auto" w:sz="4" w:space="0"/>
                    <w:left w:val="single" w:color="auto" w:sz="4" w:space="0"/>
                    <w:bottom w:val="single" w:color="auto" w:sz="4" w:space="0"/>
                    <w:right w:val="single" w:color="auto" w:sz="4" w:space="0"/>
                  </w:tcBorders>
                  <w:vAlign w:val="center"/>
                </w:tcPr>
                <w:p w14:paraId="520AB29E">
                  <w:pPr>
                    <w:jc w:val="center"/>
                    <w:rPr>
                      <w:szCs w:val="21"/>
                      <w:highlight w:val="yellow"/>
                      <w:lang w:val="pt-BR"/>
                    </w:rPr>
                  </w:pPr>
                  <w:r>
                    <w:rPr>
                      <w:rFonts w:hint="eastAsia"/>
                      <w:szCs w:val="21"/>
                      <w:lang w:val="pt-BR"/>
                    </w:rPr>
                    <w:t>46#高抗磨液压油</w:t>
                  </w:r>
                </w:p>
              </w:tc>
              <w:tc>
                <w:tcPr>
                  <w:tcW w:w="3924" w:type="pct"/>
                  <w:tcBorders>
                    <w:top w:val="single" w:color="auto" w:sz="4" w:space="0"/>
                    <w:left w:val="single" w:color="auto" w:sz="4" w:space="0"/>
                    <w:bottom w:val="single" w:color="auto" w:sz="4" w:space="0"/>
                    <w:right w:val="nil"/>
                  </w:tcBorders>
                  <w:vAlign w:val="center"/>
                </w:tcPr>
                <w:p w14:paraId="520AB29F">
                  <w:pPr>
                    <w:rPr>
                      <w:highlight w:val="yellow"/>
                    </w:rPr>
                  </w:pPr>
                  <w:r>
                    <w:rPr>
                      <w:szCs w:val="21"/>
                    </w:rPr>
                    <w:t>密度0.8</w:t>
                  </w:r>
                  <w:r>
                    <w:rPr>
                      <w:rFonts w:hint="eastAsia"/>
                      <w:szCs w:val="21"/>
                    </w:rPr>
                    <w:t>5</w:t>
                  </w:r>
                  <w:r>
                    <w:rPr>
                      <w:szCs w:val="21"/>
                    </w:rPr>
                    <w:t>g/cm</w:t>
                  </w:r>
                  <w:r>
                    <w:rPr>
                      <w:rFonts w:hint="eastAsia"/>
                      <w:szCs w:val="21"/>
                      <w:vertAlign w:val="superscript"/>
                    </w:rPr>
                    <w:t>3</w:t>
                  </w:r>
                  <w:r>
                    <w:rPr>
                      <w:szCs w:val="21"/>
                    </w:rPr>
                    <w:t>，闪点（开口）：≥200℃，黏度指数：(Ⅵ)</w:t>
                  </w:r>
                  <w:r>
                    <w:rPr>
                      <w:szCs w:val="21"/>
                      <w:shd w:val="clear" w:color="auto" w:fill="FFFFFF"/>
                    </w:rPr>
                    <w:t xml:space="preserve"> </w:t>
                  </w:r>
                  <w:r>
                    <w:rPr>
                      <w:szCs w:val="21"/>
                    </w:rPr>
                    <w:t>≥95（优质品＞130），40℃运动黏度：41.4–50.6mm</w:t>
                  </w:r>
                  <w:r>
                    <w:rPr>
                      <w:rFonts w:hint="eastAsia"/>
                      <w:szCs w:val="21"/>
                      <w:vertAlign w:val="superscript"/>
                    </w:rPr>
                    <w:t>2</w:t>
                  </w:r>
                  <w:r>
                    <w:rPr>
                      <w:szCs w:val="21"/>
                    </w:rPr>
                    <w:t>/s</w:t>
                  </w:r>
                </w:p>
              </w:tc>
            </w:tr>
            <w:tr w14:paraId="520AB2A4">
              <w:tblPrEx>
                <w:tblBorders>
                  <w:top w:val="single" w:color="auto" w:sz="8" w:space="0"/>
                  <w:left w:val="none" w:color="auto" w:sz="0" w:space="0"/>
                  <w:bottom w:val="single" w:color="auto" w:sz="6"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3" w:type="pct"/>
                  <w:tcBorders>
                    <w:top w:val="single" w:color="auto" w:sz="4" w:space="0"/>
                    <w:left w:val="nil"/>
                    <w:bottom w:val="single" w:color="auto" w:sz="4" w:space="0"/>
                    <w:right w:val="single" w:color="auto" w:sz="4" w:space="0"/>
                  </w:tcBorders>
                  <w:vAlign w:val="center"/>
                </w:tcPr>
                <w:p w14:paraId="520AB2A1">
                  <w:pPr>
                    <w:jc w:val="center"/>
                    <w:textAlignment w:val="baseline"/>
                    <w:rPr>
                      <w:szCs w:val="21"/>
                    </w:rPr>
                  </w:pPr>
                  <w:r>
                    <w:rPr>
                      <w:rFonts w:hint="eastAsia"/>
                      <w:szCs w:val="21"/>
                    </w:rPr>
                    <w:t>4</w:t>
                  </w:r>
                </w:p>
              </w:tc>
              <w:tc>
                <w:tcPr>
                  <w:tcW w:w="703" w:type="pct"/>
                  <w:tcBorders>
                    <w:top w:val="single" w:color="auto" w:sz="4" w:space="0"/>
                    <w:left w:val="single" w:color="auto" w:sz="4" w:space="0"/>
                    <w:bottom w:val="single" w:color="auto" w:sz="4" w:space="0"/>
                    <w:right w:val="single" w:color="auto" w:sz="4" w:space="0"/>
                  </w:tcBorders>
                  <w:vAlign w:val="center"/>
                </w:tcPr>
                <w:p w14:paraId="520AB2A2">
                  <w:pPr>
                    <w:jc w:val="center"/>
                    <w:rPr>
                      <w:szCs w:val="21"/>
                      <w:highlight w:val="yellow"/>
                      <w:lang w:val="pt-BR"/>
                    </w:rPr>
                  </w:pPr>
                  <w:r>
                    <w:rPr>
                      <w:rFonts w:hint="eastAsia"/>
                      <w:szCs w:val="21"/>
                      <w:lang w:val="pt-BR"/>
                    </w:rPr>
                    <w:t>滑油</w:t>
                  </w:r>
                </w:p>
              </w:tc>
              <w:tc>
                <w:tcPr>
                  <w:tcW w:w="3924" w:type="pct"/>
                  <w:tcBorders>
                    <w:top w:val="single" w:color="auto" w:sz="4" w:space="0"/>
                    <w:left w:val="single" w:color="auto" w:sz="4" w:space="0"/>
                    <w:bottom w:val="single" w:color="auto" w:sz="4" w:space="0"/>
                    <w:right w:val="nil"/>
                  </w:tcBorders>
                  <w:vAlign w:val="center"/>
                </w:tcPr>
                <w:p w14:paraId="520AB2A3">
                  <w:pPr>
                    <w:rPr>
                      <w:highlight w:val="yellow"/>
                    </w:rPr>
                  </w:pPr>
                  <w:r>
                    <w:t>最高使用温度260℃，-54℃泵送性：8200 cP，积碳倾向（热管）：3 mg/100mL</w:t>
                  </w:r>
                  <w:r>
                    <w:rPr>
                      <w:rFonts w:hint="eastAsia"/>
                    </w:rPr>
                    <w:t>，</w:t>
                  </w:r>
                  <w:r>
                    <w:t>氧化寿命（RBOT）</w:t>
                  </w:r>
                  <w:r>
                    <w:rPr>
                      <w:rFonts w:hint="eastAsia"/>
                    </w:rPr>
                    <w:t>：</w:t>
                  </w:r>
                  <w:r>
                    <w:t>650min</w:t>
                  </w:r>
                  <w:r>
                    <w:rPr>
                      <w:rFonts w:hint="eastAsia"/>
                    </w:rPr>
                    <w:t>，</w:t>
                  </w:r>
                  <w:r>
                    <w:rPr>
                      <w:szCs w:val="21"/>
                    </w:rPr>
                    <w:t>闪点（开口）：≥</w:t>
                  </w:r>
                  <w:r>
                    <w:rPr>
                      <w:rFonts w:hint="eastAsia"/>
                      <w:szCs w:val="21"/>
                    </w:rPr>
                    <w:t>238</w:t>
                  </w:r>
                  <w:r>
                    <w:rPr>
                      <w:szCs w:val="21"/>
                    </w:rPr>
                    <w:t>℃</w:t>
                  </w:r>
                  <w:r>
                    <w:rPr>
                      <w:rFonts w:hint="eastAsia"/>
                      <w:szCs w:val="21"/>
                    </w:rPr>
                    <w:t>。</w:t>
                  </w:r>
                </w:p>
              </w:tc>
            </w:tr>
            <w:tr w14:paraId="520AB2A8">
              <w:tblPrEx>
                <w:tblBorders>
                  <w:top w:val="single" w:color="auto" w:sz="8" w:space="0"/>
                  <w:left w:val="none" w:color="auto" w:sz="0" w:space="0"/>
                  <w:bottom w:val="single" w:color="auto" w:sz="6"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3" w:type="pct"/>
                  <w:tcBorders>
                    <w:top w:val="single" w:color="auto" w:sz="4" w:space="0"/>
                    <w:left w:val="nil"/>
                    <w:bottom w:val="single" w:color="auto" w:sz="4" w:space="0"/>
                    <w:right w:val="single" w:color="auto" w:sz="4" w:space="0"/>
                  </w:tcBorders>
                  <w:vAlign w:val="center"/>
                </w:tcPr>
                <w:p w14:paraId="520AB2A5">
                  <w:pPr>
                    <w:jc w:val="center"/>
                    <w:textAlignment w:val="baseline"/>
                    <w:rPr>
                      <w:szCs w:val="21"/>
                    </w:rPr>
                  </w:pPr>
                  <w:r>
                    <w:rPr>
                      <w:rFonts w:hint="eastAsia"/>
                      <w:szCs w:val="21"/>
                    </w:rPr>
                    <w:t>5</w:t>
                  </w:r>
                </w:p>
              </w:tc>
              <w:tc>
                <w:tcPr>
                  <w:tcW w:w="703" w:type="pct"/>
                  <w:tcBorders>
                    <w:top w:val="single" w:color="auto" w:sz="4" w:space="0"/>
                    <w:left w:val="single" w:color="auto" w:sz="4" w:space="0"/>
                    <w:bottom w:val="single" w:color="auto" w:sz="4" w:space="0"/>
                    <w:right w:val="single" w:color="auto" w:sz="4" w:space="0"/>
                  </w:tcBorders>
                  <w:vAlign w:val="center"/>
                </w:tcPr>
                <w:p w14:paraId="520AB2A6">
                  <w:pPr>
                    <w:jc w:val="center"/>
                    <w:rPr>
                      <w:szCs w:val="21"/>
                      <w:lang w:val="pt-BR"/>
                    </w:rPr>
                  </w:pPr>
                  <w:r>
                    <w:rPr>
                      <w:rFonts w:hint="eastAsia"/>
                      <w:szCs w:val="21"/>
                      <w:lang w:val="pt-BR"/>
                    </w:rPr>
                    <w:t>乙二醇</w:t>
                  </w:r>
                </w:p>
              </w:tc>
              <w:tc>
                <w:tcPr>
                  <w:tcW w:w="3924" w:type="pct"/>
                  <w:tcBorders>
                    <w:top w:val="single" w:color="auto" w:sz="4" w:space="0"/>
                    <w:left w:val="single" w:color="auto" w:sz="4" w:space="0"/>
                    <w:bottom w:val="single" w:color="auto" w:sz="4" w:space="0"/>
                    <w:right w:val="nil"/>
                  </w:tcBorders>
                  <w:vAlign w:val="center"/>
                </w:tcPr>
                <w:p w14:paraId="520AB2A7">
                  <w:pPr>
                    <w:rPr>
                      <w:highlight w:val="yellow"/>
                    </w:rPr>
                  </w:pPr>
                  <w:r>
                    <w:rPr>
                      <w:rFonts w:hint="eastAsia"/>
                    </w:rPr>
                    <w:t>俗称甘醇，又称为1，2-亚乙基二醇、乙撑二醇，</w:t>
                  </w:r>
                  <w:r>
                    <w:t>化学式为C</w:t>
                  </w:r>
                  <w:r>
                    <w:rPr>
                      <w:vertAlign w:val="subscript"/>
                    </w:rPr>
                    <w:t>2</w:t>
                  </w:r>
                  <w:r>
                    <w:t>H</w:t>
                  </w:r>
                  <w:r>
                    <w:rPr>
                      <w:vertAlign w:val="subscript"/>
                    </w:rPr>
                    <w:t>6</w:t>
                  </w:r>
                  <w:r>
                    <w:t>O</w:t>
                  </w:r>
                  <w:r>
                    <w:rPr>
                      <w:vertAlign w:val="subscript"/>
                    </w:rPr>
                    <w:t>2</w:t>
                  </w:r>
                  <w:r>
                    <w:rPr>
                      <w:rFonts w:hint="eastAsia"/>
                    </w:rPr>
                    <w:t>，</w:t>
                  </w:r>
                  <w:r>
                    <w:t>分子量为62.07</w:t>
                  </w:r>
                  <w:r>
                    <w:rPr>
                      <w:rFonts w:hint="eastAsia"/>
                    </w:rPr>
                    <w:t>，</w:t>
                  </w:r>
                  <w:r>
                    <w:t>通常情况下是一种无色透明黏稠液体，味甜，具有吸湿性。熔点为-12.9℃，沸点为197.3℃，闪点为111℃，密度是1.1</w:t>
                  </w:r>
                  <w:r>
                    <w:rPr>
                      <w:rFonts w:hint="eastAsia"/>
                    </w:rPr>
                    <w:t>1</w:t>
                  </w:r>
                  <w:r>
                    <w:t>3g/m</w:t>
                  </w:r>
                  <w:r>
                    <w:rPr>
                      <w:rFonts w:hint="eastAsia"/>
                    </w:rPr>
                    <w:t>L，微溶于乙醚，几乎不溶于苯及其同系物、氯代烃和石油醚，与水、低级脂肪族醇、甘油、乙酸、丙酮及其他类似酮类、醛类、吡啶等混溶。接触或吸入乙二醇会对皮肤、鼻腔和喉咙造成刺激作用。</w:t>
                  </w:r>
                  <w:r>
                    <w:fldChar w:fldCharType="begin"/>
                  </w:r>
                  <w:r>
                    <w:instrText xml:space="preserve"> HYPERLINK "https://baike.baidu.com/item/%E6%80%A5%E6%80%A7%E6%AF%92%E6%80%A7/6198587?fromModule=lemma_inlink" \t "_blank" </w:instrText>
                  </w:r>
                  <w:r>
                    <w:fldChar w:fldCharType="separate"/>
                  </w:r>
                  <w:r>
                    <w:rPr>
                      <w:rStyle w:val="22"/>
                      <w:color w:val="auto"/>
                    </w:rPr>
                    <w:t>急性毒性</w:t>
                  </w:r>
                  <w:r>
                    <w:rPr>
                      <w:rStyle w:val="22"/>
                      <w:color w:val="auto"/>
                    </w:rPr>
                    <w:fldChar w:fldCharType="end"/>
                  </w:r>
                  <w:r>
                    <w:t>：LD50：8.0～15.3g/kg(小鼠经口)；5.9～13.4g/kg(</w:t>
                  </w:r>
                  <w:r>
                    <w:fldChar w:fldCharType="begin"/>
                  </w:r>
                  <w:r>
                    <w:instrText xml:space="preserve"> HYPERLINK "https://baike.baidu.com/item/%E5%A4%A7%E9%BC%A0/3721233?fromModule=lemma_inlink" \t "_blank" </w:instrText>
                  </w:r>
                  <w:r>
                    <w:fldChar w:fldCharType="separate"/>
                  </w:r>
                  <w:r>
                    <w:rPr>
                      <w:rStyle w:val="22"/>
                      <w:color w:val="auto"/>
                    </w:rPr>
                    <w:t>大鼠</w:t>
                  </w:r>
                  <w:r>
                    <w:rPr>
                      <w:rStyle w:val="22"/>
                      <w:color w:val="auto"/>
                    </w:rPr>
                    <w:fldChar w:fldCharType="end"/>
                  </w:r>
                  <w:r>
                    <w:t>经口)</w:t>
                  </w:r>
                </w:p>
              </w:tc>
            </w:tr>
            <w:tr w14:paraId="520AB2AC">
              <w:tblPrEx>
                <w:tblBorders>
                  <w:top w:val="single" w:color="auto" w:sz="8" w:space="0"/>
                  <w:left w:val="none" w:color="auto" w:sz="0" w:space="0"/>
                  <w:bottom w:val="single" w:color="auto" w:sz="6"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3" w:type="pct"/>
                  <w:tcBorders>
                    <w:top w:val="single" w:color="auto" w:sz="4" w:space="0"/>
                    <w:left w:val="nil"/>
                    <w:bottom w:val="single" w:color="auto" w:sz="4" w:space="0"/>
                    <w:right w:val="single" w:color="auto" w:sz="4" w:space="0"/>
                  </w:tcBorders>
                  <w:vAlign w:val="center"/>
                </w:tcPr>
                <w:p w14:paraId="520AB2A9">
                  <w:pPr>
                    <w:jc w:val="center"/>
                    <w:textAlignment w:val="baseline"/>
                    <w:rPr>
                      <w:szCs w:val="21"/>
                    </w:rPr>
                  </w:pPr>
                  <w:r>
                    <w:rPr>
                      <w:rFonts w:hint="eastAsia"/>
                      <w:szCs w:val="21"/>
                    </w:rPr>
                    <w:t>6</w:t>
                  </w:r>
                </w:p>
              </w:tc>
              <w:tc>
                <w:tcPr>
                  <w:tcW w:w="703" w:type="pct"/>
                  <w:tcBorders>
                    <w:top w:val="single" w:color="auto" w:sz="4" w:space="0"/>
                    <w:left w:val="single" w:color="auto" w:sz="4" w:space="0"/>
                    <w:bottom w:val="single" w:color="auto" w:sz="4" w:space="0"/>
                    <w:right w:val="single" w:color="auto" w:sz="4" w:space="0"/>
                  </w:tcBorders>
                  <w:vAlign w:val="center"/>
                </w:tcPr>
                <w:p w14:paraId="520AB2AA">
                  <w:pPr>
                    <w:jc w:val="center"/>
                    <w:rPr>
                      <w:szCs w:val="21"/>
                      <w:lang w:val="pt-BR"/>
                    </w:rPr>
                  </w:pPr>
                  <w:r>
                    <w:rPr>
                      <w:rFonts w:hint="eastAsia"/>
                      <w:szCs w:val="21"/>
                      <w:lang w:val="pt-BR"/>
                    </w:rPr>
                    <w:t>氟利昂（R134a）</w:t>
                  </w:r>
                </w:p>
              </w:tc>
              <w:tc>
                <w:tcPr>
                  <w:tcW w:w="3924" w:type="pct"/>
                  <w:tcBorders>
                    <w:top w:val="single" w:color="auto" w:sz="4" w:space="0"/>
                    <w:left w:val="single" w:color="auto" w:sz="4" w:space="0"/>
                    <w:bottom w:val="single" w:color="auto" w:sz="4" w:space="0"/>
                    <w:right w:val="nil"/>
                  </w:tcBorders>
                  <w:vAlign w:val="center"/>
                </w:tcPr>
                <w:p w14:paraId="520AB2AB">
                  <w:pPr>
                    <w:rPr>
                      <w:highlight w:val="yellow"/>
                      <w:lang w:val="pt-BR"/>
                    </w:rPr>
                  </w:pPr>
                  <w:r>
                    <w:t>四氟乙烷</w:t>
                  </w:r>
                  <w:r>
                    <w:rPr>
                      <w:lang w:val="pt-BR"/>
                    </w:rPr>
                    <w:t>，</w:t>
                  </w:r>
                  <w:r>
                    <w:t>属于</w:t>
                  </w:r>
                  <w:r>
                    <w:rPr>
                      <w:lang w:val="pt-BR"/>
                    </w:rPr>
                    <w:t>HFC</w:t>
                  </w:r>
                  <w:r>
                    <w:t>类物质</w:t>
                  </w:r>
                  <w:r>
                    <w:rPr>
                      <w:lang w:val="pt-BR"/>
                    </w:rPr>
                    <w:t>（</w:t>
                  </w:r>
                  <w:r>
                    <w:t>非</w:t>
                  </w:r>
                  <w:r>
                    <w:rPr>
                      <w:lang w:val="pt-BR"/>
                    </w:rPr>
                    <w:t>ODS</w:t>
                  </w:r>
                  <w:r>
                    <w:t>物质</w:t>
                  </w:r>
                  <w:r>
                    <w:rPr>
                      <w:lang w:val="pt-BR"/>
                    </w:rPr>
                    <w:t>Ozone-depleting Substances）——</w:t>
                  </w:r>
                  <w:r>
                    <w:t>因此完全不破坏臭氧层</w:t>
                  </w:r>
                  <w:r>
                    <w:rPr>
                      <w:lang w:val="pt-BR"/>
                    </w:rPr>
                    <w:t>，</w:t>
                  </w:r>
                  <w:r>
                    <w:t>是当前世界绝大多数国家认可并推荐使用的环保制冷剂</w:t>
                  </w:r>
                  <w:r>
                    <w:rPr>
                      <w:lang w:val="pt-BR"/>
                    </w:rPr>
                    <w:t>，</w:t>
                  </w:r>
                  <w:r>
                    <w:t>也是主流的环保制冷剂</w:t>
                  </w:r>
                  <w:r>
                    <w:rPr>
                      <w:lang w:val="pt-BR"/>
                    </w:rPr>
                    <w:t>，</w:t>
                  </w:r>
                  <w:r>
                    <w:t>广泛用于新制冷空调设备上的初装和维修过程中的再添加。气体，轻微的特殊味。不溶于水(67mg/L，25℃)，溶于醚。分子量102.0，沸点（1atm）：-26.2℃，熔点：一般认为-101℃，临界温度：101.1℃；临界密度：0.511g·cm</w:t>
                  </w:r>
                  <w:r>
                    <w:rPr>
                      <w:vertAlign w:val="superscript"/>
                    </w:rPr>
                    <w:t>-3</w:t>
                  </w:r>
                  <w:r>
                    <w:t>，闪点：351℉，临界压力：4070kPa，饱和蒸气压（25℃）：661.9kPa</w:t>
                  </w:r>
                  <w:r>
                    <w:rPr>
                      <w:rFonts w:hint="eastAsia"/>
                    </w:rPr>
                    <w:t>。</w:t>
                  </w:r>
                </w:p>
              </w:tc>
            </w:tr>
          </w:tbl>
          <w:p w14:paraId="520AB2AD">
            <w:pPr>
              <w:adjustRightInd w:val="0"/>
              <w:snapToGrid w:val="0"/>
              <w:spacing w:line="460" w:lineRule="exact"/>
              <w:ind w:firstLine="482" w:firstLineChars="200"/>
              <w:rPr>
                <w:b/>
                <w:sz w:val="24"/>
                <w:lang w:val="pt-BR"/>
              </w:rPr>
            </w:pPr>
            <w:r>
              <w:rPr>
                <w:rFonts w:hint="eastAsia"/>
                <w:b/>
                <w:sz w:val="24"/>
                <w:lang w:val="pt-BR"/>
              </w:rPr>
              <w:t>6</w:t>
            </w:r>
            <w:r>
              <w:rPr>
                <w:b/>
                <w:sz w:val="24"/>
              </w:rPr>
              <w:t>、</w:t>
            </w:r>
            <w:r>
              <w:rPr>
                <w:rFonts w:hint="eastAsia"/>
                <w:b/>
                <w:sz w:val="24"/>
              </w:rPr>
              <w:t>项目水平衡图</w:t>
            </w:r>
          </w:p>
          <w:p w14:paraId="520AB2AE">
            <w:pPr>
              <w:adjustRightInd w:val="0"/>
              <w:snapToGrid w:val="0"/>
              <w:spacing w:line="460" w:lineRule="exact"/>
              <w:ind w:firstLine="480" w:firstLineChars="200"/>
              <w:rPr>
                <w:bCs/>
                <w:sz w:val="24"/>
              </w:rPr>
            </w:pPr>
            <w:r>
              <w:rPr>
                <w:rFonts w:hint="eastAsia"/>
                <w:bCs/>
                <w:sz w:val="24"/>
              </w:rPr>
              <w:t>本项目建设路厂区需要员工12人，解放路厂区需要8人，全部从现有员工内调剂，不新增员工，因此本项目不新增生活污水，仅建设路厂区新增纯水制备废水和蒸汽发生器排污水，故本项目水平衡图和本项目建成后建设路厂区、解放路厂区水平衡情况如下。</w:t>
            </w:r>
          </w:p>
          <w:p w14:paraId="520AB2AF">
            <w:pPr>
              <w:adjustRightInd w:val="0"/>
              <w:snapToGrid w:val="0"/>
              <w:jc w:val="center"/>
              <w:rPr>
                <w:rFonts w:eastAsia="黑体"/>
                <w:bCs/>
                <w:sz w:val="24"/>
                <w:highlight w:val="yellow"/>
              </w:rPr>
            </w:pPr>
            <w:r>
              <w:drawing>
                <wp:inline distT="0" distB="0" distL="0" distR="0">
                  <wp:extent cx="4914265" cy="1656715"/>
                  <wp:effectExtent l="0" t="0" r="635" b="635"/>
                  <wp:docPr id="11535675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567511" name="图片 1"/>
                          <pic:cNvPicPr>
                            <a:picLocks noChangeAspect="1"/>
                          </pic:cNvPicPr>
                        </pic:nvPicPr>
                        <pic:blipFill>
                          <a:blip r:embed="rId15"/>
                          <a:stretch>
                            <a:fillRect/>
                          </a:stretch>
                        </pic:blipFill>
                        <pic:spPr>
                          <a:xfrm>
                            <a:off x="0" y="0"/>
                            <a:ext cx="4914265" cy="1656715"/>
                          </a:xfrm>
                          <a:prstGeom prst="rect">
                            <a:avLst/>
                          </a:prstGeom>
                        </pic:spPr>
                      </pic:pic>
                    </a:graphicData>
                  </a:graphic>
                </wp:inline>
              </w:drawing>
            </w:r>
          </w:p>
          <w:p w14:paraId="520AB2B0">
            <w:pPr>
              <w:adjustRightInd w:val="0"/>
              <w:snapToGrid w:val="0"/>
              <w:jc w:val="center"/>
              <w:rPr>
                <w:rFonts w:eastAsia="黑体"/>
                <w:bCs/>
                <w:sz w:val="24"/>
              </w:rPr>
            </w:pPr>
            <w:r>
              <w:rPr>
                <w:rFonts w:hint="eastAsia" w:eastAsia="黑体"/>
                <w:bCs/>
                <w:sz w:val="24"/>
              </w:rPr>
              <w:t>图3</w:t>
            </w:r>
            <w:r>
              <w:rPr>
                <w:rFonts w:eastAsia="黑体"/>
                <w:bCs/>
                <w:sz w:val="24"/>
              </w:rPr>
              <w:t xml:space="preserve">  </w:t>
            </w:r>
            <w:r>
              <w:rPr>
                <w:rFonts w:hint="eastAsia" w:eastAsia="黑体"/>
                <w:bCs/>
                <w:sz w:val="24"/>
              </w:rPr>
              <w:t>本项目水平衡图</w:t>
            </w:r>
            <w:r>
              <w:rPr>
                <w:rFonts w:eastAsia="黑体"/>
                <w:bCs/>
                <w:sz w:val="24"/>
              </w:rPr>
              <w:t xml:space="preserve">  </w:t>
            </w:r>
            <w:r>
              <w:rPr>
                <w:rFonts w:hint="eastAsia" w:eastAsia="黑体"/>
                <w:bCs/>
                <w:sz w:val="24"/>
              </w:rPr>
              <w:t>单位：m</w:t>
            </w:r>
            <w:r>
              <w:rPr>
                <w:rFonts w:hint="eastAsia" w:eastAsia="黑体"/>
                <w:bCs/>
                <w:sz w:val="24"/>
                <w:vertAlign w:val="superscript"/>
              </w:rPr>
              <w:t>3</w:t>
            </w:r>
            <w:r>
              <w:rPr>
                <w:rFonts w:eastAsia="黑体"/>
                <w:bCs/>
                <w:sz w:val="24"/>
              </w:rPr>
              <w:t>/d</w:t>
            </w:r>
          </w:p>
          <w:p w14:paraId="2E4C465D">
            <w:pPr>
              <w:adjustRightInd w:val="0"/>
              <w:snapToGrid w:val="0"/>
              <w:jc w:val="center"/>
              <w:rPr>
                <w:rFonts w:eastAsia="黑体"/>
                <w:bCs/>
                <w:sz w:val="24"/>
              </w:rPr>
            </w:pPr>
          </w:p>
          <w:p w14:paraId="1B4BFFE6">
            <w:pPr>
              <w:adjustRightInd w:val="0"/>
              <w:snapToGrid w:val="0"/>
              <w:jc w:val="center"/>
              <w:rPr>
                <w:rFonts w:eastAsia="黑体"/>
                <w:bCs/>
                <w:sz w:val="24"/>
              </w:rPr>
            </w:pPr>
          </w:p>
          <w:p w14:paraId="4901DDBD">
            <w:pPr>
              <w:adjustRightInd w:val="0"/>
              <w:snapToGrid w:val="0"/>
              <w:jc w:val="center"/>
              <w:rPr>
                <w:rFonts w:eastAsia="黑体"/>
                <w:bCs/>
                <w:sz w:val="24"/>
              </w:rPr>
            </w:pPr>
          </w:p>
          <w:p w14:paraId="2B6D5EFA">
            <w:pPr>
              <w:adjustRightInd w:val="0"/>
              <w:snapToGrid w:val="0"/>
              <w:jc w:val="center"/>
              <w:rPr>
                <w:rFonts w:eastAsia="黑体"/>
                <w:bCs/>
                <w:sz w:val="24"/>
              </w:rPr>
            </w:pPr>
          </w:p>
          <w:p w14:paraId="68C0DA8C">
            <w:pPr>
              <w:adjustRightInd w:val="0"/>
              <w:snapToGrid w:val="0"/>
              <w:jc w:val="center"/>
              <w:rPr>
                <w:rFonts w:eastAsia="黑体"/>
                <w:bCs/>
                <w:sz w:val="24"/>
              </w:rPr>
            </w:pPr>
          </w:p>
          <w:p w14:paraId="42B12DEA">
            <w:pPr>
              <w:adjustRightInd w:val="0"/>
              <w:snapToGrid w:val="0"/>
              <w:jc w:val="center"/>
              <w:rPr>
                <w:rFonts w:eastAsia="黑体"/>
                <w:bCs/>
                <w:sz w:val="24"/>
              </w:rPr>
            </w:pPr>
          </w:p>
          <w:p w14:paraId="56BACC99">
            <w:pPr>
              <w:adjustRightInd w:val="0"/>
              <w:snapToGrid w:val="0"/>
              <w:jc w:val="center"/>
              <w:rPr>
                <w:rFonts w:eastAsia="黑体"/>
                <w:bCs/>
                <w:sz w:val="24"/>
              </w:rPr>
            </w:pPr>
          </w:p>
          <w:p w14:paraId="7D484841">
            <w:pPr>
              <w:adjustRightInd w:val="0"/>
              <w:snapToGrid w:val="0"/>
              <w:jc w:val="center"/>
              <w:rPr>
                <w:rFonts w:eastAsia="黑体"/>
                <w:bCs/>
                <w:sz w:val="24"/>
              </w:rPr>
            </w:pPr>
          </w:p>
          <w:p w14:paraId="4283A2FE">
            <w:pPr>
              <w:adjustRightInd w:val="0"/>
              <w:snapToGrid w:val="0"/>
              <w:jc w:val="center"/>
              <w:rPr>
                <w:rFonts w:eastAsia="黑体"/>
                <w:bCs/>
                <w:sz w:val="24"/>
              </w:rPr>
            </w:pPr>
          </w:p>
          <w:p w14:paraId="4F10BB45">
            <w:pPr>
              <w:adjustRightInd w:val="0"/>
              <w:snapToGrid w:val="0"/>
              <w:jc w:val="center"/>
              <w:rPr>
                <w:rFonts w:eastAsia="黑体"/>
                <w:bCs/>
                <w:sz w:val="24"/>
              </w:rPr>
            </w:pPr>
          </w:p>
          <w:p w14:paraId="4FED2D78">
            <w:pPr>
              <w:adjustRightInd w:val="0"/>
              <w:snapToGrid w:val="0"/>
              <w:jc w:val="center"/>
              <w:rPr>
                <w:rFonts w:eastAsia="黑体"/>
                <w:bCs/>
                <w:sz w:val="24"/>
              </w:rPr>
            </w:pPr>
          </w:p>
          <w:p w14:paraId="58F6218B">
            <w:pPr>
              <w:adjustRightInd w:val="0"/>
              <w:snapToGrid w:val="0"/>
              <w:jc w:val="center"/>
              <w:rPr>
                <w:rFonts w:eastAsia="黑体"/>
                <w:bCs/>
                <w:sz w:val="24"/>
              </w:rPr>
            </w:pPr>
          </w:p>
          <w:p w14:paraId="7571C03D">
            <w:pPr>
              <w:adjustRightInd w:val="0"/>
              <w:snapToGrid w:val="0"/>
              <w:jc w:val="center"/>
              <w:rPr>
                <w:rFonts w:eastAsia="黑体"/>
                <w:bCs/>
                <w:sz w:val="24"/>
              </w:rPr>
            </w:pPr>
          </w:p>
          <w:p w14:paraId="27E8CFD5">
            <w:pPr>
              <w:adjustRightInd w:val="0"/>
              <w:snapToGrid w:val="0"/>
              <w:jc w:val="center"/>
              <w:rPr>
                <w:rFonts w:eastAsia="黑体"/>
                <w:bCs/>
                <w:sz w:val="24"/>
              </w:rPr>
            </w:pPr>
          </w:p>
          <w:p w14:paraId="2979F8F8">
            <w:pPr>
              <w:adjustRightInd w:val="0"/>
              <w:snapToGrid w:val="0"/>
              <w:jc w:val="center"/>
              <w:rPr>
                <w:rFonts w:eastAsia="黑体"/>
                <w:bCs/>
                <w:sz w:val="24"/>
              </w:rPr>
            </w:pPr>
          </w:p>
          <w:p w14:paraId="47510CB9">
            <w:pPr>
              <w:adjustRightInd w:val="0"/>
              <w:snapToGrid w:val="0"/>
              <w:jc w:val="center"/>
              <w:rPr>
                <w:rFonts w:eastAsia="黑体"/>
                <w:bCs/>
                <w:sz w:val="24"/>
              </w:rPr>
            </w:pPr>
          </w:p>
          <w:p w14:paraId="0B61EBC1">
            <w:pPr>
              <w:adjustRightInd w:val="0"/>
              <w:snapToGrid w:val="0"/>
              <w:jc w:val="center"/>
              <w:rPr>
                <w:rFonts w:eastAsia="黑体"/>
                <w:bCs/>
                <w:sz w:val="24"/>
              </w:rPr>
            </w:pPr>
          </w:p>
          <w:p w14:paraId="469DF6B9">
            <w:pPr>
              <w:adjustRightInd w:val="0"/>
              <w:snapToGrid w:val="0"/>
              <w:jc w:val="center"/>
              <w:rPr>
                <w:rFonts w:eastAsia="黑体"/>
                <w:bCs/>
                <w:sz w:val="24"/>
              </w:rPr>
            </w:pPr>
          </w:p>
          <w:p w14:paraId="350EE61C">
            <w:pPr>
              <w:adjustRightInd w:val="0"/>
              <w:snapToGrid w:val="0"/>
              <w:jc w:val="center"/>
              <w:rPr>
                <w:rFonts w:eastAsia="黑体"/>
                <w:bCs/>
                <w:sz w:val="24"/>
              </w:rPr>
            </w:pPr>
          </w:p>
          <w:p w14:paraId="179E7DEA">
            <w:pPr>
              <w:adjustRightInd w:val="0"/>
              <w:snapToGrid w:val="0"/>
              <w:jc w:val="center"/>
              <w:rPr>
                <w:rFonts w:eastAsia="黑体"/>
                <w:bCs/>
                <w:sz w:val="24"/>
              </w:rPr>
            </w:pPr>
          </w:p>
          <w:p w14:paraId="36514743">
            <w:pPr>
              <w:adjustRightInd w:val="0"/>
              <w:snapToGrid w:val="0"/>
              <w:jc w:val="center"/>
              <w:rPr>
                <w:rFonts w:eastAsia="黑体"/>
                <w:bCs/>
                <w:sz w:val="24"/>
              </w:rPr>
            </w:pPr>
          </w:p>
          <w:p w14:paraId="6727933B">
            <w:pPr>
              <w:adjustRightInd w:val="0"/>
              <w:snapToGrid w:val="0"/>
              <w:jc w:val="center"/>
              <w:rPr>
                <w:rFonts w:eastAsia="黑体"/>
                <w:bCs/>
                <w:sz w:val="24"/>
              </w:rPr>
            </w:pPr>
          </w:p>
          <w:p w14:paraId="7448199E">
            <w:pPr>
              <w:adjustRightInd w:val="0"/>
              <w:snapToGrid w:val="0"/>
              <w:jc w:val="center"/>
              <w:rPr>
                <w:rFonts w:eastAsia="黑体"/>
                <w:bCs/>
                <w:sz w:val="24"/>
              </w:rPr>
            </w:pPr>
          </w:p>
          <w:p w14:paraId="0D0BC4C7">
            <w:pPr>
              <w:adjustRightInd w:val="0"/>
              <w:snapToGrid w:val="0"/>
              <w:jc w:val="center"/>
              <w:rPr>
                <w:rFonts w:eastAsia="黑体"/>
                <w:bCs/>
                <w:sz w:val="24"/>
              </w:rPr>
            </w:pPr>
          </w:p>
          <w:p w14:paraId="1788BBDF">
            <w:pPr>
              <w:adjustRightInd w:val="0"/>
              <w:snapToGrid w:val="0"/>
              <w:jc w:val="center"/>
              <w:rPr>
                <w:rFonts w:eastAsia="黑体"/>
                <w:bCs/>
                <w:sz w:val="24"/>
              </w:rPr>
            </w:pPr>
          </w:p>
          <w:p w14:paraId="739C089D">
            <w:pPr>
              <w:adjustRightInd w:val="0"/>
              <w:snapToGrid w:val="0"/>
              <w:jc w:val="center"/>
              <w:rPr>
                <w:rFonts w:eastAsia="黑体"/>
                <w:bCs/>
                <w:sz w:val="24"/>
              </w:rPr>
            </w:pPr>
          </w:p>
          <w:p w14:paraId="4556F565">
            <w:pPr>
              <w:adjustRightInd w:val="0"/>
              <w:snapToGrid w:val="0"/>
              <w:jc w:val="center"/>
              <w:rPr>
                <w:rFonts w:eastAsia="黑体"/>
                <w:bCs/>
                <w:sz w:val="24"/>
              </w:rPr>
            </w:pPr>
          </w:p>
          <w:p w14:paraId="520AB2B1">
            <w:pPr>
              <w:adjustRightInd w:val="0"/>
              <w:snapToGrid w:val="0"/>
              <w:jc w:val="center"/>
              <w:rPr>
                <w:rFonts w:eastAsia="黑体"/>
                <w:bCs/>
                <w:sz w:val="24"/>
                <w:highlight w:val="yellow"/>
              </w:rPr>
            </w:pPr>
            <w:r>
              <w:drawing>
                <wp:inline distT="0" distB="0" distL="0" distR="0">
                  <wp:extent cx="5123815" cy="6611620"/>
                  <wp:effectExtent l="0" t="0" r="635" b="17780"/>
                  <wp:docPr id="56170710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707100" name="图片 1"/>
                          <pic:cNvPicPr>
                            <a:picLocks noChangeAspect="1"/>
                          </pic:cNvPicPr>
                        </pic:nvPicPr>
                        <pic:blipFill>
                          <a:blip r:embed="rId16"/>
                          <a:stretch>
                            <a:fillRect/>
                          </a:stretch>
                        </pic:blipFill>
                        <pic:spPr>
                          <a:xfrm>
                            <a:off x="0" y="0"/>
                            <a:ext cx="5123815" cy="6611620"/>
                          </a:xfrm>
                          <a:prstGeom prst="rect">
                            <a:avLst/>
                          </a:prstGeom>
                        </pic:spPr>
                      </pic:pic>
                    </a:graphicData>
                  </a:graphic>
                </wp:inline>
              </w:drawing>
            </w:r>
          </w:p>
          <w:p w14:paraId="520AB2B2">
            <w:pPr>
              <w:adjustRightInd w:val="0"/>
              <w:snapToGrid w:val="0"/>
              <w:jc w:val="center"/>
              <w:rPr>
                <w:bCs/>
                <w:sz w:val="24"/>
              </w:rPr>
            </w:pPr>
            <w:r>
              <w:rPr>
                <w:rFonts w:hint="eastAsia" w:eastAsia="黑体"/>
                <w:bCs/>
                <w:sz w:val="24"/>
              </w:rPr>
              <w:t>图4</w:t>
            </w:r>
            <w:r>
              <w:rPr>
                <w:rFonts w:eastAsia="黑体"/>
                <w:bCs/>
                <w:sz w:val="24"/>
              </w:rPr>
              <w:t xml:space="preserve">  </w:t>
            </w:r>
            <w:r>
              <w:rPr>
                <w:rFonts w:hint="eastAsia" w:eastAsia="黑体"/>
                <w:bCs/>
                <w:sz w:val="24"/>
              </w:rPr>
              <w:t>本项目建成后建设路厂区水平衡图</w:t>
            </w:r>
            <w:r>
              <w:rPr>
                <w:rFonts w:eastAsia="黑体"/>
                <w:bCs/>
                <w:sz w:val="24"/>
              </w:rPr>
              <w:t xml:space="preserve">  </w:t>
            </w:r>
            <w:r>
              <w:rPr>
                <w:rFonts w:hint="eastAsia" w:eastAsia="黑体"/>
                <w:bCs/>
                <w:sz w:val="24"/>
              </w:rPr>
              <w:t>单位：m</w:t>
            </w:r>
            <w:r>
              <w:rPr>
                <w:rFonts w:hint="eastAsia" w:eastAsia="黑体"/>
                <w:bCs/>
                <w:sz w:val="24"/>
                <w:vertAlign w:val="superscript"/>
              </w:rPr>
              <w:t>3</w:t>
            </w:r>
            <w:r>
              <w:rPr>
                <w:rFonts w:eastAsia="黑体"/>
                <w:bCs/>
                <w:sz w:val="24"/>
              </w:rPr>
              <w:t>/d</w:t>
            </w:r>
          </w:p>
          <w:p w14:paraId="520AB2B3">
            <w:pPr>
              <w:adjustRightInd w:val="0"/>
              <w:snapToGrid w:val="0"/>
              <w:spacing w:line="460" w:lineRule="exact"/>
              <w:ind w:firstLine="482" w:firstLineChars="200"/>
              <w:rPr>
                <w:b/>
                <w:sz w:val="24"/>
              </w:rPr>
            </w:pPr>
            <w:r>
              <w:rPr>
                <w:rFonts w:hint="eastAsia"/>
                <w:b/>
                <w:sz w:val="24"/>
              </w:rPr>
              <w:t>7、厂区平面布置简述</w:t>
            </w:r>
          </w:p>
          <w:p w14:paraId="520AB2B4">
            <w:pPr>
              <w:adjustRightInd w:val="0"/>
              <w:snapToGrid w:val="0"/>
              <w:spacing w:line="460" w:lineRule="exact"/>
              <w:ind w:firstLine="480" w:firstLineChars="200"/>
              <w:rPr>
                <w:rFonts w:hint="eastAsia" w:ascii="宋体" w:hAnsi="宋体" w:cs="宋体"/>
                <w:bCs/>
                <w:szCs w:val="21"/>
              </w:rPr>
            </w:pPr>
            <w:r>
              <w:rPr>
                <w:sz w:val="24"/>
              </w:rPr>
              <w:t>本项目选址位于</w:t>
            </w:r>
            <w:r>
              <w:rPr>
                <w:rFonts w:hint="eastAsia"/>
                <w:sz w:val="24"/>
              </w:rPr>
              <w:t>新乡市牧野区建设中路168号（建设路厂区）和新乡市解放大道（中）1号解放路厂区</w:t>
            </w:r>
            <w:r>
              <w:rPr>
                <w:sz w:val="24"/>
              </w:rPr>
              <w:t>，</w:t>
            </w:r>
            <w:r>
              <w:rPr>
                <w:rFonts w:hint="eastAsia"/>
                <w:sz w:val="24"/>
              </w:rPr>
              <w:t>利用现有厂房</w:t>
            </w:r>
            <w:r>
              <w:rPr>
                <w:sz w:val="24"/>
              </w:rPr>
              <w:t>进行生产。根据企业提供的本项目厂区总平面图</w:t>
            </w:r>
            <w:r>
              <w:rPr>
                <w:rFonts w:hint="eastAsia"/>
                <w:sz w:val="24"/>
              </w:rPr>
              <w:t>（详见附图3），</w:t>
            </w:r>
            <w:r>
              <w:rPr>
                <w:sz w:val="24"/>
              </w:rPr>
              <w:t>厂区的平面布置较为合理</w:t>
            </w:r>
            <w:r>
              <w:rPr>
                <w:rFonts w:hint="eastAsia"/>
                <w:sz w:val="24"/>
              </w:rPr>
              <w:t>，</w:t>
            </w:r>
            <w:r>
              <w:rPr>
                <w:sz w:val="24"/>
              </w:rPr>
              <w:t>主要体现在</w:t>
            </w:r>
            <w:r>
              <w:rPr>
                <w:rFonts w:hint="eastAsia"/>
                <w:sz w:val="24"/>
              </w:rPr>
              <w:t>以下几个</w:t>
            </w:r>
            <w:r>
              <w:rPr>
                <w:sz w:val="24"/>
              </w:rPr>
              <w:t>方面</w:t>
            </w:r>
            <w:r>
              <w:rPr>
                <w:rFonts w:hint="eastAsia"/>
                <w:sz w:val="24"/>
              </w:rPr>
              <w:t>：</w:t>
            </w:r>
          </w:p>
          <w:p w14:paraId="520AB2B5">
            <w:pPr>
              <w:spacing w:line="460" w:lineRule="exact"/>
              <w:ind w:firstLine="480" w:firstLineChars="200"/>
              <w:rPr>
                <w:sz w:val="24"/>
              </w:rPr>
            </w:pPr>
            <w:r>
              <w:rPr>
                <w:rFonts w:hint="eastAsia"/>
                <w:sz w:val="24"/>
              </w:rPr>
              <w:t>（1）生产区和办公区完全分开，</w:t>
            </w:r>
            <w:r>
              <w:rPr>
                <w:sz w:val="24"/>
              </w:rPr>
              <w:t>有利于物流和人流的管理；</w:t>
            </w:r>
          </w:p>
          <w:p w14:paraId="520AB2B6">
            <w:pPr>
              <w:spacing w:line="460" w:lineRule="exact"/>
              <w:ind w:firstLine="480" w:firstLineChars="200"/>
              <w:rPr>
                <w:bCs/>
                <w:sz w:val="24"/>
                <w:highlight w:val="yellow"/>
              </w:rPr>
            </w:pPr>
            <w:r>
              <w:rPr>
                <w:rFonts w:hint="eastAsia"/>
                <w:sz w:val="24"/>
              </w:rPr>
              <w:t>（2）本项目根据产品类型，将同类产品加工或试验设备集中放置于现有工程该类产品厂区的车间内，并根据产排污种类分区放置，有利于同类产品、产污环节的管理，减少运输环节。</w:t>
            </w:r>
          </w:p>
        </w:tc>
      </w:tr>
      <w:tr w14:paraId="520AB3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99" w:type="dxa"/>
            <w:vAlign w:val="center"/>
          </w:tcPr>
          <w:p w14:paraId="520AB2B8">
            <w:pPr>
              <w:pStyle w:val="16"/>
              <w:adjustRightInd w:val="0"/>
              <w:snapToGrid w:val="0"/>
              <w:spacing w:before="0" w:beforeAutospacing="0" w:after="0" w:afterAutospacing="0"/>
              <w:jc w:val="center"/>
              <w:rPr>
                <w:rFonts w:hint="eastAsia" w:cs="宋体"/>
                <w:sz w:val="21"/>
                <w:szCs w:val="21"/>
                <w:highlight w:val="yellow"/>
                <w:lang w:val="en-US"/>
              </w:rPr>
            </w:pPr>
            <w:r>
              <w:rPr>
                <w:rFonts w:hint="eastAsia" w:cs="宋体"/>
                <w:sz w:val="21"/>
                <w:szCs w:val="21"/>
                <w:lang w:val="en-US"/>
              </w:rPr>
              <w:t>工艺流程和产排污环节</w:t>
            </w:r>
          </w:p>
        </w:tc>
        <w:tc>
          <w:tcPr>
            <w:tcW w:w="8285" w:type="dxa"/>
          </w:tcPr>
          <w:p w14:paraId="520AB2B9">
            <w:pPr>
              <w:adjustRightInd w:val="0"/>
              <w:snapToGrid w:val="0"/>
              <w:spacing w:line="460" w:lineRule="exact"/>
              <w:ind w:firstLine="480" w:firstLineChars="200"/>
              <w:rPr>
                <w:rFonts w:eastAsia="黑体"/>
                <w:sz w:val="24"/>
                <w:szCs w:val="20"/>
              </w:rPr>
            </w:pPr>
            <w:r>
              <w:rPr>
                <w:rFonts w:eastAsia="黑体"/>
                <w:sz w:val="24"/>
                <w:szCs w:val="20"/>
              </w:rPr>
              <w:t>一</w:t>
            </w:r>
            <w:r>
              <w:rPr>
                <w:rFonts w:hint="eastAsia" w:eastAsia="黑体"/>
                <w:sz w:val="24"/>
                <w:szCs w:val="20"/>
              </w:rPr>
              <w:t>、</w:t>
            </w:r>
            <w:r>
              <w:rPr>
                <w:rFonts w:eastAsia="黑体"/>
                <w:sz w:val="24"/>
                <w:szCs w:val="20"/>
              </w:rPr>
              <w:t>工艺流程简述（图示）：</w:t>
            </w:r>
          </w:p>
          <w:p w14:paraId="520AB2BA">
            <w:pPr>
              <w:adjustRightInd w:val="0"/>
              <w:snapToGrid w:val="0"/>
              <w:spacing w:line="460" w:lineRule="exact"/>
              <w:ind w:firstLine="480" w:firstLineChars="200"/>
              <w:rPr>
                <w:sz w:val="24"/>
              </w:rPr>
            </w:pPr>
            <w:r>
              <w:rPr>
                <w:sz w:val="24"/>
              </w:rPr>
              <w:t>由于公司航空附件种类较多、规格不一，</w:t>
            </w:r>
            <w:r>
              <w:rPr>
                <w:rFonts w:hint="eastAsia"/>
                <w:sz w:val="24"/>
              </w:rPr>
              <w:t>建设路厂区、解放路厂区</w:t>
            </w:r>
            <w:r>
              <w:rPr>
                <w:sz w:val="24"/>
              </w:rPr>
              <w:t>生产流程均为根据产品需要将原料下料，进行零部件的机械加工和表面处理（热处理、电镀、喷涂），将各零部件和配套的外购部件组装后进行测试，经检验合格后，即可入库。</w:t>
            </w:r>
          </w:p>
          <w:p w14:paraId="520AB2BB">
            <w:pPr>
              <w:adjustRightInd w:val="0"/>
              <w:snapToGrid w:val="0"/>
              <w:spacing w:line="460" w:lineRule="exact"/>
              <w:ind w:firstLine="480" w:firstLineChars="200"/>
              <w:rPr>
                <w:sz w:val="24"/>
              </w:rPr>
            </w:pPr>
            <w:r>
              <w:rPr>
                <w:sz w:val="24"/>
              </w:rPr>
              <w:t>本项目为</w:t>
            </w:r>
            <w:r>
              <w:rPr>
                <w:rFonts w:hint="eastAsia"/>
                <w:sz w:val="24"/>
              </w:rPr>
              <w:t>技术改造</w:t>
            </w:r>
            <w:r>
              <w:rPr>
                <w:sz w:val="24"/>
              </w:rPr>
              <w:t>项目，</w:t>
            </w:r>
            <w:r>
              <w:rPr>
                <w:rFonts w:hint="eastAsia"/>
                <w:sz w:val="24"/>
              </w:rPr>
              <w:t>本项目建成后全厂生产工艺不变。本项目涉及的生产工艺具体工艺流程及产污环节如下：</w:t>
            </w:r>
          </w:p>
          <w:p w14:paraId="520AB2BC">
            <w:pPr>
              <w:adjustRightInd w:val="0"/>
              <w:snapToGrid w:val="0"/>
              <w:spacing w:line="460" w:lineRule="exact"/>
              <w:ind w:firstLine="482" w:firstLineChars="200"/>
              <w:rPr>
                <w:b/>
                <w:bCs/>
                <w:sz w:val="24"/>
              </w:rPr>
            </w:pPr>
            <w:r>
              <w:rPr>
                <w:rFonts w:hint="eastAsia"/>
                <w:b/>
                <w:bCs/>
                <w:sz w:val="24"/>
              </w:rPr>
              <w:t>1、阀类产品流程（建设路厂区）</w:t>
            </w:r>
          </w:p>
          <w:p w14:paraId="520AB2BD">
            <w:pPr>
              <w:adjustRightInd w:val="0"/>
              <w:snapToGrid w:val="0"/>
              <w:rPr>
                <w:sz w:val="24"/>
              </w:rPr>
            </w:pPr>
            <w:r>
              <w:drawing>
                <wp:inline distT="0" distB="0" distL="0" distR="0">
                  <wp:extent cx="5123815" cy="2115185"/>
                  <wp:effectExtent l="0" t="0" r="635" b="18415"/>
                  <wp:docPr id="116757070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570707" name="图片 1"/>
                          <pic:cNvPicPr>
                            <a:picLocks noChangeAspect="1"/>
                          </pic:cNvPicPr>
                        </pic:nvPicPr>
                        <pic:blipFill>
                          <a:blip r:embed="rId17"/>
                          <a:stretch>
                            <a:fillRect/>
                          </a:stretch>
                        </pic:blipFill>
                        <pic:spPr>
                          <a:xfrm>
                            <a:off x="0" y="0"/>
                            <a:ext cx="5123815" cy="2115185"/>
                          </a:xfrm>
                          <a:prstGeom prst="rect">
                            <a:avLst/>
                          </a:prstGeom>
                        </pic:spPr>
                      </pic:pic>
                    </a:graphicData>
                  </a:graphic>
                </wp:inline>
              </w:drawing>
            </w:r>
          </w:p>
          <w:p w14:paraId="520AB2BE">
            <w:pPr>
              <w:adjustRightInd w:val="0"/>
              <w:snapToGrid w:val="0"/>
              <w:textAlignment w:val="baseline"/>
              <w:rPr>
                <w:b/>
                <w:sz w:val="24"/>
                <w:szCs w:val="20"/>
              </w:rPr>
            </w:pPr>
            <w:r>
              <w:rPr>
                <w:rFonts w:hint="eastAsia"/>
                <w:bCs/>
                <w:sz w:val="24"/>
                <w:szCs w:val="20"/>
              </w:rPr>
              <w:t>注：G：废气；</w:t>
            </w:r>
            <w:r>
              <w:rPr>
                <w:bCs/>
                <w:sz w:val="24"/>
                <w:szCs w:val="20"/>
              </w:rPr>
              <w:t>S</w:t>
            </w:r>
            <w:r>
              <w:rPr>
                <w:rFonts w:hint="eastAsia"/>
                <w:bCs/>
                <w:sz w:val="24"/>
                <w:szCs w:val="20"/>
              </w:rPr>
              <w:t>：固废；</w:t>
            </w:r>
            <w:r>
              <w:rPr>
                <w:bCs/>
                <w:sz w:val="24"/>
                <w:szCs w:val="20"/>
              </w:rPr>
              <w:t>N</w:t>
            </w:r>
            <w:r>
              <w:rPr>
                <w:rFonts w:hint="eastAsia"/>
                <w:bCs/>
                <w:sz w:val="24"/>
                <w:szCs w:val="20"/>
              </w:rPr>
              <w:t>：噪声</w:t>
            </w:r>
          </w:p>
          <w:p w14:paraId="520AB2BF">
            <w:pPr>
              <w:adjustRightInd w:val="0"/>
              <w:snapToGrid w:val="0"/>
              <w:jc w:val="center"/>
              <w:rPr>
                <w:rFonts w:eastAsia="黑体"/>
                <w:sz w:val="24"/>
                <w:highlight w:val="yellow"/>
              </w:rPr>
            </w:pPr>
            <w:r>
              <w:rPr>
                <w:rFonts w:eastAsia="黑体"/>
                <w:sz w:val="24"/>
              </w:rPr>
              <w:t>图</w:t>
            </w:r>
            <w:r>
              <w:rPr>
                <w:rFonts w:hint="eastAsia" w:eastAsia="黑体"/>
                <w:sz w:val="24"/>
              </w:rPr>
              <w:t>5</w:t>
            </w:r>
            <w:r>
              <w:rPr>
                <w:rFonts w:eastAsia="黑体"/>
                <w:sz w:val="24"/>
              </w:rPr>
              <w:t xml:space="preserve">  </w:t>
            </w:r>
            <w:r>
              <w:rPr>
                <w:rFonts w:hint="eastAsia" w:eastAsia="黑体"/>
                <w:sz w:val="24"/>
              </w:rPr>
              <w:t>现有阀类产品生产工艺及产污环节流程图</w:t>
            </w:r>
          </w:p>
          <w:p w14:paraId="520AB2C0">
            <w:pPr>
              <w:adjustRightInd w:val="0"/>
              <w:snapToGrid w:val="0"/>
              <w:spacing w:line="460" w:lineRule="exact"/>
              <w:ind w:firstLine="480" w:firstLineChars="200"/>
              <w:rPr>
                <w:sz w:val="24"/>
              </w:rPr>
            </w:pPr>
            <w:r>
              <w:rPr>
                <w:rFonts w:hint="eastAsia"/>
                <w:sz w:val="24"/>
              </w:rPr>
              <w:t>本项目涉及的工艺流程说明：</w:t>
            </w:r>
          </w:p>
          <w:p w14:paraId="520AB2C1">
            <w:pPr>
              <w:adjustRightInd w:val="0"/>
              <w:snapToGrid w:val="0"/>
              <w:spacing w:line="460" w:lineRule="exact"/>
              <w:ind w:firstLine="482" w:firstLineChars="200"/>
              <w:rPr>
                <w:sz w:val="24"/>
              </w:rPr>
            </w:pPr>
            <w:r>
              <w:rPr>
                <w:rFonts w:hint="eastAsia"/>
                <w:b/>
                <w:sz w:val="24"/>
              </w:rPr>
              <w:t>（1）机加工：</w:t>
            </w:r>
            <w:r>
              <w:rPr>
                <w:rFonts w:hint="eastAsia"/>
                <w:bCs/>
                <w:sz w:val="24"/>
              </w:rPr>
              <w:t>将金属构件送入机加工工序，主要是采用四轴卧式加工中心、五轴加工中心对材料进行加工处理。加工过程中采用切削液在工作面上喷淋，避免粉尘产生，同时对刀具和工件进行冷却，使用后的切削液经设备过滤装置将废金属屑过滤后，循环使用，定期补充，定期更换一部分。此工序产生的污染主要为废金属屑、废切削液及设备噪声。</w:t>
            </w:r>
          </w:p>
          <w:p w14:paraId="520AB2C2">
            <w:pPr>
              <w:adjustRightInd w:val="0"/>
              <w:snapToGrid w:val="0"/>
              <w:spacing w:line="460" w:lineRule="exact"/>
              <w:ind w:firstLine="482" w:firstLineChars="200"/>
              <w:rPr>
                <w:sz w:val="24"/>
              </w:rPr>
            </w:pPr>
            <w:r>
              <w:rPr>
                <w:rFonts w:hint="eastAsia"/>
                <w:b/>
                <w:sz w:val="24"/>
              </w:rPr>
              <w:t>（2）试验单元：</w:t>
            </w:r>
            <w:r>
              <w:rPr>
                <w:rFonts w:hint="eastAsia"/>
                <w:sz w:val="24"/>
              </w:rPr>
              <w:t>将阀类产品送入阀类试验单元进行检测试验，根据订单的要求依次进入液压密封性试验台（试验介质：15号航空液压油）、液压高压大流量试验台（试验介质：15号航空液压油）、液压高低压冲击试验台（试验介质：15号航空液压油）、滑油密封性试验台（试验介质：滑油）、滑油冲洗试验台（试验介质：滑油）、冷却液密封性试验台（试验介质：冷却液）、液体冷却子系统试验台（试验介质：乙二醇）、高压冷气试验台、气密试验台（试验介质：空气）、安全阀性能试验台（试验介质：15号航空液压油）、滑油阀寿命试验台（试验介质：滑油）、高低温试验箱、燃油活门功能试验台（试验介质：航空煤油）、高压控制阀综合性能试验台、7.5T振动试验台等设备中进行相关指标试验，合格产品进入下一步工序，不合格产品返修。</w:t>
            </w:r>
          </w:p>
          <w:p w14:paraId="520AB2C3">
            <w:pPr>
              <w:adjustRightInd w:val="0"/>
              <w:snapToGrid w:val="0"/>
              <w:spacing w:line="460" w:lineRule="exact"/>
              <w:ind w:firstLine="480" w:firstLineChars="200"/>
              <w:rPr>
                <w:sz w:val="24"/>
              </w:rPr>
            </w:pPr>
            <w:r>
              <w:rPr>
                <w:rFonts w:hint="eastAsia"/>
                <w:sz w:val="24"/>
              </w:rPr>
              <w:t>试验过程中试验介质在试验台系统内循环流动，仅需定期更换小部分。其中试验介质乙二醇定期补充不更换。此过程会有航空煤油、滑油、液压油、乙二醇挥发产生的少量废气、固废和设备运行噪声产生。</w:t>
            </w:r>
          </w:p>
          <w:p w14:paraId="520AB2C4">
            <w:pPr>
              <w:adjustRightInd w:val="0"/>
              <w:snapToGrid w:val="0"/>
              <w:spacing w:line="460" w:lineRule="exact"/>
              <w:ind w:firstLine="482" w:firstLineChars="200"/>
              <w:rPr>
                <w:b/>
                <w:bCs/>
                <w:sz w:val="24"/>
              </w:rPr>
            </w:pPr>
            <w:r>
              <w:rPr>
                <w:rFonts w:hint="eastAsia"/>
                <w:b/>
                <w:bCs/>
                <w:sz w:val="24"/>
              </w:rPr>
              <w:t>2、电镀生产线（建设路厂区）</w:t>
            </w:r>
          </w:p>
          <w:p w14:paraId="520AB2C5">
            <w:pPr>
              <w:adjustRightInd w:val="0"/>
              <w:snapToGrid w:val="0"/>
              <w:spacing w:line="360" w:lineRule="auto"/>
              <w:rPr>
                <w:b/>
                <w:bCs/>
                <w:sz w:val="24"/>
              </w:rPr>
            </w:pPr>
            <w:r>
              <w:drawing>
                <wp:inline distT="0" distB="0" distL="0" distR="0">
                  <wp:extent cx="5123815" cy="1851025"/>
                  <wp:effectExtent l="0" t="0" r="635" b="15875"/>
                  <wp:docPr id="100671529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715298" name="图片 1"/>
                          <pic:cNvPicPr>
                            <a:picLocks noChangeAspect="1"/>
                          </pic:cNvPicPr>
                        </pic:nvPicPr>
                        <pic:blipFill>
                          <a:blip r:embed="rId18"/>
                          <a:stretch>
                            <a:fillRect/>
                          </a:stretch>
                        </pic:blipFill>
                        <pic:spPr>
                          <a:xfrm>
                            <a:off x="0" y="0"/>
                            <a:ext cx="5123815" cy="1851025"/>
                          </a:xfrm>
                          <a:prstGeom prst="rect">
                            <a:avLst/>
                          </a:prstGeom>
                        </pic:spPr>
                      </pic:pic>
                    </a:graphicData>
                  </a:graphic>
                </wp:inline>
              </w:drawing>
            </w:r>
          </w:p>
          <w:p w14:paraId="520AB2C6">
            <w:pPr>
              <w:adjustRightInd w:val="0"/>
              <w:snapToGrid w:val="0"/>
              <w:textAlignment w:val="baseline"/>
              <w:rPr>
                <w:rFonts w:eastAsia="黑体"/>
                <w:sz w:val="24"/>
              </w:rPr>
            </w:pPr>
            <w:r>
              <w:rPr>
                <w:rFonts w:hint="eastAsia"/>
                <w:bCs/>
                <w:sz w:val="24"/>
                <w:szCs w:val="20"/>
              </w:rPr>
              <w:t>注：G：废气；</w:t>
            </w:r>
            <w:r>
              <w:rPr>
                <w:bCs/>
                <w:sz w:val="24"/>
                <w:szCs w:val="20"/>
              </w:rPr>
              <w:t>N</w:t>
            </w:r>
            <w:r>
              <w:rPr>
                <w:rFonts w:hint="eastAsia"/>
                <w:bCs/>
                <w:sz w:val="24"/>
                <w:szCs w:val="20"/>
              </w:rPr>
              <w:t>：噪声</w:t>
            </w:r>
          </w:p>
          <w:p w14:paraId="520AB2C7">
            <w:pPr>
              <w:adjustRightInd w:val="0"/>
              <w:snapToGrid w:val="0"/>
              <w:jc w:val="center"/>
              <w:rPr>
                <w:rFonts w:eastAsia="黑体"/>
                <w:sz w:val="24"/>
                <w:highlight w:val="yellow"/>
              </w:rPr>
            </w:pPr>
            <w:r>
              <w:rPr>
                <w:rFonts w:eastAsia="黑体"/>
                <w:sz w:val="24"/>
              </w:rPr>
              <w:t>图</w:t>
            </w:r>
            <w:r>
              <w:rPr>
                <w:rFonts w:hint="eastAsia" w:eastAsia="黑体"/>
                <w:sz w:val="24"/>
              </w:rPr>
              <w:t>6</w:t>
            </w:r>
            <w:r>
              <w:rPr>
                <w:rFonts w:eastAsia="黑体"/>
                <w:sz w:val="24"/>
              </w:rPr>
              <w:t xml:space="preserve">  </w:t>
            </w:r>
            <w:r>
              <w:rPr>
                <w:rFonts w:hint="eastAsia" w:eastAsia="黑体"/>
                <w:sz w:val="24"/>
              </w:rPr>
              <w:t>现有电镀生产线生产工艺及产污环节流程图</w:t>
            </w:r>
          </w:p>
          <w:p w14:paraId="520AB2C8">
            <w:pPr>
              <w:adjustRightInd w:val="0"/>
              <w:snapToGrid w:val="0"/>
              <w:spacing w:line="460" w:lineRule="exact"/>
              <w:ind w:firstLine="480" w:firstLineChars="200"/>
              <w:rPr>
                <w:sz w:val="24"/>
              </w:rPr>
            </w:pPr>
            <w:r>
              <w:rPr>
                <w:rFonts w:hint="eastAsia"/>
                <w:sz w:val="24"/>
              </w:rPr>
              <w:t>工艺流程说明：</w:t>
            </w:r>
          </w:p>
          <w:p w14:paraId="520AB2C9">
            <w:pPr>
              <w:adjustRightInd w:val="0"/>
              <w:snapToGrid w:val="0"/>
              <w:spacing w:line="460" w:lineRule="exact"/>
              <w:ind w:firstLine="480" w:firstLineChars="200"/>
              <w:rPr>
                <w:sz w:val="24"/>
              </w:rPr>
            </w:pPr>
            <w:r>
              <w:rPr>
                <w:rFonts w:hint="eastAsia"/>
                <w:sz w:val="24"/>
              </w:rPr>
              <w:t>表面处理（电镀）工艺是通过对工件先进行前处理（包括除油、腐蚀、出光）、水洗、酸洗，去除工件表面的各种杂质；之后进行镀覆处理，整个工艺包括镀锌（铜、镍）、镀镉（铬）、铝材阳极化等，提高工件的防氧化、防腐、防锈能力；之后再进行后处理（包括水洗、封闭、烘干等）。在整个生产过程中会产生酸碱废水、含铬废水、含氰废水（镀铜产生）、其他重金属废水以及铬酸雾、硫酸雾、氯化氢、氰化氢废气等污染物。</w:t>
            </w:r>
          </w:p>
          <w:p w14:paraId="520AB2CA">
            <w:pPr>
              <w:adjustRightInd w:val="0"/>
              <w:snapToGrid w:val="0"/>
              <w:spacing w:line="460" w:lineRule="exact"/>
              <w:ind w:firstLine="480" w:firstLineChars="200"/>
              <w:rPr>
                <w:b/>
                <w:bCs/>
                <w:sz w:val="24"/>
              </w:rPr>
            </w:pPr>
            <w:r>
              <w:rPr>
                <w:sz w:val="24"/>
              </w:rPr>
              <w:t>本项目</w:t>
            </w:r>
            <w:r>
              <w:rPr>
                <w:rFonts w:hint="eastAsia"/>
                <w:sz w:val="24"/>
              </w:rPr>
              <w:t>建设路</w:t>
            </w:r>
            <w:r>
              <w:rPr>
                <w:sz w:val="24"/>
              </w:rPr>
              <w:t>厂区</w:t>
            </w:r>
            <w:r>
              <w:rPr>
                <w:rFonts w:hint="eastAsia"/>
                <w:sz w:val="24"/>
              </w:rPr>
              <w:t>电镀生产线技术改造</w:t>
            </w:r>
            <w:r>
              <w:rPr>
                <w:sz w:val="24"/>
              </w:rPr>
              <w:t>部分为</w:t>
            </w:r>
            <w:r>
              <w:rPr>
                <w:rFonts w:hint="eastAsia"/>
                <w:sz w:val="24"/>
              </w:rPr>
              <w:t>槽体加热由电加热改为蒸汽加热、烘干工段</w:t>
            </w:r>
            <w:r>
              <w:rPr>
                <w:sz w:val="24"/>
              </w:rPr>
              <w:t>，</w:t>
            </w:r>
            <w:r>
              <w:rPr>
                <w:rFonts w:hint="eastAsia"/>
                <w:sz w:val="24"/>
              </w:rPr>
              <w:t>同时</w:t>
            </w:r>
            <w:r>
              <w:rPr>
                <w:sz w:val="24"/>
              </w:rPr>
              <w:t>增加</w:t>
            </w:r>
            <w:r>
              <w:rPr>
                <w:rFonts w:hint="eastAsia"/>
                <w:sz w:val="24"/>
              </w:rPr>
              <w:t>干燥箱</w:t>
            </w:r>
            <w:r>
              <w:rPr>
                <w:sz w:val="24"/>
              </w:rPr>
              <w:t>数量</w:t>
            </w:r>
            <w:r>
              <w:rPr>
                <w:rFonts w:hint="eastAsia"/>
                <w:sz w:val="24"/>
              </w:rPr>
              <w:t>，</w:t>
            </w:r>
            <w:r>
              <w:rPr>
                <w:sz w:val="24"/>
              </w:rPr>
              <w:t>原因为：提高作业效率（企业</w:t>
            </w:r>
            <w:r>
              <w:rPr>
                <w:rFonts w:hint="eastAsia"/>
                <w:sz w:val="24"/>
              </w:rPr>
              <w:t>属于</w:t>
            </w:r>
            <w:r>
              <w:rPr>
                <w:sz w:val="24"/>
              </w:rPr>
              <w:t>军工企业，</w:t>
            </w:r>
            <w:r>
              <w:rPr>
                <w:rFonts w:hint="eastAsia"/>
                <w:sz w:val="24"/>
              </w:rPr>
              <w:t>订单周期一般较短，现有部分设备产能不能满足现有订单加急生产的情况，企业为保质保量的按时完成任务，对干燥设备进行补充，在涉及的产品产能不变的基础上，满足订单</w:t>
            </w:r>
            <w:r>
              <w:rPr>
                <w:sz w:val="24"/>
              </w:rPr>
              <w:t>高质量高效率</w:t>
            </w:r>
            <w:r>
              <w:rPr>
                <w:rFonts w:hint="eastAsia"/>
                <w:sz w:val="24"/>
              </w:rPr>
              <w:t>生产的需求）。</w:t>
            </w:r>
          </w:p>
          <w:p w14:paraId="520AB2CB">
            <w:pPr>
              <w:adjustRightInd w:val="0"/>
              <w:snapToGrid w:val="0"/>
              <w:spacing w:line="460" w:lineRule="exact"/>
              <w:ind w:firstLine="482" w:firstLineChars="200"/>
              <w:rPr>
                <w:b/>
                <w:bCs/>
                <w:sz w:val="24"/>
              </w:rPr>
            </w:pPr>
            <w:r>
              <w:rPr>
                <w:rFonts w:hint="eastAsia"/>
                <w:b/>
                <w:bCs/>
                <w:sz w:val="24"/>
              </w:rPr>
              <w:t>3、热处理生产线（建设路厂区）</w:t>
            </w:r>
          </w:p>
          <w:p w14:paraId="520AB2CC">
            <w:pPr>
              <w:adjustRightInd w:val="0"/>
              <w:snapToGrid w:val="0"/>
              <w:spacing w:line="360" w:lineRule="auto"/>
              <w:rPr>
                <w:sz w:val="24"/>
              </w:rPr>
            </w:pPr>
            <w:r>
              <w:drawing>
                <wp:inline distT="0" distB="0" distL="0" distR="0">
                  <wp:extent cx="5123815" cy="1927860"/>
                  <wp:effectExtent l="0" t="0" r="635" b="15240"/>
                  <wp:docPr id="1405029152" name="图片 1"/>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a:ext>
                    </a:extLst>
                  </wp:cNvGraphicFramePr>
                  <a:graphic xmlns:a="http://schemas.openxmlformats.org/drawingml/2006/main">
                    <a:graphicData uri="http://schemas.openxmlformats.org/drawingml/2006/picture">
                      <pic:pic xmlns:pic="http://schemas.openxmlformats.org/drawingml/2006/picture">
                        <pic:nvPicPr>
                          <pic:cNvPr id="1405029152" name="图片 1"/>
                          <pic:cNvPicPr>
                            <a:picLocks noChangeAspect="1"/>
                          </pic:cNvPicPr>
                        </pic:nvPicPr>
                        <pic:blipFill>
                          <a:blip r:embed="rId19"/>
                          <a:stretch>
                            <a:fillRect/>
                          </a:stretch>
                        </pic:blipFill>
                        <pic:spPr>
                          <a:xfrm>
                            <a:off x="0" y="0"/>
                            <a:ext cx="5123815" cy="1927860"/>
                          </a:xfrm>
                          <a:prstGeom prst="rect">
                            <a:avLst/>
                          </a:prstGeom>
                        </pic:spPr>
                      </pic:pic>
                    </a:graphicData>
                  </a:graphic>
                </wp:inline>
              </w:drawing>
            </w:r>
          </w:p>
          <w:p w14:paraId="520AB2CD">
            <w:pPr>
              <w:adjustRightInd w:val="0"/>
              <w:snapToGrid w:val="0"/>
              <w:textAlignment w:val="baseline"/>
              <w:rPr>
                <w:b/>
                <w:sz w:val="24"/>
                <w:szCs w:val="20"/>
              </w:rPr>
            </w:pPr>
            <w:r>
              <w:rPr>
                <w:rFonts w:hint="eastAsia"/>
                <w:bCs/>
                <w:sz w:val="24"/>
                <w:szCs w:val="20"/>
              </w:rPr>
              <w:t>注：G：废气；</w:t>
            </w:r>
            <w:r>
              <w:rPr>
                <w:bCs/>
                <w:sz w:val="24"/>
                <w:szCs w:val="20"/>
              </w:rPr>
              <w:t>N</w:t>
            </w:r>
            <w:r>
              <w:rPr>
                <w:rFonts w:hint="eastAsia"/>
                <w:bCs/>
                <w:sz w:val="24"/>
                <w:szCs w:val="20"/>
              </w:rPr>
              <w:t>：噪声</w:t>
            </w:r>
          </w:p>
          <w:p w14:paraId="520AB2CE">
            <w:pPr>
              <w:adjustRightInd w:val="0"/>
              <w:snapToGrid w:val="0"/>
              <w:jc w:val="center"/>
              <w:rPr>
                <w:rFonts w:eastAsia="黑体"/>
                <w:sz w:val="24"/>
                <w:highlight w:val="yellow"/>
              </w:rPr>
            </w:pPr>
            <w:r>
              <w:rPr>
                <w:rFonts w:eastAsia="黑体"/>
                <w:sz w:val="24"/>
              </w:rPr>
              <w:t>图</w:t>
            </w:r>
            <w:r>
              <w:rPr>
                <w:rFonts w:hint="eastAsia" w:eastAsia="黑体"/>
                <w:sz w:val="24"/>
              </w:rPr>
              <w:t>7</w:t>
            </w:r>
            <w:r>
              <w:rPr>
                <w:rFonts w:eastAsia="黑体"/>
                <w:sz w:val="24"/>
              </w:rPr>
              <w:t xml:space="preserve">  </w:t>
            </w:r>
            <w:r>
              <w:rPr>
                <w:rFonts w:hint="eastAsia" w:eastAsia="黑体"/>
                <w:sz w:val="24"/>
              </w:rPr>
              <w:t>现有热处理生产线生产工艺及产污环节流程图</w:t>
            </w:r>
          </w:p>
          <w:p w14:paraId="520AB2CF">
            <w:pPr>
              <w:adjustRightInd w:val="0"/>
              <w:snapToGrid w:val="0"/>
              <w:spacing w:line="460" w:lineRule="exact"/>
              <w:ind w:firstLine="480" w:firstLineChars="200"/>
              <w:rPr>
                <w:sz w:val="24"/>
              </w:rPr>
            </w:pPr>
            <w:r>
              <w:rPr>
                <w:rFonts w:hint="eastAsia"/>
                <w:sz w:val="24"/>
              </w:rPr>
              <w:t>本项目涉及的工艺流程说明：</w:t>
            </w:r>
          </w:p>
          <w:p w14:paraId="520AB2D0">
            <w:pPr>
              <w:adjustRightInd w:val="0"/>
              <w:snapToGrid w:val="0"/>
              <w:spacing w:line="460" w:lineRule="exact"/>
              <w:ind w:firstLine="480" w:firstLineChars="200"/>
              <w:rPr>
                <w:sz w:val="24"/>
              </w:rPr>
            </w:pPr>
            <w:r>
              <w:rPr>
                <w:sz w:val="24"/>
              </w:rPr>
              <w:t>热处理生产是使用热处理专用设备（箱式电炉、真空炉等）将</w:t>
            </w:r>
            <w:r>
              <w:rPr>
                <w:rFonts w:hint="eastAsia"/>
                <w:sz w:val="24"/>
              </w:rPr>
              <w:t>无油</w:t>
            </w:r>
            <w:r>
              <w:rPr>
                <w:sz w:val="24"/>
              </w:rPr>
              <w:t>工件加热至工艺温度后，再根据工艺要求的不同通过不同的冷却介质冷却，使工件得到一定的机械性能的生产过程。</w:t>
            </w:r>
            <w:r>
              <w:rPr>
                <w:rFonts w:hint="eastAsia"/>
                <w:sz w:val="24"/>
              </w:rPr>
              <w:t>其中一部分工件需清洗后送入吹砂设备或抛丸机工作。其中吹砂设备属于在建项目设备，为</w:t>
            </w:r>
            <w:r>
              <w:rPr>
                <w:sz w:val="24"/>
              </w:rPr>
              <w:t>提高作业效率</w:t>
            </w:r>
            <w:r>
              <w:rPr>
                <w:rFonts w:hint="eastAsia"/>
                <w:sz w:val="24"/>
              </w:rPr>
              <w:t>，原计划进入吹砂设备的工件一部分进入吹砂设备一部分进入抛丸机中进行处理。抛丸机与吹砂设备均是通过磨料使物体表面产生微小的凹凸纹理，从而达到美化、增加摩擦力、改善防滑等效果的一种表面处理工艺。且根据《排放源统计调查产排污核算方法和系数手册》中（33金属制品业、34通用设备制造业、35专用设备制造业、36汽车制造业、37铁路、船舶、航空航天和其他运输设备制造业、431金属制品修理、432通用设备修理、433专用设备修理、434铁路、船舶、航空航天等运输设备修理（不包括电镀工艺）行业系数手册），0</w:t>
            </w:r>
            <w:r>
              <w:rPr>
                <w:sz w:val="24"/>
              </w:rPr>
              <w:t>6</w:t>
            </w:r>
            <w:r>
              <w:rPr>
                <w:rFonts w:hint="eastAsia"/>
                <w:sz w:val="24"/>
              </w:rPr>
              <w:t>预处理核算环节，抛丸、喷砂、打磨、滚筒产生颗粒物污染物的系数一样，故本项目抛丸工序不增加废气污染物颗粒物。</w:t>
            </w:r>
          </w:p>
          <w:p w14:paraId="688923E2">
            <w:pPr>
              <w:adjustRightInd w:val="0"/>
              <w:snapToGrid w:val="0"/>
              <w:spacing w:line="460" w:lineRule="exact"/>
              <w:ind w:firstLine="482" w:firstLineChars="200"/>
              <w:rPr>
                <w:b/>
                <w:bCs/>
                <w:sz w:val="24"/>
              </w:rPr>
            </w:pPr>
            <w:r>
              <w:rPr>
                <w:rFonts w:hint="eastAsia"/>
                <w:b/>
                <w:bCs/>
                <w:sz w:val="24"/>
              </w:rPr>
              <w:t>4、装配生产线（建设路厂区）</w:t>
            </w:r>
          </w:p>
          <w:p w14:paraId="49454868">
            <w:pPr>
              <w:adjustRightInd w:val="0"/>
              <w:snapToGrid w:val="0"/>
              <w:spacing w:line="360" w:lineRule="auto"/>
              <w:rPr>
                <w:sz w:val="24"/>
              </w:rPr>
            </w:pPr>
            <w:r>
              <w:drawing>
                <wp:inline distT="0" distB="0" distL="0" distR="0">
                  <wp:extent cx="5123815" cy="2351405"/>
                  <wp:effectExtent l="0" t="0" r="635" b="10795"/>
                  <wp:docPr id="99561768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617686" name="图片 1"/>
                          <pic:cNvPicPr>
                            <a:picLocks noChangeAspect="1"/>
                          </pic:cNvPicPr>
                        </pic:nvPicPr>
                        <pic:blipFill>
                          <a:blip r:embed="rId20"/>
                          <a:stretch>
                            <a:fillRect/>
                          </a:stretch>
                        </pic:blipFill>
                        <pic:spPr>
                          <a:xfrm>
                            <a:off x="0" y="0"/>
                            <a:ext cx="5123815" cy="2351405"/>
                          </a:xfrm>
                          <a:prstGeom prst="rect">
                            <a:avLst/>
                          </a:prstGeom>
                        </pic:spPr>
                      </pic:pic>
                    </a:graphicData>
                  </a:graphic>
                </wp:inline>
              </w:drawing>
            </w:r>
          </w:p>
          <w:p w14:paraId="2ED9C5D2">
            <w:pPr>
              <w:adjustRightInd w:val="0"/>
              <w:snapToGrid w:val="0"/>
              <w:textAlignment w:val="baseline"/>
              <w:rPr>
                <w:b/>
                <w:sz w:val="24"/>
                <w:szCs w:val="20"/>
              </w:rPr>
            </w:pPr>
            <w:r>
              <w:rPr>
                <w:rFonts w:hint="eastAsia"/>
                <w:bCs/>
                <w:sz w:val="24"/>
                <w:szCs w:val="20"/>
              </w:rPr>
              <w:t>注：G：废气；</w:t>
            </w:r>
            <w:r>
              <w:rPr>
                <w:bCs/>
                <w:sz w:val="24"/>
                <w:szCs w:val="20"/>
              </w:rPr>
              <w:t>S</w:t>
            </w:r>
            <w:r>
              <w:rPr>
                <w:rFonts w:hint="eastAsia"/>
                <w:bCs/>
                <w:sz w:val="24"/>
                <w:szCs w:val="20"/>
              </w:rPr>
              <w:t>：固废；</w:t>
            </w:r>
            <w:r>
              <w:rPr>
                <w:bCs/>
                <w:sz w:val="24"/>
                <w:szCs w:val="20"/>
              </w:rPr>
              <w:t>N</w:t>
            </w:r>
            <w:r>
              <w:rPr>
                <w:rFonts w:hint="eastAsia"/>
                <w:bCs/>
                <w:sz w:val="24"/>
                <w:szCs w:val="20"/>
              </w:rPr>
              <w:t>：噪声</w:t>
            </w:r>
          </w:p>
          <w:p w14:paraId="7386C8D3">
            <w:pPr>
              <w:adjustRightInd w:val="0"/>
              <w:snapToGrid w:val="0"/>
              <w:jc w:val="center"/>
              <w:rPr>
                <w:rFonts w:eastAsia="黑体"/>
                <w:sz w:val="24"/>
                <w:highlight w:val="yellow"/>
              </w:rPr>
            </w:pPr>
            <w:r>
              <w:rPr>
                <w:rFonts w:eastAsia="黑体"/>
                <w:sz w:val="24"/>
              </w:rPr>
              <w:t>图</w:t>
            </w:r>
            <w:r>
              <w:rPr>
                <w:rFonts w:hint="eastAsia" w:eastAsia="黑体"/>
                <w:sz w:val="24"/>
              </w:rPr>
              <w:t>8</w:t>
            </w:r>
            <w:r>
              <w:rPr>
                <w:rFonts w:eastAsia="黑体"/>
                <w:sz w:val="24"/>
              </w:rPr>
              <w:t xml:space="preserve">  </w:t>
            </w:r>
            <w:r>
              <w:rPr>
                <w:rFonts w:hint="eastAsia" w:eastAsia="黑体"/>
                <w:sz w:val="24"/>
              </w:rPr>
              <w:t>现有装配生产线生产工艺及产污环节流程图</w:t>
            </w:r>
          </w:p>
          <w:p w14:paraId="772B1015">
            <w:pPr>
              <w:adjustRightInd w:val="0"/>
              <w:snapToGrid w:val="0"/>
              <w:spacing w:line="460" w:lineRule="exact"/>
              <w:ind w:firstLine="480" w:firstLineChars="200"/>
              <w:rPr>
                <w:sz w:val="24"/>
              </w:rPr>
            </w:pPr>
            <w:r>
              <w:rPr>
                <w:rFonts w:hint="eastAsia"/>
                <w:sz w:val="24"/>
              </w:rPr>
              <w:t>本项目涉及的工艺流程说明：</w:t>
            </w:r>
          </w:p>
          <w:p w14:paraId="3FB178A3">
            <w:pPr>
              <w:adjustRightInd w:val="0"/>
              <w:snapToGrid w:val="0"/>
              <w:spacing w:line="460" w:lineRule="exact"/>
              <w:ind w:firstLine="480" w:firstLineChars="200"/>
              <w:rPr>
                <w:bCs/>
                <w:sz w:val="24"/>
              </w:rPr>
            </w:pPr>
            <w:r>
              <w:rPr>
                <w:rFonts w:hint="eastAsia"/>
                <w:sz w:val="24"/>
              </w:rPr>
              <w:t>干燥：</w:t>
            </w:r>
            <w:r>
              <w:rPr>
                <w:rFonts w:hint="eastAsia"/>
                <w:bCs/>
                <w:sz w:val="24"/>
              </w:rPr>
              <w:t>采用干燥箱（电加热）对完成气密性试验的工件进行烘干，去除试验过程中工件上沾染水分，该过程不会产生烘干废气。</w:t>
            </w:r>
          </w:p>
          <w:p w14:paraId="4D176041">
            <w:pPr>
              <w:adjustRightInd w:val="0"/>
              <w:snapToGrid w:val="0"/>
              <w:spacing w:line="460" w:lineRule="exact"/>
              <w:ind w:firstLine="480" w:firstLineChars="200"/>
              <w:rPr>
                <w:sz w:val="24"/>
              </w:rPr>
            </w:pPr>
            <w:r>
              <w:rPr>
                <w:bCs/>
                <w:sz w:val="24"/>
              </w:rPr>
              <w:t>本项目</w:t>
            </w:r>
            <w:r>
              <w:rPr>
                <w:rFonts w:hint="eastAsia"/>
                <w:bCs/>
                <w:sz w:val="24"/>
              </w:rPr>
              <w:t>建设路</w:t>
            </w:r>
            <w:r>
              <w:rPr>
                <w:bCs/>
                <w:sz w:val="24"/>
              </w:rPr>
              <w:t>厂区</w:t>
            </w:r>
            <w:r>
              <w:rPr>
                <w:rFonts w:hint="eastAsia"/>
                <w:bCs/>
                <w:sz w:val="24"/>
              </w:rPr>
              <w:t>装配生产线</w:t>
            </w:r>
            <w:r>
              <w:rPr>
                <w:bCs/>
                <w:sz w:val="24"/>
              </w:rPr>
              <w:t>增加</w:t>
            </w:r>
            <w:r>
              <w:rPr>
                <w:rFonts w:hint="eastAsia"/>
                <w:bCs/>
                <w:sz w:val="24"/>
              </w:rPr>
              <w:t>干燥箱</w:t>
            </w:r>
            <w:r>
              <w:rPr>
                <w:bCs/>
                <w:sz w:val="24"/>
              </w:rPr>
              <w:t>数量</w:t>
            </w:r>
            <w:r>
              <w:rPr>
                <w:rFonts w:hint="eastAsia"/>
                <w:bCs/>
                <w:sz w:val="24"/>
              </w:rPr>
              <w:t>，</w:t>
            </w:r>
            <w:r>
              <w:rPr>
                <w:bCs/>
                <w:sz w:val="24"/>
              </w:rPr>
              <w:t>原因为：提高作业效率（企业</w:t>
            </w:r>
            <w:r>
              <w:rPr>
                <w:rFonts w:hint="eastAsia"/>
                <w:bCs/>
                <w:sz w:val="24"/>
              </w:rPr>
              <w:t>属于</w:t>
            </w:r>
            <w:r>
              <w:rPr>
                <w:bCs/>
                <w:sz w:val="24"/>
              </w:rPr>
              <w:t>军工企业，</w:t>
            </w:r>
            <w:r>
              <w:rPr>
                <w:rFonts w:hint="eastAsia"/>
                <w:bCs/>
                <w:sz w:val="24"/>
              </w:rPr>
              <w:t>订单周期一般较短，现有部分设备产能不能满足现有订单加急生产的情况，企业为保质保量的按时完成任务，对干燥设备进行补充，在涉及的产品产能不变的基础上，满足订单</w:t>
            </w:r>
            <w:r>
              <w:rPr>
                <w:bCs/>
                <w:sz w:val="24"/>
              </w:rPr>
              <w:t>高质量高效率</w:t>
            </w:r>
            <w:r>
              <w:rPr>
                <w:rFonts w:hint="eastAsia"/>
                <w:bCs/>
                <w:sz w:val="24"/>
              </w:rPr>
              <w:t>生产的需求）。</w:t>
            </w:r>
          </w:p>
          <w:p w14:paraId="520AB2D1">
            <w:pPr>
              <w:adjustRightInd w:val="0"/>
              <w:snapToGrid w:val="0"/>
              <w:spacing w:line="460" w:lineRule="exact"/>
              <w:ind w:firstLine="482" w:firstLineChars="200"/>
              <w:rPr>
                <w:b/>
                <w:bCs/>
                <w:sz w:val="24"/>
              </w:rPr>
            </w:pPr>
            <w:r>
              <w:rPr>
                <w:rFonts w:hint="eastAsia"/>
                <w:b/>
                <w:bCs/>
                <w:sz w:val="24"/>
              </w:rPr>
              <w:t>5、橡胶制品（解放路厂区）</w:t>
            </w:r>
          </w:p>
          <w:p w14:paraId="520AB2D2">
            <w:pPr>
              <w:adjustRightInd w:val="0"/>
              <w:snapToGrid w:val="0"/>
              <w:spacing w:line="360" w:lineRule="auto"/>
              <w:jc w:val="center"/>
              <w:rPr>
                <w:sz w:val="24"/>
              </w:rPr>
            </w:pPr>
            <w:r>
              <w:drawing>
                <wp:inline distT="0" distB="0" distL="0" distR="0">
                  <wp:extent cx="5123815" cy="1804670"/>
                  <wp:effectExtent l="0" t="0" r="635" b="5080"/>
                  <wp:docPr id="136790646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7906460" name="图片 1"/>
                          <pic:cNvPicPr>
                            <a:picLocks noChangeAspect="1"/>
                          </pic:cNvPicPr>
                        </pic:nvPicPr>
                        <pic:blipFill>
                          <a:blip r:embed="rId21"/>
                          <a:stretch>
                            <a:fillRect/>
                          </a:stretch>
                        </pic:blipFill>
                        <pic:spPr>
                          <a:xfrm>
                            <a:off x="0" y="0"/>
                            <a:ext cx="5123815" cy="1804670"/>
                          </a:xfrm>
                          <a:prstGeom prst="rect">
                            <a:avLst/>
                          </a:prstGeom>
                        </pic:spPr>
                      </pic:pic>
                    </a:graphicData>
                  </a:graphic>
                </wp:inline>
              </w:drawing>
            </w:r>
          </w:p>
          <w:p w14:paraId="520AB2D3">
            <w:pPr>
              <w:adjustRightInd w:val="0"/>
              <w:snapToGrid w:val="0"/>
              <w:textAlignment w:val="baseline"/>
              <w:rPr>
                <w:b/>
                <w:sz w:val="24"/>
                <w:szCs w:val="20"/>
              </w:rPr>
            </w:pPr>
            <w:r>
              <w:rPr>
                <w:rFonts w:hint="eastAsia"/>
                <w:bCs/>
                <w:sz w:val="24"/>
                <w:szCs w:val="20"/>
              </w:rPr>
              <w:t>注：G：废气；</w:t>
            </w:r>
            <w:r>
              <w:rPr>
                <w:bCs/>
                <w:sz w:val="24"/>
                <w:szCs w:val="20"/>
              </w:rPr>
              <w:t>S</w:t>
            </w:r>
            <w:r>
              <w:rPr>
                <w:rFonts w:hint="eastAsia"/>
                <w:bCs/>
                <w:sz w:val="24"/>
                <w:szCs w:val="20"/>
              </w:rPr>
              <w:t>：固废；</w:t>
            </w:r>
            <w:r>
              <w:rPr>
                <w:bCs/>
                <w:sz w:val="24"/>
                <w:szCs w:val="20"/>
              </w:rPr>
              <w:t>N</w:t>
            </w:r>
            <w:r>
              <w:rPr>
                <w:rFonts w:hint="eastAsia"/>
                <w:bCs/>
                <w:sz w:val="24"/>
                <w:szCs w:val="20"/>
              </w:rPr>
              <w:t>：噪声</w:t>
            </w:r>
          </w:p>
          <w:p w14:paraId="520AB2D4">
            <w:pPr>
              <w:adjustRightInd w:val="0"/>
              <w:snapToGrid w:val="0"/>
              <w:jc w:val="center"/>
              <w:rPr>
                <w:rFonts w:eastAsia="黑体"/>
                <w:sz w:val="24"/>
                <w:highlight w:val="yellow"/>
              </w:rPr>
            </w:pPr>
            <w:r>
              <w:rPr>
                <w:rFonts w:eastAsia="黑体"/>
                <w:sz w:val="24"/>
              </w:rPr>
              <w:t>图</w:t>
            </w:r>
            <w:r>
              <w:rPr>
                <w:rFonts w:hint="eastAsia" w:eastAsia="黑体"/>
                <w:sz w:val="24"/>
              </w:rPr>
              <w:t>9</w:t>
            </w:r>
            <w:r>
              <w:rPr>
                <w:rFonts w:eastAsia="黑体"/>
                <w:sz w:val="24"/>
              </w:rPr>
              <w:t xml:space="preserve">  </w:t>
            </w:r>
            <w:r>
              <w:rPr>
                <w:rFonts w:hint="eastAsia" w:eastAsia="黑体"/>
                <w:sz w:val="24"/>
              </w:rPr>
              <w:t>现有橡胶制品生产工艺及产污环节流程图</w:t>
            </w:r>
          </w:p>
          <w:p w14:paraId="520AB2D5">
            <w:pPr>
              <w:adjustRightInd w:val="0"/>
              <w:snapToGrid w:val="0"/>
              <w:spacing w:line="460" w:lineRule="exact"/>
              <w:ind w:firstLine="480" w:firstLineChars="200"/>
              <w:rPr>
                <w:sz w:val="24"/>
              </w:rPr>
            </w:pPr>
            <w:r>
              <w:rPr>
                <w:rFonts w:hint="eastAsia"/>
                <w:sz w:val="24"/>
              </w:rPr>
              <w:t>本项目涉及的工艺流程说明：</w:t>
            </w:r>
          </w:p>
          <w:p w14:paraId="520AB2D6">
            <w:pPr>
              <w:adjustRightInd w:val="0"/>
              <w:snapToGrid w:val="0"/>
              <w:spacing w:line="460" w:lineRule="exact"/>
              <w:ind w:firstLine="482" w:firstLineChars="200"/>
              <w:rPr>
                <w:sz w:val="24"/>
              </w:rPr>
            </w:pPr>
            <w:r>
              <w:rPr>
                <w:rFonts w:hint="eastAsia"/>
                <w:b/>
                <w:bCs/>
                <w:sz w:val="24"/>
              </w:rPr>
              <w:t>（1）硫化：</w:t>
            </w:r>
            <w:r>
              <w:rPr>
                <w:rFonts w:hint="eastAsia"/>
                <w:sz w:val="24"/>
              </w:rPr>
              <w:t>硫化是指具有一定塑性和黏性的胶料经过适当加工而制成的半成品在一定外部条件下通过化学因素（即硫化体系）作用重新转化为软质弹性橡胶制品或硬质韧性橡胶制品，从而获得使用性能的工艺过程。硫化的实质是交联，即线型的橡胶分子结构转化为空间网状结构过程，从而使胶料具备高强度、高弹性、高耐磨、抗腐蚀等优良性能。</w:t>
            </w:r>
          </w:p>
          <w:p w14:paraId="520AB2D7">
            <w:pPr>
              <w:adjustRightInd w:val="0"/>
              <w:snapToGrid w:val="0"/>
              <w:spacing w:line="460" w:lineRule="exact"/>
              <w:ind w:firstLine="480" w:firstLineChars="200"/>
              <w:rPr>
                <w:sz w:val="24"/>
              </w:rPr>
            </w:pPr>
            <w:r>
              <w:rPr>
                <w:rFonts w:hint="eastAsia"/>
                <w:sz w:val="24"/>
              </w:rPr>
              <w:t>人工将裁切后的胶料放入硫化机模型内，利用电加热控制硫化温度在1</w:t>
            </w:r>
            <w:r>
              <w:rPr>
                <w:sz w:val="24"/>
              </w:rPr>
              <w:t>50~175℃，</w:t>
            </w:r>
            <w:r>
              <w:rPr>
                <w:rFonts w:hint="eastAsia"/>
                <w:sz w:val="24"/>
              </w:rPr>
              <w:t>根据所需产品的大小、体积不同进行密闭硫化10-40min，硫化完成后，打开硫化机，胶料在硫化机下部操作平台上自然冷却至室温。硫化过程会产生硫化废气，设备运行会产生噪声。</w:t>
            </w:r>
          </w:p>
          <w:p w14:paraId="520AB2D8">
            <w:pPr>
              <w:adjustRightInd w:val="0"/>
              <w:snapToGrid w:val="0"/>
              <w:spacing w:line="460" w:lineRule="exact"/>
              <w:ind w:firstLine="482" w:firstLineChars="200"/>
              <w:rPr>
                <w:sz w:val="24"/>
              </w:rPr>
            </w:pPr>
            <w:r>
              <w:rPr>
                <w:rFonts w:hint="eastAsia"/>
                <w:b/>
                <w:bCs/>
                <w:sz w:val="24"/>
              </w:rPr>
              <w:t>（2）二次硫化：</w:t>
            </w:r>
            <w:r>
              <w:rPr>
                <w:rFonts w:hint="eastAsia"/>
                <w:sz w:val="24"/>
              </w:rPr>
              <w:t>由于部分胶料在模压硫化后未能达到理想的交联程度，需要在高温下保持一定的时间，方可达到理想的交联程度。并且在一次硫化后还有一些小分子物质存在于橡胶内部，需要进行排除，所以部分特种橡胶制品为保证其最终硫化性能，需人工将胶料置于烘箱内进行二次硫化。该过程会产生二次硫化废气，设备运行会产生噪声。</w:t>
            </w:r>
          </w:p>
          <w:p w14:paraId="520AB2D9">
            <w:pPr>
              <w:adjustRightInd w:val="0"/>
              <w:snapToGrid w:val="0"/>
              <w:spacing w:line="460" w:lineRule="exact"/>
              <w:ind w:firstLine="480" w:firstLineChars="200"/>
              <w:rPr>
                <w:sz w:val="24"/>
              </w:rPr>
            </w:pPr>
            <w:r>
              <w:rPr>
                <w:sz w:val="24"/>
              </w:rPr>
              <w:t>本项目</w:t>
            </w:r>
            <w:r>
              <w:rPr>
                <w:rFonts w:hint="eastAsia"/>
                <w:sz w:val="24"/>
              </w:rPr>
              <w:t>解放路</w:t>
            </w:r>
            <w:r>
              <w:rPr>
                <w:sz w:val="24"/>
              </w:rPr>
              <w:t>厂区</w:t>
            </w:r>
            <w:r>
              <w:rPr>
                <w:rFonts w:hint="eastAsia"/>
                <w:sz w:val="24"/>
              </w:rPr>
              <w:t>橡胶制品生产线技术改造</w:t>
            </w:r>
            <w:r>
              <w:rPr>
                <w:sz w:val="24"/>
              </w:rPr>
              <w:t>部分为</w:t>
            </w:r>
            <w:r>
              <w:rPr>
                <w:rFonts w:hint="eastAsia"/>
                <w:sz w:val="24"/>
              </w:rPr>
              <w:t>硫化、二次硫化</w:t>
            </w:r>
            <w:r>
              <w:rPr>
                <w:sz w:val="24"/>
              </w:rPr>
              <w:t>工段，增加</w:t>
            </w:r>
            <w:r>
              <w:rPr>
                <w:rFonts w:hint="eastAsia"/>
                <w:sz w:val="24"/>
              </w:rPr>
              <w:t>硫化机</w:t>
            </w:r>
            <w:r>
              <w:rPr>
                <w:sz w:val="24"/>
              </w:rPr>
              <w:t>、</w:t>
            </w:r>
            <w:r>
              <w:rPr>
                <w:rFonts w:hint="eastAsia"/>
                <w:sz w:val="24"/>
              </w:rPr>
              <w:t>烘箱</w:t>
            </w:r>
            <w:r>
              <w:rPr>
                <w:sz w:val="24"/>
              </w:rPr>
              <w:t>数量</w:t>
            </w:r>
            <w:r>
              <w:rPr>
                <w:rFonts w:hint="eastAsia"/>
                <w:sz w:val="24"/>
              </w:rPr>
              <w:t>，</w:t>
            </w:r>
            <w:r>
              <w:rPr>
                <w:sz w:val="24"/>
              </w:rPr>
              <w:t>原因为：提高作业效率（企业</w:t>
            </w:r>
            <w:r>
              <w:rPr>
                <w:rFonts w:hint="eastAsia"/>
                <w:sz w:val="24"/>
              </w:rPr>
              <w:t>属于</w:t>
            </w:r>
            <w:r>
              <w:rPr>
                <w:sz w:val="24"/>
              </w:rPr>
              <w:t>军工企业，</w:t>
            </w:r>
            <w:r>
              <w:rPr>
                <w:rFonts w:hint="eastAsia"/>
                <w:sz w:val="24"/>
              </w:rPr>
              <w:t>订单周期一般较短，现有部分设备产能不能满足现有订单加急生产的情况，企业为保质保量的按时完成任务，对硫化及二次硫化设备进行补充，在全年产能不变的基础上，满足订单</w:t>
            </w:r>
            <w:r>
              <w:rPr>
                <w:sz w:val="24"/>
              </w:rPr>
              <w:t>高质量高效率</w:t>
            </w:r>
            <w:r>
              <w:rPr>
                <w:rFonts w:hint="eastAsia"/>
                <w:sz w:val="24"/>
              </w:rPr>
              <w:t>生产的需求）。</w:t>
            </w:r>
            <w:r>
              <w:rPr>
                <w:sz w:val="24"/>
              </w:rPr>
              <w:t>企业产能不新增，原辅材料使用量不增加，因此</w:t>
            </w:r>
            <w:r>
              <w:rPr>
                <w:rFonts w:hint="eastAsia"/>
                <w:sz w:val="24"/>
              </w:rPr>
              <w:t>硫化</w:t>
            </w:r>
            <w:r>
              <w:rPr>
                <w:sz w:val="24"/>
              </w:rPr>
              <w:t>及</w:t>
            </w:r>
            <w:r>
              <w:rPr>
                <w:rFonts w:hint="eastAsia"/>
                <w:sz w:val="24"/>
              </w:rPr>
              <w:t>二次硫化不新增污染物</w:t>
            </w:r>
            <w:r>
              <w:rPr>
                <w:sz w:val="24"/>
              </w:rPr>
              <w:t>。</w:t>
            </w:r>
          </w:p>
          <w:p w14:paraId="520AB2DA">
            <w:pPr>
              <w:adjustRightInd w:val="0"/>
              <w:snapToGrid w:val="0"/>
              <w:spacing w:line="460" w:lineRule="exact"/>
              <w:ind w:firstLine="480" w:firstLineChars="200"/>
              <w:rPr>
                <w:rFonts w:eastAsia="黑体"/>
                <w:sz w:val="24"/>
                <w:szCs w:val="20"/>
              </w:rPr>
            </w:pPr>
            <w:r>
              <w:rPr>
                <w:rFonts w:eastAsia="黑体"/>
                <w:sz w:val="24"/>
                <w:szCs w:val="20"/>
              </w:rPr>
              <w:t>二</w:t>
            </w:r>
            <w:r>
              <w:rPr>
                <w:rFonts w:hint="eastAsia" w:eastAsia="黑体"/>
                <w:sz w:val="24"/>
                <w:szCs w:val="20"/>
              </w:rPr>
              <w:t>、</w:t>
            </w:r>
            <w:r>
              <w:rPr>
                <w:rFonts w:eastAsia="黑体"/>
                <w:sz w:val="24"/>
                <w:szCs w:val="20"/>
              </w:rPr>
              <w:t>主要</w:t>
            </w:r>
            <w:r>
              <w:rPr>
                <w:rFonts w:hint="eastAsia" w:eastAsia="黑体"/>
                <w:sz w:val="24"/>
                <w:szCs w:val="20"/>
              </w:rPr>
              <w:t>产排污</w:t>
            </w:r>
            <w:r>
              <w:rPr>
                <w:rFonts w:eastAsia="黑体"/>
                <w:sz w:val="24"/>
                <w:szCs w:val="20"/>
              </w:rPr>
              <w:t>环节</w:t>
            </w:r>
          </w:p>
          <w:p w14:paraId="520AB2DB">
            <w:pPr>
              <w:adjustRightInd w:val="0"/>
              <w:snapToGrid w:val="0"/>
              <w:spacing w:line="460" w:lineRule="exact"/>
              <w:ind w:firstLine="480" w:firstLineChars="200"/>
              <w:textAlignment w:val="baseline"/>
              <w:rPr>
                <w:sz w:val="24"/>
              </w:rPr>
            </w:pPr>
            <w:r>
              <w:rPr>
                <w:sz w:val="24"/>
              </w:rPr>
              <w:t>1、施工期</w:t>
            </w:r>
          </w:p>
          <w:p w14:paraId="520AB2DC">
            <w:pPr>
              <w:adjustRightInd w:val="0"/>
              <w:snapToGrid w:val="0"/>
              <w:spacing w:line="460" w:lineRule="exact"/>
              <w:ind w:firstLine="480" w:firstLineChars="200"/>
              <w:rPr>
                <w:bCs/>
                <w:sz w:val="24"/>
              </w:rPr>
            </w:pPr>
            <w:r>
              <w:rPr>
                <w:rFonts w:hint="eastAsia"/>
                <w:bCs/>
                <w:sz w:val="24"/>
              </w:rPr>
              <w:t>本项目建设涉及新航集团建设路厂区，本项目利用现有厂房进行生产，不存在构筑物的建设，施工期主要工作为设备的安装，设备安装主要是人工组装。</w:t>
            </w:r>
          </w:p>
          <w:p w14:paraId="520AB2DD">
            <w:pPr>
              <w:adjustRightInd w:val="0"/>
              <w:snapToGrid w:val="0"/>
              <w:spacing w:line="460" w:lineRule="exact"/>
              <w:ind w:firstLine="480" w:firstLineChars="200"/>
              <w:textAlignment w:val="baseline"/>
              <w:rPr>
                <w:sz w:val="24"/>
              </w:rPr>
            </w:pPr>
            <w:r>
              <w:rPr>
                <w:rFonts w:hint="eastAsia"/>
                <w:bCs/>
                <w:sz w:val="24"/>
              </w:rPr>
              <w:t>施工期主要污染为施工噪声和工人生活污水，全部施工均在现有车间内，经厂房隔声和距离衰减后施工噪声对周边环境影响不大；生活污水经厂区现有污水处理站处理后排入小尚庄污水处理厂。项目施工时间短暂，随着施工期的结束，施工影响也随之消失。</w:t>
            </w:r>
          </w:p>
          <w:p w14:paraId="520AB2DE">
            <w:pPr>
              <w:adjustRightInd w:val="0"/>
              <w:snapToGrid w:val="0"/>
              <w:spacing w:line="460" w:lineRule="exact"/>
              <w:ind w:firstLine="480" w:firstLineChars="200"/>
              <w:rPr>
                <w:bCs/>
                <w:sz w:val="24"/>
              </w:rPr>
            </w:pPr>
            <w:r>
              <w:rPr>
                <w:rFonts w:hint="eastAsia"/>
                <w:bCs/>
                <w:sz w:val="24"/>
              </w:rPr>
              <w:t>2、</w:t>
            </w:r>
            <w:r>
              <w:rPr>
                <w:bCs/>
                <w:sz w:val="24"/>
              </w:rPr>
              <w:t>营运期</w:t>
            </w:r>
          </w:p>
          <w:p w14:paraId="520AB2DF">
            <w:pPr>
              <w:adjustRightInd w:val="0"/>
              <w:snapToGrid w:val="0"/>
              <w:spacing w:line="460" w:lineRule="exact"/>
              <w:ind w:firstLine="480" w:firstLineChars="200"/>
              <w:textAlignment w:val="baseline"/>
              <w:rPr>
                <w:sz w:val="24"/>
              </w:rPr>
            </w:pPr>
            <w:r>
              <w:rPr>
                <w:sz w:val="24"/>
              </w:rPr>
              <w:t>本项目营运期主要污染物、产污环节及防治措施详见</w:t>
            </w:r>
            <w:r>
              <w:rPr>
                <w:rFonts w:hint="eastAsia"/>
                <w:sz w:val="24"/>
              </w:rPr>
              <w:t>下表</w:t>
            </w:r>
            <w:r>
              <w:rPr>
                <w:sz w:val="24"/>
              </w:rPr>
              <w:t>。</w:t>
            </w:r>
          </w:p>
          <w:p w14:paraId="019B9D4D">
            <w:pPr>
              <w:adjustRightInd w:val="0"/>
              <w:snapToGrid w:val="0"/>
              <w:spacing w:line="460" w:lineRule="exact"/>
              <w:ind w:firstLine="480" w:firstLineChars="200"/>
              <w:textAlignment w:val="baseline"/>
              <w:rPr>
                <w:rFonts w:eastAsia="黑体"/>
                <w:bCs/>
                <w:sz w:val="24"/>
              </w:rPr>
            </w:pPr>
          </w:p>
          <w:p w14:paraId="52541B01">
            <w:pPr>
              <w:adjustRightInd w:val="0"/>
              <w:snapToGrid w:val="0"/>
              <w:spacing w:line="460" w:lineRule="exact"/>
              <w:ind w:firstLine="480" w:firstLineChars="200"/>
              <w:textAlignment w:val="baseline"/>
              <w:rPr>
                <w:rFonts w:eastAsia="黑体"/>
                <w:bCs/>
                <w:sz w:val="24"/>
              </w:rPr>
            </w:pPr>
          </w:p>
          <w:p w14:paraId="520AB2E0">
            <w:pPr>
              <w:adjustRightInd w:val="0"/>
              <w:snapToGrid w:val="0"/>
              <w:spacing w:line="460" w:lineRule="exact"/>
              <w:ind w:firstLine="480" w:firstLineChars="200"/>
              <w:textAlignment w:val="baseline"/>
              <w:rPr>
                <w:sz w:val="24"/>
              </w:rPr>
            </w:pPr>
            <w:r>
              <w:rPr>
                <w:rFonts w:eastAsia="黑体"/>
                <w:bCs/>
                <w:sz w:val="24"/>
              </w:rPr>
              <w:t>表</w:t>
            </w:r>
            <w:r>
              <w:rPr>
                <w:rFonts w:hint="eastAsia" w:eastAsia="黑体"/>
                <w:bCs/>
                <w:sz w:val="24"/>
              </w:rPr>
              <w:t>16</w:t>
            </w:r>
            <w:r>
              <w:rPr>
                <w:rFonts w:eastAsia="黑体"/>
                <w:bCs/>
                <w:sz w:val="24"/>
              </w:rPr>
              <w:t xml:space="preserve">             </w:t>
            </w:r>
            <w:r>
              <w:rPr>
                <w:rFonts w:hint="eastAsia" w:eastAsia="黑体"/>
                <w:bCs/>
                <w:sz w:val="24"/>
              </w:rPr>
              <w:t xml:space="preserve"> </w:t>
            </w:r>
            <w:r>
              <w:rPr>
                <w:rFonts w:eastAsia="黑体"/>
                <w:bCs/>
                <w:sz w:val="24"/>
              </w:rPr>
              <w:t>项目营运期产污环节一览表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1" w:type="dxa"/>
                <w:bottom w:w="0" w:type="dxa"/>
                <w:right w:w="11" w:type="dxa"/>
              </w:tblCellMar>
            </w:tblPr>
            <w:tblGrid>
              <w:gridCol w:w="464"/>
              <w:gridCol w:w="496"/>
              <w:gridCol w:w="496"/>
              <w:gridCol w:w="705"/>
              <w:gridCol w:w="709"/>
              <w:gridCol w:w="1417"/>
              <w:gridCol w:w="3782"/>
            </w:tblGrid>
            <w:tr w14:paraId="520AB2E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Align w:val="center"/>
                </w:tcPr>
                <w:p w14:paraId="520AB2E1">
                  <w:pPr>
                    <w:jc w:val="center"/>
                    <w:rPr>
                      <w:b/>
                      <w:szCs w:val="21"/>
                    </w:rPr>
                  </w:pPr>
                  <w:r>
                    <w:rPr>
                      <w:rFonts w:hint="eastAsia"/>
                      <w:b/>
                      <w:szCs w:val="21"/>
                    </w:rPr>
                    <w:t>厂区</w:t>
                  </w:r>
                </w:p>
              </w:tc>
              <w:tc>
                <w:tcPr>
                  <w:tcW w:w="992" w:type="dxa"/>
                  <w:gridSpan w:val="2"/>
                  <w:vAlign w:val="center"/>
                </w:tcPr>
                <w:p w14:paraId="520AB2E2">
                  <w:pPr>
                    <w:jc w:val="center"/>
                    <w:rPr>
                      <w:b/>
                      <w:szCs w:val="21"/>
                    </w:rPr>
                  </w:pPr>
                  <w:r>
                    <w:rPr>
                      <w:b/>
                      <w:szCs w:val="21"/>
                    </w:rPr>
                    <w:t>污染因素</w:t>
                  </w:r>
                </w:p>
              </w:tc>
              <w:tc>
                <w:tcPr>
                  <w:tcW w:w="1414" w:type="dxa"/>
                  <w:gridSpan w:val="2"/>
                  <w:vAlign w:val="center"/>
                </w:tcPr>
                <w:p w14:paraId="520AB2E3">
                  <w:pPr>
                    <w:jc w:val="center"/>
                    <w:rPr>
                      <w:b/>
                      <w:szCs w:val="21"/>
                    </w:rPr>
                  </w:pPr>
                  <w:r>
                    <w:rPr>
                      <w:b/>
                      <w:szCs w:val="21"/>
                    </w:rPr>
                    <w:t>产污环节</w:t>
                  </w:r>
                </w:p>
              </w:tc>
              <w:tc>
                <w:tcPr>
                  <w:tcW w:w="1417" w:type="dxa"/>
                  <w:vAlign w:val="center"/>
                </w:tcPr>
                <w:p w14:paraId="520AB2E4">
                  <w:pPr>
                    <w:jc w:val="center"/>
                    <w:rPr>
                      <w:b/>
                      <w:szCs w:val="21"/>
                    </w:rPr>
                  </w:pPr>
                  <w:r>
                    <w:rPr>
                      <w:b/>
                      <w:szCs w:val="21"/>
                    </w:rPr>
                    <w:t>污染物</w:t>
                  </w:r>
                </w:p>
              </w:tc>
              <w:tc>
                <w:tcPr>
                  <w:tcW w:w="3782" w:type="dxa"/>
                  <w:vAlign w:val="center"/>
                </w:tcPr>
                <w:p w14:paraId="520AB2E5">
                  <w:pPr>
                    <w:jc w:val="center"/>
                    <w:rPr>
                      <w:b/>
                      <w:szCs w:val="21"/>
                    </w:rPr>
                  </w:pPr>
                  <w:r>
                    <w:rPr>
                      <w:b/>
                      <w:szCs w:val="21"/>
                    </w:rPr>
                    <w:t>防治措施</w:t>
                  </w:r>
                </w:p>
              </w:tc>
            </w:tr>
            <w:tr w14:paraId="520AB2E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restart"/>
                  <w:vAlign w:val="center"/>
                </w:tcPr>
                <w:p w14:paraId="520AB2E7">
                  <w:pPr>
                    <w:jc w:val="center"/>
                    <w:rPr>
                      <w:bCs/>
                      <w:szCs w:val="21"/>
                    </w:rPr>
                  </w:pPr>
                  <w:r>
                    <w:rPr>
                      <w:rFonts w:hint="eastAsia"/>
                      <w:bCs/>
                    </w:rPr>
                    <w:t>建设路厂区</w:t>
                  </w:r>
                </w:p>
              </w:tc>
              <w:tc>
                <w:tcPr>
                  <w:tcW w:w="992" w:type="dxa"/>
                  <w:gridSpan w:val="2"/>
                  <w:vMerge w:val="restart"/>
                  <w:vAlign w:val="center"/>
                </w:tcPr>
                <w:p w14:paraId="520AB2E8">
                  <w:pPr>
                    <w:pStyle w:val="41"/>
                    <w:rPr>
                      <w:bCs/>
                      <w:lang w:val="en-US"/>
                    </w:rPr>
                  </w:pPr>
                  <w:r>
                    <w:rPr>
                      <w:rFonts w:hint="eastAsia"/>
                      <w:bCs/>
                    </w:rPr>
                    <w:t>废水</w:t>
                  </w:r>
                </w:p>
              </w:tc>
              <w:tc>
                <w:tcPr>
                  <w:tcW w:w="1414" w:type="dxa"/>
                  <w:gridSpan w:val="2"/>
                  <w:vAlign w:val="center"/>
                </w:tcPr>
                <w:p w14:paraId="520AB2E9">
                  <w:pPr>
                    <w:pStyle w:val="41"/>
                    <w:rPr>
                      <w:bCs/>
                      <w:lang w:val="en-US"/>
                    </w:rPr>
                  </w:pPr>
                  <w:r>
                    <w:rPr>
                      <w:rFonts w:hint="eastAsia"/>
                    </w:rPr>
                    <w:t>纯水制备</w:t>
                  </w:r>
                  <w:r>
                    <w:t>废水</w:t>
                  </w:r>
                </w:p>
              </w:tc>
              <w:tc>
                <w:tcPr>
                  <w:tcW w:w="1417" w:type="dxa"/>
                  <w:vAlign w:val="center"/>
                </w:tcPr>
                <w:p w14:paraId="520AB2EA">
                  <w:pPr>
                    <w:pStyle w:val="41"/>
                    <w:rPr>
                      <w:bCs/>
                      <w:lang w:val="en-US"/>
                    </w:rPr>
                  </w:pPr>
                  <w:r>
                    <w:rPr>
                      <w:rFonts w:hint="eastAsia"/>
                      <w:bCs/>
                      <w:lang w:val="en-US"/>
                    </w:rPr>
                    <w:t>COD、SS</w:t>
                  </w:r>
                </w:p>
              </w:tc>
              <w:tc>
                <w:tcPr>
                  <w:tcW w:w="3782" w:type="dxa"/>
                  <w:vMerge w:val="restart"/>
                  <w:vAlign w:val="center"/>
                </w:tcPr>
                <w:p w14:paraId="520AB2EB">
                  <w:pPr>
                    <w:jc w:val="center"/>
                    <w:rPr>
                      <w:bCs/>
                      <w:szCs w:val="21"/>
                    </w:rPr>
                  </w:pPr>
                  <w:r>
                    <w:rPr>
                      <w:bCs/>
                    </w:rPr>
                    <w:t>进入厂区现有综合废水污水处理</w:t>
                  </w:r>
                  <w:r>
                    <w:rPr>
                      <w:rFonts w:hint="eastAsia"/>
                      <w:bCs/>
                    </w:rPr>
                    <w:t>设施</w:t>
                  </w:r>
                  <w:r>
                    <w:t>（格栅渠-隔油池</w:t>
                  </w:r>
                  <w:r>
                    <w:rPr>
                      <w:rFonts w:hint="eastAsia"/>
                    </w:rPr>
                    <w:t>-</w:t>
                  </w:r>
                  <w:r>
                    <w:t>调节池-混凝反应池-沉淀池1-水解酸化池-接触氧化池-沉淀池2-沉淀池3-清水池）处理后经厂区总排口排入小尚庄污水处</w:t>
                  </w:r>
                  <w:r>
                    <w:rPr>
                      <w:rFonts w:hint="eastAsia"/>
                    </w:rPr>
                    <w:t>理</w:t>
                  </w:r>
                  <w:r>
                    <w:t>厂</w:t>
                  </w:r>
                </w:p>
              </w:tc>
            </w:tr>
            <w:tr w14:paraId="520AB2F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2ED">
                  <w:pPr>
                    <w:jc w:val="center"/>
                    <w:rPr>
                      <w:bCs/>
                      <w:szCs w:val="21"/>
                    </w:rPr>
                  </w:pPr>
                </w:p>
              </w:tc>
              <w:tc>
                <w:tcPr>
                  <w:tcW w:w="992" w:type="dxa"/>
                  <w:gridSpan w:val="2"/>
                  <w:vMerge w:val="continue"/>
                  <w:vAlign w:val="center"/>
                </w:tcPr>
                <w:p w14:paraId="520AB2EE">
                  <w:pPr>
                    <w:pStyle w:val="41"/>
                    <w:rPr>
                      <w:bCs/>
                      <w:lang w:val="en-US"/>
                    </w:rPr>
                  </w:pPr>
                </w:p>
              </w:tc>
              <w:tc>
                <w:tcPr>
                  <w:tcW w:w="1414" w:type="dxa"/>
                  <w:gridSpan w:val="2"/>
                  <w:vAlign w:val="center"/>
                </w:tcPr>
                <w:p w14:paraId="520AB2EF">
                  <w:pPr>
                    <w:pStyle w:val="41"/>
                    <w:rPr>
                      <w:bCs/>
                      <w:lang w:val="en-US"/>
                    </w:rPr>
                  </w:pPr>
                  <w:r>
                    <w:rPr>
                      <w:rFonts w:hint="eastAsia"/>
                    </w:rPr>
                    <w:t>蒸汽发生器排污水</w:t>
                  </w:r>
                </w:p>
              </w:tc>
              <w:tc>
                <w:tcPr>
                  <w:tcW w:w="1417" w:type="dxa"/>
                  <w:vAlign w:val="center"/>
                </w:tcPr>
                <w:p w14:paraId="520AB2F0">
                  <w:pPr>
                    <w:pStyle w:val="41"/>
                    <w:rPr>
                      <w:bCs/>
                      <w:lang w:val="en-US"/>
                    </w:rPr>
                  </w:pPr>
                  <w:r>
                    <w:rPr>
                      <w:rFonts w:hint="eastAsia"/>
                      <w:bCs/>
                      <w:lang w:val="en-US"/>
                    </w:rPr>
                    <w:t>COD、SS</w:t>
                  </w:r>
                </w:p>
              </w:tc>
              <w:tc>
                <w:tcPr>
                  <w:tcW w:w="3782" w:type="dxa"/>
                  <w:vMerge w:val="continue"/>
                  <w:vAlign w:val="center"/>
                </w:tcPr>
                <w:p w14:paraId="520AB2F1">
                  <w:pPr>
                    <w:jc w:val="center"/>
                    <w:rPr>
                      <w:bCs/>
                      <w:szCs w:val="21"/>
                    </w:rPr>
                  </w:pPr>
                </w:p>
              </w:tc>
            </w:tr>
            <w:tr w14:paraId="10FCD79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8D19E51">
                  <w:pPr>
                    <w:jc w:val="center"/>
                    <w:rPr>
                      <w:bCs/>
                      <w:szCs w:val="21"/>
                    </w:rPr>
                  </w:pPr>
                </w:p>
              </w:tc>
              <w:tc>
                <w:tcPr>
                  <w:tcW w:w="992" w:type="dxa"/>
                  <w:gridSpan w:val="2"/>
                  <w:vMerge w:val="restart"/>
                  <w:vAlign w:val="center"/>
                </w:tcPr>
                <w:p w14:paraId="7CB36EBA">
                  <w:pPr>
                    <w:pStyle w:val="41"/>
                    <w:rPr>
                      <w:bCs/>
                    </w:rPr>
                  </w:pPr>
                  <w:r>
                    <w:rPr>
                      <w:bCs/>
                    </w:rPr>
                    <w:t>废气</w:t>
                  </w:r>
                </w:p>
              </w:tc>
              <w:tc>
                <w:tcPr>
                  <w:tcW w:w="705" w:type="dxa"/>
                  <w:vAlign w:val="center"/>
                </w:tcPr>
                <w:p w14:paraId="0AABC597">
                  <w:pPr>
                    <w:pStyle w:val="41"/>
                    <w:rPr>
                      <w:lang w:val="en-US"/>
                    </w:rPr>
                  </w:pPr>
                  <w:r>
                    <w:rPr>
                      <w:rFonts w:hint="eastAsia"/>
                      <w:lang w:val="en-US"/>
                    </w:rPr>
                    <w:t>抛丸废气</w:t>
                  </w:r>
                </w:p>
              </w:tc>
              <w:tc>
                <w:tcPr>
                  <w:tcW w:w="709" w:type="dxa"/>
                  <w:vAlign w:val="center"/>
                </w:tcPr>
                <w:p w14:paraId="7AC7FA9C">
                  <w:pPr>
                    <w:pStyle w:val="41"/>
                  </w:pPr>
                  <w:r>
                    <w:rPr>
                      <w:rFonts w:hint="eastAsia"/>
                    </w:rPr>
                    <w:t>105#厂房</w:t>
                  </w:r>
                </w:p>
              </w:tc>
              <w:tc>
                <w:tcPr>
                  <w:tcW w:w="1417" w:type="dxa"/>
                  <w:vAlign w:val="center"/>
                </w:tcPr>
                <w:p w14:paraId="64E61AD2">
                  <w:pPr>
                    <w:pStyle w:val="41"/>
                    <w:rPr>
                      <w:bCs/>
                      <w:lang w:val="en-US"/>
                    </w:rPr>
                  </w:pPr>
                  <w:r>
                    <w:rPr>
                      <w:rFonts w:hint="eastAsia"/>
                      <w:bCs/>
                      <w:lang w:val="en-US"/>
                    </w:rPr>
                    <w:t>颗粒物</w:t>
                  </w:r>
                </w:p>
              </w:tc>
              <w:tc>
                <w:tcPr>
                  <w:tcW w:w="3782" w:type="dxa"/>
                  <w:vAlign w:val="center"/>
                </w:tcPr>
                <w:p w14:paraId="6A9FD6B5">
                  <w:pPr>
                    <w:jc w:val="center"/>
                    <w:rPr>
                      <w:bCs/>
                    </w:rPr>
                  </w:pPr>
                  <w:r>
                    <w:rPr>
                      <w:rFonts w:hint="eastAsia"/>
                      <w:bCs/>
                    </w:rPr>
                    <w:t>袋式除尘器+水喷淋+15m高排气筒DA019（依托在建）</w:t>
                  </w:r>
                </w:p>
              </w:tc>
            </w:tr>
            <w:tr w14:paraId="520AB2F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2F3">
                  <w:pPr>
                    <w:jc w:val="center"/>
                    <w:rPr>
                      <w:bCs/>
                      <w:szCs w:val="21"/>
                    </w:rPr>
                  </w:pPr>
                </w:p>
              </w:tc>
              <w:tc>
                <w:tcPr>
                  <w:tcW w:w="992" w:type="dxa"/>
                  <w:gridSpan w:val="2"/>
                  <w:vMerge w:val="continue"/>
                  <w:vAlign w:val="center"/>
                </w:tcPr>
                <w:p w14:paraId="520AB2F4">
                  <w:pPr>
                    <w:pStyle w:val="41"/>
                    <w:rPr>
                      <w:bCs/>
                      <w:lang w:val="en-US"/>
                    </w:rPr>
                  </w:pPr>
                </w:p>
              </w:tc>
              <w:tc>
                <w:tcPr>
                  <w:tcW w:w="705" w:type="dxa"/>
                  <w:vMerge w:val="restart"/>
                  <w:vAlign w:val="center"/>
                </w:tcPr>
                <w:p w14:paraId="520AB2F5">
                  <w:pPr>
                    <w:pStyle w:val="41"/>
                    <w:rPr>
                      <w:bCs/>
                      <w:lang w:val="en-US"/>
                    </w:rPr>
                  </w:pPr>
                  <w:r>
                    <w:rPr>
                      <w:rFonts w:hint="eastAsia"/>
                      <w:lang w:val="en-US"/>
                    </w:rPr>
                    <w:t>油类试验废气</w:t>
                  </w:r>
                </w:p>
              </w:tc>
              <w:tc>
                <w:tcPr>
                  <w:tcW w:w="709" w:type="dxa"/>
                  <w:vAlign w:val="center"/>
                </w:tcPr>
                <w:p w14:paraId="520AB2F6">
                  <w:pPr>
                    <w:pStyle w:val="41"/>
                    <w:rPr>
                      <w:bCs/>
                      <w:lang w:val="en-US"/>
                    </w:rPr>
                  </w:pPr>
                  <w:r>
                    <w:rPr>
                      <w:rFonts w:hint="eastAsia"/>
                    </w:rPr>
                    <w:t>1205#厂房</w:t>
                  </w:r>
                </w:p>
              </w:tc>
              <w:tc>
                <w:tcPr>
                  <w:tcW w:w="1417" w:type="dxa"/>
                  <w:vAlign w:val="center"/>
                </w:tcPr>
                <w:p w14:paraId="520AB2F7">
                  <w:pPr>
                    <w:pStyle w:val="41"/>
                    <w:rPr>
                      <w:bCs/>
                      <w:lang w:val="en-US"/>
                    </w:rPr>
                  </w:pPr>
                  <w:r>
                    <w:rPr>
                      <w:rFonts w:hint="eastAsia"/>
                      <w:bCs/>
                      <w:lang w:val="en-US"/>
                    </w:rPr>
                    <w:t>非甲烷总烃</w:t>
                  </w:r>
                </w:p>
              </w:tc>
              <w:tc>
                <w:tcPr>
                  <w:tcW w:w="3782" w:type="dxa"/>
                  <w:vAlign w:val="center"/>
                </w:tcPr>
                <w:p w14:paraId="520AB2F8">
                  <w:pPr>
                    <w:jc w:val="center"/>
                    <w:rPr>
                      <w:bCs/>
                      <w:szCs w:val="21"/>
                    </w:rPr>
                  </w:pPr>
                  <w:r>
                    <w:rPr>
                      <w:rFonts w:hint="eastAsia"/>
                      <w:bCs/>
                    </w:rPr>
                    <w:t>活性炭吸附/脱附-催化燃烧装置TA030+15m高排气筒DA030（依托在建）</w:t>
                  </w:r>
                </w:p>
              </w:tc>
            </w:tr>
            <w:tr w14:paraId="520AB30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2FA">
                  <w:pPr>
                    <w:jc w:val="center"/>
                    <w:rPr>
                      <w:bCs/>
                      <w:szCs w:val="21"/>
                    </w:rPr>
                  </w:pPr>
                </w:p>
              </w:tc>
              <w:tc>
                <w:tcPr>
                  <w:tcW w:w="992" w:type="dxa"/>
                  <w:gridSpan w:val="2"/>
                  <w:vMerge w:val="continue"/>
                  <w:vAlign w:val="center"/>
                </w:tcPr>
                <w:p w14:paraId="520AB2FB">
                  <w:pPr>
                    <w:pStyle w:val="41"/>
                    <w:rPr>
                      <w:bCs/>
                      <w:lang w:val="en-US"/>
                    </w:rPr>
                  </w:pPr>
                </w:p>
              </w:tc>
              <w:tc>
                <w:tcPr>
                  <w:tcW w:w="705" w:type="dxa"/>
                  <w:vMerge w:val="continue"/>
                  <w:vAlign w:val="center"/>
                </w:tcPr>
                <w:p w14:paraId="520AB2FC">
                  <w:pPr>
                    <w:pStyle w:val="41"/>
                    <w:rPr>
                      <w:bCs/>
                      <w:lang w:val="en-US"/>
                    </w:rPr>
                  </w:pPr>
                </w:p>
              </w:tc>
              <w:tc>
                <w:tcPr>
                  <w:tcW w:w="709" w:type="dxa"/>
                  <w:vAlign w:val="center"/>
                </w:tcPr>
                <w:p w14:paraId="520AB2FD">
                  <w:pPr>
                    <w:pStyle w:val="41"/>
                    <w:rPr>
                      <w:bCs/>
                      <w:lang w:val="en-US"/>
                    </w:rPr>
                  </w:pPr>
                  <w:r>
                    <w:rPr>
                      <w:rFonts w:hint="eastAsia"/>
                    </w:rPr>
                    <w:t>101#厂房</w:t>
                  </w:r>
                </w:p>
              </w:tc>
              <w:tc>
                <w:tcPr>
                  <w:tcW w:w="1417" w:type="dxa"/>
                  <w:vAlign w:val="center"/>
                </w:tcPr>
                <w:p w14:paraId="520AB2FE">
                  <w:pPr>
                    <w:pStyle w:val="41"/>
                    <w:rPr>
                      <w:bCs/>
                      <w:lang w:val="en-US"/>
                    </w:rPr>
                  </w:pPr>
                  <w:r>
                    <w:rPr>
                      <w:rFonts w:hint="eastAsia"/>
                      <w:bCs/>
                      <w:lang w:val="en-US"/>
                    </w:rPr>
                    <w:t>非甲烷总烃</w:t>
                  </w:r>
                </w:p>
              </w:tc>
              <w:tc>
                <w:tcPr>
                  <w:tcW w:w="3782" w:type="dxa"/>
                  <w:vAlign w:val="center"/>
                </w:tcPr>
                <w:p w14:paraId="520AB2FF">
                  <w:pPr>
                    <w:jc w:val="center"/>
                    <w:rPr>
                      <w:bCs/>
                      <w:szCs w:val="21"/>
                    </w:rPr>
                  </w:pPr>
                  <w:r>
                    <w:rPr>
                      <w:rFonts w:hint="eastAsia"/>
                      <w:bCs/>
                    </w:rPr>
                    <w:t>干式过滤+活性炭吸脱附-催化燃烧装置TA025+15m高排气筒DA025（利用现有）</w:t>
                  </w:r>
                </w:p>
              </w:tc>
            </w:tr>
            <w:tr w14:paraId="520AB30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301">
                  <w:pPr>
                    <w:jc w:val="center"/>
                    <w:rPr>
                      <w:bCs/>
                      <w:szCs w:val="21"/>
                    </w:rPr>
                  </w:pPr>
                </w:p>
              </w:tc>
              <w:tc>
                <w:tcPr>
                  <w:tcW w:w="992" w:type="dxa"/>
                  <w:gridSpan w:val="2"/>
                  <w:vMerge w:val="continue"/>
                  <w:vAlign w:val="center"/>
                </w:tcPr>
                <w:p w14:paraId="520AB302">
                  <w:pPr>
                    <w:pStyle w:val="41"/>
                    <w:rPr>
                      <w:bCs/>
                      <w:lang w:val="en-US"/>
                    </w:rPr>
                  </w:pPr>
                </w:p>
              </w:tc>
              <w:tc>
                <w:tcPr>
                  <w:tcW w:w="705" w:type="dxa"/>
                  <w:vAlign w:val="center"/>
                </w:tcPr>
                <w:p w14:paraId="520AB303">
                  <w:pPr>
                    <w:pStyle w:val="41"/>
                    <w:rPr>
                      <w:bCs/>
                      <w:lang w:val="en-US"/>
                    </w:rPr>
                  </w:pPr>
                  <w:r>
                    <w:rPr>
                      <w:rFonts w:hint="eastAsia"/>
                    </w:rPr>
                    <w:t>冷却系统试验废气</w:t>
                  </w:r>
                </w:p>
              </w:tc>
              <w:tc>
                <w:tcPr>
                  <w:tcW w:w="709" w:type="dxa"/>
                  <w:vAlign w:val="center"/>
                </w:tcPr>
                <w:p w14:paraId="520AB304">
                  <w:pPr>
                    <w:pStyle w:val="41"/>
                  </w:pPr>
                  <w:r>
                    <w:rPr>
                      <w:rFonts w:hint="eastAsia"/>
                    </w:rPr>
                    <w:t>1206#厂房</w:t>
                  </w:r>
                </w:p>
              </w:tc>
              <w:tc>
                <w:tcPr>
                  <w:tcW w:w="1417" w:type="dxa"/>
                  <w:vAlign w:val="center"/>
                </w:tcPr>
                <w:p w14:paraId="520AB305">
                  <w:pPr>
                    <w:pStyle w:val="41"/>
                    <w:rPr>
                      <w:bCs/>
                      <w:lang w:val="en-US"/>
                    </w:rPr>
                  </w:pPr>
                  <w:r>
                    <w:rPr>
                      <w:rFonts w:hint="eastAsia"/>
                      <w:bCs/>
                      <w:lang w:val="en-US"/>
                    </w:rPr>
                    <w:t>非甲烷总烃</w:t>
                  </w:r>
                </w:p>
              </w:tc>
              <w:tc>
                <w:tcPr>
                  <w:tcW w:w="3782" w:type="dxa"/>
                  <w:vAlign w:val="center"/>
                </w:tcPr>
                <w:p w14:paraId="520AB306">
                  <w:pPr>
                    <w:jc w:val="center"/>
                    <w:rPr>
                      <w:bCs/>
                    </w:rPr>
                  </w:pPr>
                  <w:r>
                    <w:rPr>
                      <w:rFonts w:hint="eastAsia"/>
                      <w:bCs/>
                    </w:rPr>
                    <w:t>干式过滤+活性炭吸脱附-催化燃烧装置TA026+15m高排气筒DA026（利用现有）</w:t>
                  </w:r>
                </w:p>
              </w:tc>
            </w:tr>
            <w:tr w14:paraId="520AB30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308">
                  <w:pPr>
                    <w:jc w:val="center"/>
                    <w:rPr>
                      <w:bCs/>
                      <w:szCs w:val="21"/>
                      <w:highlight w:val="yellow"/>
                    </w:rPr>
                  </w:pPr>
                </w:p>
              </w:tc>
              <w:tc>
                <w:tcPr>
                  <w:tcW w:w="992" w:type="dxa"/>
                  <w:gridSpan w:val="2"/>
                  <w:vAlign w:val="center"/>
                </w:tcPr>
                <w:p w14:paraId="520AB309">
                  <w:pPr>
                    <w:jc w:val="center"/>
                    <w:rPr>
                      <w:bCs/>
                      <w:szCs w:val="21"/>
                      <w:highlight w:val="yellow"/>
                    </w:rPr>
                  </w:pPr>
                  <w:r>
                    <w:rPr>
                      <w:bCs/>
                      <w:szCs w:val="21"/>
                    </w:rPr>
                    <w:t>噪声</w:t>
                  </w:r>
                </w:p>
              </w:tc>
              <w:tc>
                <w:tcPr>
                  <w:tcW w:w="1414" w:type="dxa"/>
                  <w:gridSpan w:val="2"/>
                  <w:vAlign w:val="center"/>
                </w:tcPr>
                <w:p w14:paraId="520AB30A">
                  <w:pPr>
                    <w:jc w:val="center"/>
                    <w:rPr>
                      <w:bCs/>
                      <w:szCs w:val="21"/>
                      <w:highlight w:val="yellow"/>
                    </w:rPr>
                  </w:pPr>
                  <w:r>
                    <w:rPr>
                      <w:rFonts w:hint="eastAsia" w:cs="宋体"/>
                      <w:szCs w:val="21"/>
                    </w:rPr>
                    <w:t>卧式加工中心（四轴）、滑油冲洗试验台、液压高低压冲击试验台等</w:t>
                  </w:r>
                </w:p>
              </w:tc>
              <w:tc>
                <w:tcPr>
                  <w:tcW w:w="1417" w:type="dxa"/>
                  <w:vAlign w:val="center"/>
                </w:tcPr>
                <w:p w14:paraId="520AB30B">
                  <w:pPr>
                    <w:jc w:val="center"/>
                    <w:rPr>
                      <w:bCs/>
                      <w:szCs w:val="21"/>
                    </w:rPr>
                  </w:pPr>
                  <w:r>
                    <w:rPr>
                      <w:bCs/>
                      <w:szCs w:val="21"/>
                    </w:rPr>
                    <w:t>噪声</w:t>
                  </w:r>
                </w:p>
              </w:tc>
              <w:tc>
                <w:tcPr>
                  <w:tcW w:w="3782" w:type="dxa"/>
                  <w:vAlign w:val="center"/>
                </w:tcPr>
                <w:p w14:paraId="520AB30C">
                  <w:pPr>
                    <w:jc w:val="center"/>
                    <w:rPr>
                      <w:bCs/>
                      <w:szCs w:val="21"/>
                    </w:rPr>
                  </w:pPr>
                  <w:r>
                    <w:rPr>
                      <w:bCs/>
                      <w:szCs w:val="21"/>
                    </w:rPr>
                    <w:t>基础减振、</w:t>
                  </w:r>
                  <w:r>
                    <w:rPr>
                      <w:rFonts w:hint="eastAsia"/>
                      <w:bCs/>
                      <w:szCs w:val="21"/>
                    </w:rPr>
                    <w:t>厂房</w:t>
                  </w:r>
                  <w:r>
                    <w:rPr>
                      <w:bCs/>
                      <w:szCs w:val="21"/>
                    </w:rPr>
                    <w:t>隔声等</w:t>
                  </w:r>
                </w:p>
              </w:tc>
            </w:tr>
            <w:tr w14:paraId="520AB31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30E">
                  <w:pPr>
                    <w:jc w:val="center"/>
                    <w:rPr>
                      <w:bCs/>
                      <w:szCs w:val="21"/>
                    </w:rPr>
                  </w:pPr>
                </w:p>
              </w:tc>
              <w:tc>
                <w:tcPr>
                  <w:tcW w:w="496" w:type="dxa"/>
                  <w:vMerge w:val="restart"/>
                  <w:vAlign w:val="center"/>
                </w:tcPr>
                <w:p w14:paraId="520AB30F">
                  <w:pPr>
                    <w:pStyle w:val="41"/>
                    <w:rPr>
                      <w:bCs/>
                      <w:lang w:val="en-US"/>
                    </w:rPr>
                  </w:pPr>
                  <w:r>
                    <w:rPr>
                      <w:bCs/>
                    </w:rPr>
                    <w:t>固废</w:t>
                  </w:r>
                </w:p>
              </w:tc>
              <w:tc>
                <w:tcPr>
                  <w:tcW w:w="496" w:type="dxa"/>
                  <w:vMerge w:val="restart"/>
                  <w:vAlign w:val="center"/>
                </w:tcPr>
                <w:p w14:paraId="520AB310">
                  <w:pPr>
                    <w:pStyle w:val="41"/>
                    <w:rPr>
                      <w:bCs/>
                      <w:lang w:val="en-US"/>
                    </w:rPr>
                  </w:pPr>
                  <w:r>
                    <w:rPr>
                      <w:rFonts w:hint="eastAsia"/>
                      <w:bCs/>
                      <w:lang w:val="en-US"/>
                    </w:rPr>
                    <w:t>危险废物</w:t>
                  </w:r>
                </w:p>
              </w:tc>
              <w:tc>
                <w:tcPr>
                  <w:tcW w:w="1414" w:type="dxa"/>
                  <w:gridSpan w:val="2"/>
                  <w:vAlign w:val="center"/>
                </w:tcPr>
                <w:p w14:paraId="520AB311">
                  <w:pPr>
                    <w:pStyle w:val="41"/>
                    <w:rPr>
                      <w:bCs/>
                      <w:highlight w:val="yellow"/>
                      <w:lang w:val="en-US"/>
                    </w:rPr>
                  </w:pPr>
                  <w:r>
                    <w:rPr>
                      <w:rFonts w:hint="eastAsia"/>
                      <w:bCs/>
                    </w:rPr>
                    <w:t>机加工</w:t>
                  </w:r>
                </w:p>
              </w:tc>
              <w:tc>
                <w:tcPr>
                  <w:tcW w:w="1417" w:type="dxa"/>
                  <w:vAlign w:val="center"/>
                </w:tcPr>
                <w:p w14:paraId="520AB312">
                  <w:pPr>
                    <w:pStyle w:val="41"/>
                    <w:rPr>
                      <w:bCs/>
                      <w:lang w:val="en-US"/>
                    </w:rPr>
                  </w:pPr>
                  <w:r>
                    <w:rPr>
                      <w:rFonts w:hint="eastAsia"/>
                      <w:bCs/>
                    </w:rPr>
                    <w:t>废切削液</w:t>
                  </w:r>
                </w:p>
              </w:tc>
              <w:tc>
                <w:tcPr>
                  <w:tcW w:w="3782" w:type="dxa"/>
                  <w:vAlign w:val="center"/>
                </w:tcPr>
                <w:p w14:paraId="520AB313">
                  <w:pPr>
                    <w:pStyle w:val="41"/>
                    <w:rPr>
                      <w:bCs/>
                      <w:lang w:val="en-US"/>
                    </w:rPr>
                  </w:pPr>
                  <w:r>
                    <w:rPr>
                      <w:rFonts w:hint="eastAsia"/>
                    </w:rPr>
                    <w:t>密闭容器收集并依托建设路厂区现有工程危废贮存间WF-004暂存，定期委托有相应危废处理资质单位安全处置</w:t>
                  </w:r>
                </w:p>
              </w:tc>
            </w:tr>
            <w:tr w14:paraId="520AB31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315">
                  <w:pPr>
                    <w:jc w:val="center"/>
                    <w:rPr>
                      <w:bCs/>
                      <w:szCs w:val="21"/>
                      <w:highlight w:val="yellow"/>
                    </w:rPr>
                  </w:pPr>
                </w:p>
              </w:tc>
              <w:tc>
                <w:tcPr>
                  <w:tcW w:w="496" w:type="dxa"/>
                  <w:vMerge w:val="continue"/>
                  <w:vAlign w:val="center"/>
                </w:tcPr>
                <w:p w14:paraId="520AB316">
                  <w:pPr>
                    <w:pStyle w:val="41"/>
                    <w:rPr>
                      <w:bCs/>
                      <w:highlight w:val="yellow"/>
                      <w:lang w:val="en-US"/>
                    </w:rPr>
                  </w:pPr>
                </w:p>
              </w:tc>
              <w:tc>
                <w:tcPr>
                  <w:tcW w:w="496" w:type="dxa"/>
                  <w:vMerge w:val="continue"/>
                  <w:vAlign w:val="center"/>
                </w:tcPr>
                <w:p w14:paraId="520AB317">
                  <w:pPr>
                    <w:pStyle w:val="41"/>
                    <w:rPr>
                      <w:bCs/>
                      <w:highlight w:val="yellow"/>
                      <w:lang w:val="en-US"/>
                    </w:rPr>
                  </w:pPr>
                </w:p>
              </w:tc>
              <w:tc>
                <w:tcPr>
                  <w:tcW w:w="1414" w:type="dxa"/>
                  <w:gridSpan w:val="2"/>
                  <w:vMerge w:val="restart"/>
                  <w:vAlign w:val="center"/>
                </w:tcPr>
                <w:p w14:paraId="520AB318">
                  <w:pPr>
                    <w:pStyle w:val="41"/>
                    <w:rPr>
                      <w:bCs/>
                      <w:lang w:val="en-US"/>
                    </w:rPr>
                  </w:pPr>
                  <w:r>
                    <w:rPr>
                      <w:rFonts w:hint="eastAsia"/>
                      <w:bCs/>
                    </w:rPr>
                    <w:t>油类试验</w:t>
                  </w:r>
                </w:p>
              </w:tc>
              <w:tc>
                <w:tcPr>
                  <w:tcW w:w="1417" w:type="dxa"/>
                  <w:vAlign w:val="center"/>
                </w:tcPr>
                <w:p w14:paraId="520AB319">
                  <w:pPr>
                    <w:pStyle w:val="41"/>
                    <w:rPr>
                      <w:bCs/>
                      <w:lang w:val="en-US"/>
                    </w:rPr>
                  </w:pPr>
                  <w:r>
                    <w:rPr>
                      <w:rFonts w:hint="eastAsia"/>
                      <w:bCs/>
                    </w:rPr>
                    <w:t>废液压油</w:t>
                  </w:r>
                </w:p>
              </w:tc>
              <w:tc>
                <w:tcPr>
                  <w:tcW w:w="3782" w:type="dxa"/>
                  <w:vMerge w:val="restart"/>
                  <w:vAlign w:val="center"/>
                </w:tcPr>
                <w:p w14:paraId="520AB31A">
                  <w:pPr>
                    <w:pStyle w:val="41"/>
                    <w:rPr>
                      <w:bCs/>
                      <w:highlight w:val="yellow"/>
                      <w:lang w:val="en-US"/>
                    </w:rPr>
                  </w:pPr>
                  <w:r>
                    <w:t>密闭</w:t>
                  </w:r>
                  <w:r>
                    <w:rPr>
                      <w:rFonts w:hint="eastAsia"/>
                    </w:rPr>
                    <w:t>容器</w:t>
                  </w:r>
                  <w:r>
                    <w:t>收集</w:t>
                  </w:r>
                  <w:r>
                    <w:rPr>
                      <w:rFonts w:hint="eastAsia"/>
                    </w:rPr>
                    <w:t>并依托建设路厂区现有工程危废贮存间WF-002</w:t>
                  </w:r>
                  <w:r>
                    <w:t>暂存，</w:t>
                  </w:r>
                  <w:r>
                    <w:rPr>
                      <w:rFonts w:hint="eastAsia"/>
                    </w:rPr>
                    <w:t>定期委托有相应危废处理资质单位安全处置</w:t>
                  </w:r>
                </w:p>
              </w:tc>
            </w:tr>
            <w:tr w14:paraId="520AB32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31C">
                  <w:pPr>
                    <w:jc w:val="center"/>
                    <w:rPr>
                      <w:bCs/>
                      <w:szCs w:val="21"/>
                      <w:highlight w:val="yellow"/>
                    </w:rPr>
                  </w:pPr>
                </w:p>
              </w:tc>
              <w:tc>
                <w:tcPr>
                  <w:tcW w:w="496" w:type="dxa"/>
                  <w:vMerge w:val="continue"/>
                  <w:vAlign w:val="center"/>
                </w:tcPr>
                <w:p w14:paraId="520AB31D">
                  <w:pPr>
                    <w:pStyle w:val="41"/>
                    <w:rPr>
                      <w:bCs/>
                      <w:highlight w:val="yellow"/>
                      <w:lang w:val="en-US"/>
                    </w:rPr>
                  </w:pPr>
                </w:p>
              </w:tc>
              <w:tc>
                <w:tcPr>
                  <w:tcW w:w="496" w:type="dxa"/>
                  <w:vMerge w:val="continue"/>
                  <w:vAlign w:val="center"/>
                </w:tcPr>
                <w:p w14:paraId="520AB31E">
                  <w:pPr>
                    <w:pStyle w:val="41"/>
                    <w:rPr>
                      <w:bCs/>
                      <w:highlight w:val="yellow"/>
                      <w:lang w:val="en-US"/>
                    </w:rPr>
                  </w:pPr>
                </w:p>
              </w:tc>
              <w:tc>
                <w:tcPr>
                  <w:tcW w:w="1414" w:type="dxa"/>
                  <w:gridSpan w:val="2"/>
                  <w:vMerge w:val="continue"/>
                  <w:vAlign w:val="center"/>
                </w:tcPr>
                <w:p w14:paraId="520AB31F">
                  <w:pPr>
                    <w:pStyle w:val="41"/>
                    <w:rPr>
                      <w:bCs/>
                    </w:rPr>
                  </w:pPr>
                </w:p>
              </w:tc>
              <w:tc>
                <w:tcPr>
                  <w:tcW w:w="1417" w:type="dxa"/>
                  <w:vAlign w:val="center"/>
                </w:tcPr>
                <w:p w14:paraId="520AB320">
                  <w:pPr>
                    <w:pStyle w:val="41"/>
                    <w:rPr>
                      <w:bCs/>
                    </w:rPr>
                  </w:pPr>
                  <w:r>
                    <w:rPr>
                      <w:rFonts w:hint="eastAsia"/>
                      <w:bCs/>
                    </w:rPr>
                    <w:t>废滑油</w:t>
                  </w:r>
                </w:p>
              </w:tc>
              <w:tc>
                <w:tcPr>
                  <w:tcW w:w="3782" w:type="dxa"/>
                  <w:vMerge w:val="continue"/>
                  <w:vAlign w:val="center"/>
                </w:tcPr>
                <w:p w14:paraId="520AB321">
                  <w:pPr>
                    <w:pStyle w:val="41"/>
                    <w:rPr>
                      <w:highlight w:val="yellow"/>
                    </w:rPr>
                  </w:pPr>
                </w:p>
              </w:tc>
            </w:tr>
            <w:tr w14:paraId="520AB32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323">
                  <w:pPr>
                    <w:jc w:val="center"/>
                    <w:rPr>
                      <w:bCs/>
                      <w:szCs w:val="21"/>
                      <w:highlight w:val="yellow"/>
                    </w:rPr>
                  </w:pPr>
                </w:p>
              </w:tc>
              <w:tc>
                <w:tcPr>
                  <w:tcW w:w="496" w:type="dxa"/>
                  <w:vMerge w:val="continue"/>
                  <w:vAlign w:val="center"/>
                </w:tcPr>
                <w:p w14:paraId="520AB324">
                  <w:pPr>
                    <w:pStyle w:val="41"/>
                    <w:rPr>
                      <w:bCs/>
                      <w:highlight w:val="yellow"/>
                      <w:lang w:val="en-US"/>
                    </w:rPr>
                  </w:pPr>
                </w:p>
              </w:tc>
              <w:tc>
                <w:tcPr>
                  <w:tcW w:w="496" w:type="dxa"/>
                  <w:vMerge w:val="continue"/>
                  <w:vAlign w:val="center"/>
                </w:tcPr>
                <w:p w14:paraId="520AB325">
                  <w:pPr>
                    <w:pStyle w:val="41"/>
                    <w:rPr>
                      <w:bCs/>
                      <w:highlight w:val="yellow"/>
                      <w:lang w:val="en-US"/>
                    </w:rPr>
                  </w:pPr>
                </w:p>
              </w:tc>
              <w:tc>
                <w:tcPr>
                  <w:tcW w:w="1414" w:type="dxa"/>
                  <w:gridSpan w:val="2"/>
                  <w:vAlign w:val="center"/>
                </w:tcPr>
                <w:p w14:paraId="520AB326">
                  <w:pPr>
                    <w:pStyle w:val="41"/>
                    <w:rPr>
                      <w:bCs/>
                    </w:rPr>
                  </w:pPr>
                  <w:r>
                    <w:rPr>
                      <w:rFonts w:hint="eastAsia"/>
                      <w:bCs/>
                    </w:rPr>
                    <w:t>冷却系统试验</w:t>
                  </w:r>
                </w:p>
              </w:tc>
              <w:tc>
                <w:tcPr>
                  <w:tcW w:w="1417" w:type="dxa"/>
                  <w:vAlign w:val="center"/>
                </w:tcPr>
                <w:p w14:paraId="520AB327">
                  <w:pPr>
                    <w:pStyle w:val="41"/>
                    <w:rPr>
                      <w:bCs/>
                    </w:rPr>
                  </w:pPr>
                  <w:r>
                    <w:rPr>
                      <w:rFonts w:hint="eastAsia"/>
                      <w:bCs/>
                    </w:rPr>
                    <w:t>废乙二醇</w:t>
                  </w:r>
                </w:p>
              </w:tc>
              <w:tc>
                <w:tcPr>
                  <w:tcW w:w="3782" w:type="dxa"/>
                  <w:vAlign w:val="center"/>
                </w:tcPr>
                <w:p w14:paraId="520AB328">
                  <w:pPr>
                    <w:pStyle w:val="41"/>
                    <w:rPr>
                      <w:highlight w:val="yellow"/>
                    </w:rPr>
                  </w:pPr>
                  <w:r>
                    <w:t>密闭</w:t>
                  </w:r>
                  <w:r>
                    <w:rPr>
                      <w:rFonts w:hint="eastAsia"/>
                    </w:rPr>
                    <w:t>容器</w:t>
                  </w:r>
                  <w:r>
                    <w:t>收集</w:t>
                  </w:r>
                  <w:r>
                    <w:rPr>
                      <w:rFonts w:hint="eastAsia"/>
                    </w:rPr>
                    <w:t>并依托建设路厂区现有工程危废贮存间WF-005</w:t>
                  </w:r>
                  <w:r>
                    <w:t>暂存，</w:t>
                  </w:r>
                  <w:r>
                    <w:rPr>
                      <w:rFonts w:hint="eastAsia"/>
                    </w:rPr>
                    <w:t>定期委托有相应危废处理资质单位安全处置</w:t>
                  </w:r>
                </w:p>
              </w:tc>
            </w:tr>
            <w:tr w14:paraId="520AB33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32A">
                  <w:pPr>
                    <w:jc w:val="center"/>
                    <w:rPr>
                      <w:bCs/>
                      <w:szCs w:val="21"/>
                      <w:highlight w:val="yellow"/>
                    </w:rPr>
                  </w:pPr>
                </w:p>
              </w:tc>
              <w:tc>
                <w:tcPr>
                  <w:tcW w:w="496" w:type="dxa"/>
                  <w:vMerge w:val="continue"/>
                  <w:vAlign w:val="center"/>
                </w:tcPr>
                <w:p w14:paraId="520AB32B">
                  <w:pPr>
                    <w:pStyle w:val="41"/>
                    <w:rPr>
                      <w:bCs/>
                      <w:highlight w:val="yellow"/>
                      <w:lang w:val="en-US"/>
                    </w:rPr>
                  </w:pPr>
                </w:p>
              </w:tc>
              <w:tc>
                <w:tcPr>
                  <w:tcW w:w="496" w:type="dxa"/>
                  <w:vMerge w:val="continue"/>
                  <w:vAlign w:val="center"/>
                </w:tcPr>
                <w:p w14:paraId="520AB32C">
                  <w:pPr>
                    <w:pStyle w:val="41"/>
                    <w:rPr>
                      <w:bCs/>
                      <w:highlight w:val="yellow"/>
                      <w:lang w:val="en-US"/>
                    </w:rPr>
                  </w:pPr>
                </w:p>
              </w:tc>
              <w:tc>
                <w:tcPr>
                  <w:tcW w:w="1414" w:type="dxa"/>
                  <w:gridSpan w:val="2"/>
                  <w:vAlign w:val="center"/>
                </w:tcPr>
                <w:p w14:paraId="520AB32D">
                  <w:pPr>
                    <w:pStyle w:val="41"/>
                    <w:rPr>
                      <w:bCs/>
                    </w:rPr>
                  </w:pPr>
                  <w:r>
                    <w:rPr>
                      <w:rFonts w:hint="eastAsia"/>
                      <w:bCs/>
                    </w:rPr>
                    <w:t>有机废气治理措施</w:t>
                  </w:r>
                </w:p>
              </w:tc>
              <w:tc>
                <w:tcPr>
                  <w:tcW w:w="1417" w:type="dxa"/>
                  <w:vAlign w:val="center"/>
                </w:tcPr>
                <w:p w14:paraId="520AB32E">
                  <w:pPr>
                    <w:pStyle w:val="41"/>
                    <w:rPr>
                      <w:bCs/>
                    </w:rPr>
                  </w:pPr>
                  <w:r>
                    <w:rPr>
                      <w:rFonts w:hint="eastAsia"/>
                      <w:bCs/>
                    </w:rPr>
                    <w:t>废活性炭</w:t>
                  </w:r>
                </w:p>
              </w:tc>
              <w:tc>
                <w:tcPr>
                  <w:tcW w:w="3782" w:type="dxa"/>
                  <w:vAlign w:val="center"/>
                </w:tcPr>
                <w:p w14:paraId="520AB32F">
                  <w:pPr>
                    <w:pStyle w:val="41"/>
                    <w:rPr>
                      <w:bCs/>
                      <w:lang w:val="en-US"/>
                    </w:rPr>
                  </w:pPr>
                  <w:r>
                    <w:t>密闭</w:t>
                  </w:r>
                  <w:r>
                    <w:rPr>
                      <w:rFonts w:hint="eastAsia"/>
                    </w:rPr>
                    <w:t>容器</w:t>
                  </w:r>
                  <w:r>
                    <w:t>收集</w:t>
                  </w:r>
                  <w:r>
                    <w:rPr>
                      <w:rFonts w:hint="eastAsia"/>
                    </w:rPr>
                    <w:t>并依托建设路厂区现有工程危废贮存间WF-003</w:t>
                  </w:r>
                  <w:r>
                    <w:t>暂存，</w:t>
                  </w:r>
                  <w:r>
                    <w:rPr>
                      <w:rFonts w:hint="eastAsia"/>
                    </w:rPr>
                    <w:t>定期委托有相应危废处理资质单位安全处置</w:t>
                  </w:r>
                </w:p>
              </w:tc>
            </w:tr>
            <w:tr w14:paraId="35CA3EA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restart"/>
                  <w:vAlign w:val="center"/>
                </w:tcPr>
                <w:p w14:paraId="656C8AD9">
                  <w:pPr>
                    <w:jc w:val="center"/>
                    <w:rPr>
                      <w:bCs/>
                      <w:szCs w:val="21"/>
                    </w:rPr>
                  </w:pPr>
                  <w:r>
                    <w:rPr>
                      <w:rFonts w:hint="eastAsia"/>
                      <w:bCs/>
                      <w:szCs w:val="21"/>
                    </w:rPr>
                    <w:t>解放路厂区</w:t>
                  </w:r>
                </w:p>
              </w:tc>
              <w:tc>
                <w:tcPr>
                  <w:tcW w:w="992" w:type="dxa"/>
                  <w:gridSpan w:val="2"/>
                  <w:vAlign w:val="center"/>
                </w:tcPr>
                <w:p w14:paraId="10178EFC">
                  <w:pPr>
                    <w:pStyle w:val="41"/>
                    <w:rPr>
                      <w:bCs/>
                    </w:rPr>
                  </w:pPr>
                  <w:r>
                    <w:rPr>
                      <w:rFonts w:hint="eastAsia"/>
                      <w:bCs/>
                    </w:rPr>
                    <w:t>废气</w:t>
                  </w:r>
                </w:p>
              </w:tc>
              <w:tc>
                <w:tcPr>
                  <w:tcW w:w="1414" w:type="dxa"/>
                  <w:gridSpan w:val="2"/>
                  <w:vAlign w:val="center"/>
                </w:tcPr>
                <w:p w14:paraId="72D51F74">
                  <w:pPr>
                    <w:pStyle w:val="41"/>
                  </w:pPr>
                  <w:r>
                    <w:rPr>
                      <w:rFonts w:hint="eastAsia"/>
                    </w:rPr>
                    <w:t>硫化废气</w:t>
                  </w:r>
                </w:p>
              </w:tc>
              <w:tc>
                <w:tcPr>
                  <w:tcW w:w="1417" w:type="dxa"/>
                  <w:vAlign w:val="center"/>
                </w:tcPr>
                <w:p w14:paraId="75249109">
                  <w:pPr>
                    <w:pStyle w:val="41"/>
                    <w:rPr>
                      <w:bCs/>
                    </w:rPr>
                  </w:pPr>
                  <w:r>
                    <w:rPr>
                      <w:rFonts w:hint="eastAsia"/>
                      <w:bCs/>
                    </w:rPr>
                    <w:t>非甲烷总烃、臭气浓度、硫化氢</w:t>
                  </w:r>
                </w:p>
              </w:tc>
              <w:tc>
                <w:tcPr>
                  <w:tcW w:w="3782" w:type="dxa"/>
                  <w:vAlign w:val="center"/>
                </w:tcPr>
                <w:p w14:paraId="16DCF5B1">
                  <w:pPr>
                    <w:pStyle w:val="41"/>
                    <w:rPr>
                      <w:bCs/>
                    </w:rPr>
                  </w:pPr>
                  <w:r>
                    <w:rPr>
                      <w:rFonts w:hint="eastAsia"/>
                      <w:bCs/>
                      <w:lang w:val="en-US"/>
                    </w:rPr>
                    <w:t>活性炭吸脱附-催化燃烧装置+15m高排气筒DA025（利用现有）</w:t>
                  </w:r>
                </w:p>
              </w:tc>
            </w:tr>
            <w:tr w14:paraId="520AB33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331">
                  <w:pPr>
                    <w:jc w:val="center"/>
                    <w:rPr>
                      <w:bCs/>
                      <w:szCs w:val="21"/>
                      <w:highlight w:val="yellow"/>
                    </w:rPr>
                  </w:pPr>
                </w:p>
              </w:tc>
              <w:tc>
                <w:tcPr>
                  <w:tcW w:w="992" w:type="dxa"/>
                  <w:gridSpan w:val="2"/>
                  <w:vAlign w:val="center"/>
                </w:tcPr>
                <w:p w14:paraId="520AB332">
                  <w:pPr>
                    <w:pStyle w:val="41"/>
                    <w:rPr>
                      <w:bCs/>
                      <w:highlight w:val="yellow"/>
                      <w:lang w:val="en-US"/>
                    </w:rPr>
                  </w:pPr>
                  <w:r>
                    <w:rPr>
                      <w:bCs/>
                    </w:rPr>
                    <w:t>噪声</w:t>
                  </w:r>
                </w:p>
              </w:tc>
              <w:tc>
                <w:tcPr>
                  <w:tcW w:w="1414" w:type="dxa"/>
                  <w:gridSpan w:val="2"/>
                  <w:vAlign w:val="center"/>
                </w:tcPr>
                <w:p w14:paraId="520AB333">
                  <w:pPr>
                    <w:pStyle w:val="41"/>
                    <w:rPr>
                      <w:bCs/>
                    </w:rPr>
                  </w:pPr>
                  <w:r>
                    <w:t>高温硫化机</w:t>
                  </w:r>
                </w:p>
              </w:tc>
              <w:tc>
                <w:tcPr>
                  <w:tcW w:w="1417" w:type="dxa"/>
                  <w:vAlign w:val="center"/>
                </w:tcPr>
                <w:p w14:paraId="520AB334">
                  <w:pPr>
                    <w:pStyle w:val="41"/>
                    <w:rPr>
                      <w:bCs/>
                    </w:rPr>
                  </w:pPr>
                  <w:r>
                    <w:rPr>
                      <w:rFonts w:hint="eastAsia"/>
                      <w:bCs/>
                    </w:rPr>
                    <w:t>噪声</w:t>
                  </w:r>
                </w:p>
              </w:tc>
              <w:tc>
                <w:tcPr>
                  <w:tcW w:w="3782" w:type="dxa"/>
                  <w:vAlign w:val="center"/>
                </w:tcPr>
                <w:p w14:paraId="520AB335">
                  <w:pPr>
                    <w:pStyle w:val="41"/>
                  </w:pPr>
                  <w:r>
                    <w:rPr>
                      <w:bCs/>
                    </w:rPr>
                    <w:t>基础减振、</w:t>
                  </w:r>
                  <w:r>
                    <w:rPr>
                      <w:rFonts w:hint="eastAsia"/>
                      <w:bCs/>
                    </w:rPr>
                    <w:t>厂房</w:t>
                  </w:r>
                  <w:r>
                    <w:rPr>
                      <w:bCs/>
                    </w:rPr>
                    <w:t>隔声等</w:t>
                  </w:r>
                </w:p>
              </w:tc>
            </w:tr>
            <w:tr w14:paraId="520AB33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center"/>
              </w:trPr>
              <w:tc>
                <w:tcPr>
                  <w:tcW w:w="464" w:type="dxa"/>
                  <w:vMerge w:val="continue"/>
                  <w:vAlign w:val="center"/>
                </w:tcPr>
                <w:p w14:paraId="520AB337">
                  <w:pPr>
                    <w:jc w:val="center"/>
                    <w:rPr>
                      <w:bCs/>
                      <w:szCs w:val="21"/>
                      <w:highlight w:val="yellow"/>
                    </w:rPr>
                  </w:pPr>
                </w:p>
              </w:tc>
              <w:tc>
                <w:tcPr>
                  <w:tcW w:w="496" w:type="dxa"/>
                  <w:vAlign w:val="center"/>
                </w:tcPr>
                <w:p w14:paraId="520AB338">
                  <w:pPr>
                    <w:pStyle w:val="41"/>
                    <w:rPr>
                      <w:bCs/>
                      <w:lang w:val="en-US"/>
                    </w:rPr>
                  </w:pPr>
                  <w:r>
                    <w:rPr>
                      <w:rFonts w:hint="eastAsia"/>
                      <w:bCs/>
                      <w:lang w:val="en-US"/>
                    </w:rPr>
                    <w:t>固废</w:t>
                  </w:r>
                </w:p>
              </w:tc>
              <w:tc>
                <w:tcPr>
                  <w:tcW w:w="496" w:type="dxa"/>
                  <w:vAlign w:val="center"/>
                </w:tcPr>
                <w:p w14:paraId="520AB339">
                  <w:pPr>
                    <w:pStyle w:val="41"/>
                    <w:rPr>
                      <w:bCs/>
                      <w:lang w:val="en-US"/>
                    </w:rPr>
                  </w:pPr>
                  <w:r>
                    <w:rPr>
                      <w:rFonts w:hint="eastAsia"/>
                      <w:bCs/>
                      <w:lang w:val="en-US"/>
                    </w:rPr>
                    <w:t>危废</w:t>
                  </w:r>
                </w:p>
              </w:tc>
              <w:tc>
                <w:tcPr>
                  <w:tcW w:w="1414" w:type="dxa"/>
                  <w:gridSpan w:val="2"/>
                  <w:vAlign w:val="center"/>
                </w:tcPr>
                <w:p w14:paraId="520AB33A">
                  <w:pPr>
                    <w:pStyle w:val="41"/>
                    <w:rPr>
                      <w:bCs/>
                    </w:rPr>
                  </w:pPr>
                  <w:r>
                    <w:rPr>
                      <w:rFonts w:hint="eastAsia"/>
                      <w:bCs/>
                    </w:rPr>
                    <w:t>硫化机液压系统</w:t>
                  </w:r>
                </w:p>
              </w:tc>
              <w:tc>
                <w:tcPr>
                  <w:tcW w:w="1417" w:type="dxa"/>
                  <w:vAlign w:val="center"/>
                </w:tcPr>
                <w:p w14:paraId="520AB33B">
                  <w:pPr>
                    <w:pStyle w:val="41"/>
                    <w:rPr>
                      <w:bCs/>
                    </w:rPr>
                  </w:pPr>
                  <w:r>
                    <w:rPr>
                      <w:rFonts w:hint="eastAsia"/>
                      <w:bCs/>
                    </w:rPr>
                    <w:t>废液压油</w:t>
                  </w:r>
                </w:p>
              </w:tc>
              <w:tc>
                <w:tcPr>
                  <w:tcW w:w="3782" w:type="dxa"/>
                  <w:vAlign w:val="center"/>
                </w:tcPr>
                <w:p w14:paraId="520AB33C">
                  <w:pPr>
                    <w:pStyle w:val="41"/>
                  </w:pPr>
                  <w:r>
                    <w:t>密闭收集、</w:t>
                  </w:r>
                  <w:r>
                    <w:rPr>
                      <w:rFonts w:hint="eastAsia"/>
                    </w:rPr>
                    <w:t>危废贮存库</w:t>
                  </w:r>
                  <w:r>
                    <w:t>暂存，定期委托有相应资质的危废处理单位进行安全处置</w:t>
                  </w:r>
                </w:p>
              </w:tc>
            </w:tr>
          </w:tbl>
          <w:p w14:paraId="520AB33F">
            <w:pPr>
              <w:adjustRightInd w:val="0"/>
              <w:snapToGrid w:val="0"/>
              <w:spacing w:line="460" w:lineRule="exact"/>
              <w:rPr>
                <w:rFonts w:hint="eastAsia" w:ascii="宋体" w:hAnsi="宋体"/>
                <w:bCs/>
                <w:sz w:val="24"/>
                <w:szCs w:val="21"/>
                <w:highlight w:val="yellow"/>
              </w:rPr>
            </w:pPr>
          </w:p>
        </w:tc>
      </w:tr>
      <w:tr w14:paraId="520AB4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19" w:hRule="atLeast"/>
          <w:jc w:val="center"/>
        </w:trPr>
        <w:tc>
          <w:tcPr>
            <w:tcW w:w="699" w:type="dxa"/>
            <w:vAlign w:val="center"/>
          </w:tcPr>
          <w:p w14:paraId="520AB341">
            <w:pPr>
              <w:pStyle w:val="16"/>
              <w:adjustRightInd w:val="0"/>
              <w:snapToGrid w:val="0"/>
              <w:spacing w:before="0" w:beforeAutospacing="0" w:after="0" w:afterAutospacing="0"/>
              <w:jc w:val="center"/>
              <w:rPr>
                <w:rFonts w:hint="eastAsia" w:cs="宋体"/>
                <w:sz w:val="21"/>
                <w:szCs w:val="21"/>
                <w:highlight w:val="yellow"/>
                <w:lang w:val="en-US"/>
              </w:rPr>
            </w:pPr>
            <w:r>
              <w:rPr>
                <w:rFonts w:hint="eastAsia" w:cs="宋体"/>
                <w:bCs/>
                <w:kern w:val="2"/>
                <w:sz w:val="21"/>
                <w:szCs w:val="21"/>
                <w:lang w:val="en-US"/>
              </w:rPr>
              <w:t>与项目有关的原有环境污染问题</w:t>
            </w:r>
          </w:p>
        </w:tc>
        <w:tc>
          <w:tcPr>
            <w:tcW w:w="8285" w:type="dxa"/>
          </w:tcPr>
          <w:p w14:paraId="520AB342">
            <w:pPr>
              <w:spacing w:line="460" w:lineRule="exact"/>
              <w:ind w:firstLine="480" w:firstLineChars="200"/>
              <w:rPr>
                <w:bCs/>
                <w:sz w:val="24"/>
              </w:rPr>
            </w:pPr>
            <w:r>
              <w:rPr>
                <w:rFonts w:hint="eastAsia"/>
                <w:bCs/>
                <w:sz w:val="24"/>
              </w:rPr>
              <w:t>新乡航空工业（集团）有限公司现有</w:t>
            </w:r>
            <w:r>
              <w:rPr>
                <w:bCs/>
                <w:sz w:val="24"/>
              </w:rPr>
              <w:t>4</w:t>
            </w:r>
            <w:r>
              <w:rPr>
                <w:rFonts w:hint="eastAsia"/>
                <w:bCs/>
                <w:sz w:val="24"/>
              </w:rPr>
              <w:t>个厂区，分别是建设路厂区、解放路厂区、和平路厂区、平原机电园厂区，其中建设路厂区、解放路厂区均位于牧野区，和平路厂区位于红旗区，平原机电园厂区位于高新区。平原机电园厂区目前仅有在建项目，其他厂区均已生产并按要求申领排污许可证。</w:t>
            </w:r>
          </w:p>
          <w:p w14:paraId="520AB343">
            <w:pPr>
              <w:spacing w:line="460" w:lineRule="exact"/>
              <w:ind w:firstLine="480" w:firstLineChars="200"/>
              <w:rPr>
                <w:bCs/>
                <w:sz w:val="24"/>
              </w:rPr>
            </w:pPr>
            <w:r>
              <w:rPr>
                <w:rFonts w:hint="eastAsia"/>
                <w:bCs/>
                <w:sz w:val="24"/>
              </w:rPr>
              <w:t>新航集团现有项目情况见下表。</w:t>
            </w:r>
          </w:p>
          <w:p w14:paraId="520AB344">
            <w:pPr>
              <w:spacing w:line="460" w:lineRule="exact"/>
              <w:ind w:firstLine="480" w:firstLineChars="200"/>
              <w:rPr>
                <w:rFonts w:eastAsia="黑体"/>
                <w:sz w:val="24"/>
                <w:lang w:val="pt-BR"/>
              </w:rPr>
            </w:pPr>
            <w:r>
              <w:rPr>
                <w:rFonts w:eastAsia="黑体"/>
                <w:sz w:val="24"/>
                <w:lang w:val="pt-BR"/>
              </w:rPr>
              <w:t>表</w:t>
            </w:r>
            <w:r>
              <w:rPr>
                <w:rFonts w:hint="eastAsia" w:eastAsia="黑体"/>
                <w:sz w:val="24"/>
              </w:rPr>
              <w:t>17</w:t>
            </w:r>
            <w:r>
              <w:rPr>
                <w:rFonts w:eastAsia="黑体"/>
                <w:sz w:val="24"/>
              </w:rPr>
              <w:t xml:space="preserve">        </w:t>
            </w:r>
            <w:r>
              <w:rPr>
                <w:rFonts w:hint="eastAsia" w:eastAsia="黑体"/>
                <w:sz w:val="24"/>
                <w:lang w:val="pt-BR"/>
              </w:rPr>
              <w:t>新航集团现有项目审批及验收情况</w:t>
            </w:r>
            <w:r>
              <w:rPr>
                <w:rFonts w:eastAsia="黑体"/>
                <w:sz w:val="24"/>
                <w:lang w:val="pt-BR"/>
              </w:rPr>
              <w:t>一览表</w:t>
            </w:r>
          </w:p>
          <w:tbl>
            <w:tblPr>
              <w:tblStyle w:val="18"/>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020"/>
              <w:gridCol w:w="986"/>
              <w:gridCol w:w="4982"/>
              <w:gridCol w:w="1081"/>
            </w:tblGrid>
            <w:tr w14:paraId="520AB34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632" w:type="pct"/>
                  <w:vAlign w:val="center"/>
                </w:tcPr>
                <w:p w14:paraId="520AB345">
                  <w:pPr>
                    <w:pStyle w:val="46"/>
                    <w:rPr>
                      <w:rFonts w:cs="Times New Roman"/>
                      <w:color w:val="auto"/>
                    </w:rPr>
                  </w:pPr>
                  <w:r>
                    <w:rPr>
                      <w:rFonts w:cs="Times New Roman"/>
                      <w:color w:val="auto"/>
                    </w:rPr>
                    <w:t>项目名称</w:t>
                  </w:r>
                </w:p>
              </w:tc>
              <w:tc>
                <w:tcPr>
                  <w:tcW w:w="611" w:type="pct"/>
                  <w:vAlign w:val="center"/>
                </w:tcPr>
                <w:p w14:paraId="520AB346">
                  <w:pPr>
                    <w:pStyle w:val="46"/>
                    <w:rPr>
                      <w:rFonts w:cs="Times New Roman"/>
                      <w:color w:val="auto"/>
                    </w:rPr>
                  </w:pPr>
                  <w:r>
                    <w:rPr>
                      <w:rFonts w:cs="Times New Roman"/>
                      <w:color w:val="auto"/>
                    </w:rPr>
                    <w:t>产品方案</w:t>
                  </w:r>
                </w:p>
              </w:tc>
              <w:tc>
                <w:tcPr>
                  <w:tcW w:w="3087" w:type="pct"/>
                  <w:vAlign w:val="center"/>
                </w:tcPr>
                <w:p w14:paraId="520AB347">
                  <w:pPr>
                    <w:pStyle w:val="46"/>
                    <w:rPr>
                      <w:rFonts w:cs="Times New Roman"/>
                      <w:color w:val="auto"/>
                    </w:rPr>
                  </w:pPr>
                  <w:r>
                    <w:rPr>
                      <w:rFonts w:cs="Times New Roman"/>
                      <w:color w:val="auto"/>
                    </w:rPr>
                    <w:t>环评批复</w:t>
                  </w:r>
                </w:p>
              </w:tc>
              <w:tc>
                <w:tcPr>
                  <w:tcW w:w="670" w:type="pct"/>
                  <w:vAlign w:val="center"/>
                </w:tcPr>
                <w:p w14:paraId="520AB348">
                  <w:pPr>
                    <w:pStyle w:val="46"/>
                    <w:rPr>
                      <w:rFonts w:cs="Times New Roman"/>
                      <w:color w:val="auto"/>
                    </w:rPr>
                  </w:pPr>
                  <w:r>
                    <w:rPr>
                      <w:rFonts w:cs="Times New Roman"/>
                      <w:color w:val="auto"/>
                    </w:rPr>
                    <w:t>验收情况</w:t>
                  </w:r>
                </w:p>
              </w:tc>
            </w:tr>
            <w:tr w14:paraId="520AB35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632" w:type="pct"/>
                  <w:vMerge w:val="restart"/>
                  <w:vAlign w:val="center"/>
                </w:tcPr>
                <w:p w14:paraId="520AB34A">
                  <w:pPr>
                    <w:pStyle w:val="41"/>
                  </w:pPr>
                  <w:r>
                    <w:rPr>
                      <w:rFonts w:hint="eastAsia"/>
                      <w:lang w:val="en-US"/>
                    </w:rPr>
                    <w:t>因涉密不能明确，存档备查</w:t>
                  </w:r>
                </w:p>
              </w:tc>
              <w:tc>
                <w:tcPr>
                  <w:tcW w:w="611" w:type="pct"/>
                  <w:vMerge w:val="restart"/>
                  <w:vAlign w:val="center"/>
                </w:tcPr>
                <w:p w14:paraId="520AB34B">
                  <w:pPr>
                    <w:pStyle w:val="41"/>
                    <w:rPr>
                      <w:lang w:val="en-US"/>
                    </w:rPr>
                  </w:pPr>
                  <w:r>
                    <w:rPr>
                      <w:rFonts w:hint="eastAsia"/>
                      <w:lang w:val="en-US"/>
                    </w:rPr>
                    <w:t>航空附件xxx套/年（产能因涉密不能明确）</w:t>
                  </w:r>
                </w:p>
              </w:tc>
              <w:tc>
                <w:tcPr>
                  <w:tcW w:w="3087" w:type="pct"/>
                  <w:vAlign w:val="center"/>
                </w:tcPr>
                <w:p w14:paraId="520AB34C">
                  <w:pPr>
                    <w:pStyle w:val="41"/>
                    <w:jc w:val="both"/>
                    <w:rPr>
                      <w:rFonts w:hint="eastAsia" w:hAnsi="宋体"/>
                      <w:spacing w:val="-2"/>
                      <w:szCs w:val="24"/>
                    </w:rPr>
                  </w:pPr>
                  <w:r>
                    <w:rPr>
                      <w:rFonts w:hint="eastAsia" w:hAnsi="宋体"/>
                      <w:spacing w:val="-2"/>
                      <w:szCs w:val="24"/>
                    </w:rPr>
                    <w:t>新环监[2005]第341号；新开登[2006]139号；</w:t>
                  </w:r>
                </w:p>
                <w:p w14:paraId="520AB34D">
                  <w:pPr>
                    <w:pStyle w:val="41"/>
                    <w:jc w:val="both"/>
                    <w:rPr>
                      <w:rFonts w:hint="eastAsia" w:hAnsi="宋体"/>
                      <w:spacing w:val="-2"/>
                      <w:szCs w:val="24"/>
                    </w:rPr>
                  </w:pPr>
                  <w:r>
                    <w:rPr>
                      <w:rFonts w:hint="eastAsia" w:hAnsi="宋体"/>
                      <w:spacing w:val="-2"/>
                      <w:szCs w:val="24"/>
                    </w:rPr>
                    <w:t>新开登[2006]139号；新环监[2008]055号；</w:t>
                  </w:r>
                </w:p>
                <w:p w14:paraId="520AB34E">
                  <w:pPr>
                    <w:pStyle w:val="41"/>
                    <w:jc w:val="both"/>
                    <w:rPr>
                      <w:rFonts w:hint="eastAsia" w:hAnsi="宋体"/>
                      <w:spacing w:val="-2"/>
                      <w:szCs w:val="24"/>
                    </w:rPr>
                  </w:pPr>
                  <w:r>
                    <w:rPr>
                      <w:rFonts w:hint="eastAsia" w:hAnsi="宋体"/>
                      <w:spacing w:val="-2"/>
                      <w:szCs w:val="24"/>
                    </w:rPr>
                    <w:t>新环牧登[2008]第011号；新环牧登[2008]第200号；</w:t>
                  </w:r>
                </w:p>
                <w:p w14:paraId="520AB34F">
                  <w:pPr>
                    <w:pStyle w:val="41"/>
                    <w:jc w:val="both"/>
                    <w:rPr>
                      <w:rFonts w:hint="eastAsia" w:hAnsi="宋体"/>
                      <w:spacing w:val="-2"/>
                      <w:szCs w:val="24"/>
                    </w:rPr>
                  </w:pPr>
                  <w:r>
                    <w:rPr>
                      <w:rFonts w:hint="eastAsia" w:hAnsi="宋体"/>
                      <w:spacing w:val="-2"/>
                      <w:szCs w:val="24"/>
                    </w:rPr>
                    <w:t>新环监[2009]047号；新环监[2009]489；</w:t>
                  </w:r>
                </w:p>
                <w:p w14:paraId="520AB350">
                  <w:pPr>
                    <w:pStyle w:val="41"/>
                    <w:jc w:val="both"/>
                    <w:rPr>
                      <w:rFonts w:hint="eastAsia" w:hAnsi="宋体"/>
                      <w:spacing w:val="-2"/>
                      <w:szCs w:val="24"/>
                    </w:rPr>
                  </w:pPr>
                  <w:r>
                    <w:rPr>
                      <w:rFonts w:hint="eastAsia" w:hAnsi="宋体"/>
                      <w:spacing w:val="-2"/>
                      <w:szCs w:val="24"/>
                    </w:rPr>
                    <w:t>新开登[2010]33号；新环监[2010]265号；</w:t>
                  </w:r>
                </w:p>
                <w:p w14:paraId="520AB351">
                  <w:pPr>
                    <w:pStyle w:val="41"/>
                    <w:jc w:val="both"/>
                    <w:rPr>
                      <w:rFonts w:hint="eastAsia" w:hAnsi="宋体"/>
                      <w:spacing w:val="-2"/>
                      <w:szCs w:val="24"/>
                    </w:rPr>
                  </w:pPr>
                  <w:r>
                    <w:rPr>
                      <w:rFonts w:hint="eastAsia" w:hAnsi="宋体"/>
                      <w:spacing w:val="-2"/>
                      <w:szCs w:val="24"/>
                    </w:rPr>
                    <w:t>新开登[2011]026号；新开登[2012]1号；</w:t>
                  </w:r>
                </w:p>
                <w:p w14:paraId="520AB352">
                  <w:pPr>
                    <w:pStyle w:val="41"/>
                    <w:jc w:val="both"/>
                    <w:rPr>
                      <w:rFonts w:hint="eastAsia" w:hAnsi="宋体"/>
                      <w:spacing w:val="-2"/>
                      <w:szCs w:val="24"/>
                    </w:rPr>
                  </w:pPr>
                  <w:r>
                    <w:rPr>
                      <w:rFonts w:hint="eastAsia" w:hAnsi="宋体"/>
                      <w:spacing w:val="-2"/>
                      <w:szCs w:val="24"/>
                    </w:rPr>
                    <w:t>新开登[2012]03号；新环[2013]255号；</w:t>
                  </w:r>
                </w:p>
                <w:p w14:paraId="520AB353">
                  <w:pPr>
                    <w:pStyle w:val="41"/>
                    <w:jc w:val="both"/>
                    <w:rPr>
                      <w:rFonts w:hint="eastAsia" w:hAnsi="宋体"/>
                      <w:spacing w:val="-2"/>
                      <w:szCs w:val="24"/>
                    </w:rPr>
                  </w:pPr>
                  <w:r>
                    <w:rPr>
                      <w:rFonts w:hint="eastAsia" w:hAnsi="宋体"/>
                      <w:spacing w:val="-2"/>
                      <w:szCs w:val="24"/>
                    </w:rPr>
                    <w:t>新环监[2014]68号；新开登[2014]1号；</w:t>
                  </w:r>
                </w:p>
                <w:p w14:paraId="520AB354">
                  <w:pPr>
                    <w:pStyle w:val="41"/>
                    <w:jc w:val="both"/>
                    <w:rPr>
                      <w:rFonts w:hint="eastAsia" w:hAnsi="宋体"/>
                      <w:spacing w:val="-2"/>
                      <w:szCs w:val="24"/>
                    </w:rPr>
                  </w:pPr>
                  <w:r>
                    <w:rPr>
                      <w:rFonts w:hint="eastAsia" w:hAnsi="宋体"/>
                      <w:spacing w:val="-2"/>
                      <w:szCs w:val="24"/>
                    </w:rPr>
                    <w:t>豫环审[2016]142号；豫环评表备[2017]7号；</w:t>
                  </w:r>
                </w:p>
                <w:p w14:paraId="520AB355">
                  <w:pPr>
                    <w:pStyle w:val="41"/>
                    <w:jc w:val="both"/>
                    <w:rPr>
                      <w:rFonts w:hint="eastAsia" w:hAnsi="宋体"/>
                      <w:spacing w:val="-2"/>
                      <w:szCs w:val="24"/>
                    </w:rPr>
                  </w:pPr>
                  <w:r>
                    <w:rPr>
                      <w:rFonts w:hint="eastAsia" w:hAnsi="宋体"/>
                      <w:spacing w:val="-2"/>
                      <w:szCs w:val="24"/>
                    </w:rPr>
                    <w:t>新环牧表审[2018]025；豫环评表审[2019]1号；</w:t>
                  </w:r>
                </w:p>
                <w:p w14:paraId="520AB356">
                  <w:pPr>
                    <w:pStyle w:val="41"/>
                    <w:jc w:val="both"/>
                    <w:rPr>
                      <w:rFonts w:hint="eastAsia" w:hAnsi="宋体"/>
                      <w:spacing w:val="-2"/>
                      <w:szCs w:val="24"/>
                    </w:rPr>
                  </w:pPr>
                  <w:r>
                    <w:rPr>
                      <w:rFonts w:hint="eastAsia" w:hAnsi="宋体"/>
                      <w:spacing w:val="-2"/>
                      <w:szCs w:val="24"/>
                    </w:rPr>
                    <w:t>豫环评表备[2019]4号；豫环审[2021]15号；</w:t>
                  </w:r>
                </w:p>
                <w:p w14:paraId="520AB357">
                  <w:pPr>
                    <w:pStyle w:val="41"/>
                    <w:jc w:val="both"/>
                    <w:rPr>
                      <w:rFonts w:hint="eastAsia" w:hAnsi="宋体"/>
                      <w:spacing w:val="-2"/>
                      <w:szCs w:val="24"/>
                    </w:rPr>
                  </w:pPr>
                  <w:r>
                    <w:rPr>
                      <w:rFonts w:hint="eastAsia" w:hAnsi="宋体"/>
                      <w:spacing w:val="-2"/>
                      <w:szCs w:val="24"/>
                    </w:rPr>
                    <w:t>新环红表审[</w:t>
                  </w:r>
                  <w:r>
                    <w:rPr>
                      <w:rFonts w:hAnsi="宋体"/>
                      <w:spacing w:val="-2"/>
                      <w:szCs w:val="24"/>
                    </w:rPr>
                    <w:t>2023]003</w:t>
                  </w:r>
                  <w:r>
                    <w:rPr>
                      <w:rFonts w:hint="eastAsia" w:hAnsi="宋体"/>
                      <w:spacing w:val="-2"/>
                      <w:szCs w:val="24"/>
                    </w:rPr>
                    <w:t>号；新环红表审[</w:t>
                  </w:r>
                  <w:r>
                    <w:rPr>
                      <w:rFonts w:hAnsi="宋体"/>
                      <w:spacing w:val="-2"/>
                      <w:szCs w:val="24"/>
                    </w:rPr>
                    <w:t>2023]006</w:t>
                  </w:r>
                  <w:r>
                    <w:rPr>
                      <w:rFonts w:hint="eastAsia" w:hAnsi="宋体"/>
                      <w:spacing w:val="-2"/>
                      <w:szCs w:val="24"/>
                    </w:rPr>
                    <w:t>号；</w:t>
                  </w:r>
                </w:p>
                <w:p w14:paraId="520AB358">
                  <w:pPr>
                    <w:pStyle w:val="41"/>
                    <w:jc w:val="both"/>
                    <w:rPr>
                      <w:rFonts w:hint="eastAsia" w:hAnsi="宋体"/>
                      <w:spacing w:val="-2"/>
                      <w:szCs w:val="24"/>
                    </w:rPr>
                  </w:pPr>
                  <w:r>
                    <w:rPr>
                      <w:rFonts w:hint="eastAsia"/>
                      <w:szCs w:val="22"/>
                    </w:rPr>
                    <w:t>新经环表告审</w:t>
                  </w:r>
                  <w:r>
                    <w:rPr>
                      <w:szCs w:val="22"/>
                    </w:rPr>
                    <w:t>[2023]5号</w:t>
                  </w:r>
                  <w:r>
                    <w:rPr>
                      <w:rFonts w:hint="eastAsia"/>
                      <w:szCs w:val="22"/>
                    </w:rPr>
                    <w:t>；</w:t>
                  </w:r>
                  <w:r>
                    <w:rPr>
                      <w:rFonts w:hint="eastAsia" w:hAnsi="宋体"/>
                      <w:spacing w:val="-2"/>
                      <w:szCs w:val="24"/>
                    </w:rPr>
                    <w:t>豫环审</w:t>
                  </w:r>
                  <w:r>
                    <w:rPr>
                      <w:rFonts w:hAnsi="宋体"/>
                      <w:spacing w:val="-2"/>
                      <w:szCs w:val="24"/>
                    </w:rPr>
                    <w:t>[2022]53</w:t>
                  </w:r>
                  <w:r>
                    <w:rPr>
                      <w:rFonts w:hint="eastAsia" w:hAnsi="宋体"/>
                      <w:spacing w:val="-2"/>
                      <w:szCs w:val="24"/>
                    </w:rPr>
                    <w:t>号</w:t>
                  </w:r>
                  <w:r>
                    <w:rPr>
                      <w:rFonts w:hint="eastAsia"/>
                      <w:szCs w:val="22"/>
                    </w:rPr>
                    <w:t>。</w:t>
                  </w:r>
                </w:p>
              </w:tc>
              <w:tc>
                <w:tcPr>
                  <w:tcW w:w="670" w:type="pct"/>
                  <w:vAlign w:val="center"/>
                </w:tcPr>
                <w:p w14:paraId="520AB359">
                  <w:pPr>
                    <w:pStyle w:val="41"/>
                  </w:pPr>
                  <w:r>
                    <w:rPr>
                      <w:rFonts w:hint="eastAsia"/>
                      <w:lang w:val="en-US"/>
                    </w:rPr>
                    <w:t>已验收</w:t>
                  </w:r>
                </w:p>
              </w:tc>
            </w:tr>
            <w:tr w14:paraId="520AB36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632" w:type="pct"/>
                  <w:vMerge w:val="continue"/>
                  <w:vAlign w:val="center"/>
                </w:tcPr>
                <w:p w14:paraId="520AB35B">
                  <w:pPr>
                    <w:pStyle w:val="41"/>
                    <w:rPr>
                      <w:lang w:val="en-US"/>
                    </w:rPr>
                  </w:pPr>
                </w:p>
              </w:tc>
              <w:tc>
                <w:tcPr>
                  <w:tcW w:w="611" w:type="pct"/>
                  <w:vMerge w:val="continue"/>
                  <w:vAlign w:val="center"/>
                </w:tcPr>
                <w:p w14:paraId="520AB35C">
                  <w:pPr>
                    <w:pStyle w:val="41"/>
                    <w:rPr>
                      <w:lang w:val="en-US"/>
                    </w:rPr>
                  </w:pPr>
                </w:p>
              </w:tc>
              <w:tc>
                <w:tcPr>
                  <w:tcW w:w="3087" w:type="pct"/>
                  <w:vAlign w:val="center"/>
                </w:tcPr>
                <w:p w14:paraId="520AB35D">
                  <w:pPr>
                    <w:pStyle w:val="41"/>
                    <w:jc w:val="both"/>
                    <w:rPr>
                      <w:rFonts w:hint="eastAsia" w:hAnsi="宋体"/>
                      <w:spacing w:val="-2"/>
                      <w:szCs w:val="24"/>
                    </w:rPr>
                  </w:pPr>
                  <w:r>
                    <w:rPr>
                      <w:rFonts w:hint="eastAsia" w:hAnsi="宋体"/>
                      <w:spacing w:val="-2"/>
                      <w:szCs w:val="24"/>
                    </w:rPr>
                    <w:t>新环表审[2024]4号；</w:t>
                  </w:r>
                  <w:r>
                    <w:rPr>
                      <w:rFonts w:hint="eastAsia"/>
                      <w:szCs w:val="22"/>
                    </w:rPr>
                    <w:t>新环牧表审[2024]004号；</w:t>
                  </w:r>
                </w:p>
                <w:p w14:paraId="520AB35E">
                  <w:pPr>
                    <w:pStyle w:val="41"/>
                    <w:jc w:val="both"/>
                    <w:rPr>
                      <w:szCs w:val="22"/>
                    </w:rPr>
                  </w:pPr>
                  <w:r>
                    <w:rPr>
                      <w:rFonts w:hint="eastAsia"/>
                      <w:szCs w:val="22"/>
                    </w:rPr>
                    <w:t>新环牧表审[2024]005号；豫环审[</w:t>
                  </w:r>
                  <w:r>
                    <w:rPr>
                      <w:szCs w:val="22"/>
                    </w:rPr>
                    <w:t>2024]53</w:t>
                  </w:r>
                  <w:r>
                    <w:rPr>
                      <w:rFonts w:hint="eastAsia"/>
                      <w:szCs w:val="22"/>
                    </w:rPr>
                    <w:t>号；</w:t>
                  </w:r>
                </w:p>
                <w:p w14:paraId="520AB35F">
                  <w:pPr>
                    <w:pStyle w:val="41"/>
                    <w:jc w:val="both"/>
                    <w:rPr>
                      <w:rFonts w:hint="eastAsia" w:hAnsi="宋体"/>
                      <w:spacing w:val="-2"/>
                      <w:szCs w:val="24"/>
                    </w:rPr>
                  </w:pPr>
                  <w:r>
                    <w:rPr>
                      <w:rFonts w:hint="eastAsia" w:hAnsi="宋体"/>
                      <w:spacing w:val="-2"/>
                      <w:szCs w:val="24"/>
                    </w:rPr>
                    <w:t>新高环书字[2024]2号；新环牧表审[2024]009号。</w:t>
                  </w:r>
                </w:p>
              </w:tc>
              <w:tc>
                <w:tcPr>
                  <w:tcW w:w="670" w:type="pct"/>
                  <w:vAlign w:val="center"/>
                </w:tcPr>
                <w:p w14:paraId="520AB360">
                  <w:pPr>
                    <w:pStyle w:val="41"/>
                    <w:rPr>
                      <w:lang w:val="en-US"/>
                    </w:rPr>
                  </w:pPr>
                  <w:r>
                    <w:rPr>
                      <w:rFonts w:hint="eastAsia"/>
                      <w:lang w:val="en-US"/>
                    </w:rPr>
                    <w:t>未验收</w:t>
                  </w:r>
                </w:p>
              </w:tc>
            </w:tr>
            <w:tr w14:paraId="520AB36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000" w:type="pct"/>
                  <w:gridSpan w:val="4"/>
                  <w:vAlign w:val="center"/>
                </w:tcPr>
                <w:p w14:paraId="520AB362">
                  <w:pPr>
                    <w:pStyle w:val="41"/>
                    <w:jc w:val="left"/>
                    <w:rPr>
                      <w:rFonts w:eastAsia="黑体"/>
                      <w:lang w:val="en-US"/>
                    </w:rPr>
                  </w:pPr>
                  <w:r>
                    <w:rPr>
                      <w:rFonts w:eastAsia="黑体"/>
                      <w:lang w:val="en-US"/>
                    </w:rPr>
                    <w:t>注：因新乡航空工业（集团）有限公司属于军工企业，环评批复</w:t>
                  </w:r>
                  <w:r>
                    <w:rPr>
                      <w:rFonts w:hint="eastAsia" w:eastAsia="黑体"/>
                      <w:lang w:val="en-US"/>
                    </w:rPr>
                    <w:t>及验收</w:t>
                  </w:r>
                  <w:r>
                    <w:rPr>
                      <w:rFonts w:eastAsia="黑体"/>
                      <w:lang w:val="en-US"/>
                    </w:rPr>
                    <w:t>内容因涉密不能明确。</w:t>
                  </w:r>
                </w:p>
              </w:tc>
            </w:tr>
          </w:tbl>
          <w:p w14:paraId="520AB364">
            <w:pPr>
              <w:spacing w:line="460" w:lineRule="exact"/>
              <w:ind w:firstLine="480" w:firstLineChars="200"/>
              <w:rPr>
                <w:bCs/>
                <w:sz w:val="24"/>
              </w:rPr>
            </w:pPr>
            <w:r>
              <w:rPr>
                <w:rFonts w:hint="eastAsia"/>
                <w:bCs/>
                <w:sz w:val="24"/>
              </w:rPr>
              <w:t>本项目建设位于建设路厂区、解放路厂区，新航集团各厂区的排放口及排污许可证各自独立，因此本次仅对项目涉及的建设路厂区的现有工程污染物排放情况进行回顾。</w:t>
            </w:r>
          </w:p>
          <w:p w14:paraId="520AB365">
            <w:pPr>
              <w:spacing w:line="460" w:lineRule="exact"/>
              <w:ind w:firstLine="482" w:firstLineChars="200"/>
              <w:rPr>
                <w:b/>
                <w:bCs/>
                <w:sz w:val="24"/>
              </w:rPr>
            </w:pPr>
            <w:r>
              <w:rPr>
                <w:rFonts w:hint="eastAsia"/>
                <w:b/>
                <w:bCs/>
                <w:sz w:val="24"/>
              </w:rPr>
              <w:t>一、建设路厂区</w:t>
            </w:r>
          </w:p>
          <w:p w14:paraId="520AB366">
            <w:pPr>
              <w:spacing w:line="460" w:lineRule="exact"/>
              <w:ind w:firstLine="480" w:firstLineChars="200"/>
              <w:rPr>
                <w:sz w:val="24"/>
              </w:rPr>
            </w:pPr>
            <w:r>
              <w:rPr>
                <w:rFonts w:hint="eastAsia"/>
                <w:bCs/>
                <w:sz w:val="24"/>
              </w:rPr>
              <w:t>新航集团</w:t>
            </w:r>
            <w:r>
              <w:rPr>
                <w:rFonts w:hint="eastAsia"/>
                <w:sz w:val="24"/>
              </w:rPr>
              <w:t>建设路厂区于2024年12月3日重新申请取得排污许可证，证书编号：914107117708545471010S，有效期为：2024年12月03日~2029年12月02日，管理类别为简化管理。</w:t>
            </w:r>
            <w:r>
              <w:rPr>
                <w:sz w:val="24"/>
              </w:rPr>
              <w:t>企业</w:t>
            </w:r>
            <w:r>
              <w:rPr>
                <w:rFonts w:hint="eastAsia"/>
                <w:sz w:val="24"/>
              </w:rPr>
              <w:t>已</w:t>
            </w:r>
            <w:r>
              <w:rPr>
                <w:sz w:val="24"/>
              </w:rPr>
              <w:t>按照</w:t>
            </w:r>
            <w:r>
              <w:rPr>
                <w:rFonts w:hint="eastAsia"/>
                <w:sz w:val="24"/>
              </w:rPr>
              <w:t>排污许可证规定和有关标准规范进行环境管理台账记录</w:t>
            </w:r>
            <w:r>
              <w:rPr>
                <w:sz w:val="24"/>
              </w:rPr>
              <w:t>、</w:t>
            </w:r>
            <w:r>
              <w:rPr>
                <w:rFonts w:hint="eastAsia"/>
                <w:sz w:val="24"/>
              </w:rPr>
              <w:t>排污许可证执行报告填报、开展</w:t>
            </w:r>
            <w:r>
              <w:rPr>
                <w:sz w:val="24"/>
              </w:rPr>
              <w:t>自行监测</w:t>
            </w:r>
            <w:r>
              <w:rPr>
                <w:rFonts w:hint="eastAsia"/>
                <w:sz w:val="24"/>
              </w:rPr>
              <w:t>。</w:t>
            </w:r>
          </w:p>
          <w:p w14:paraId="520AB367">
            <w:pPr>
              <w:adjustRightInd w:val="0"/>
              <w:snapToGrid w:val="0"/>
              <w:spacing w:line="460" w:lineRule="exact"/>
              <w:ind w:firstLine="482" w:firstLineChars="200"/>
              <w:rPr>
                <w:b/>
                <w:bCs/>
                <w:sz w:val="24"/>
              </w:rPr>
            </w:pPr>
            <w:r>
              <w:rPr>
                <w:rFonts w:hint="eastAsia"/>
                <w:b/>
                <w:bCs/>
                <w:sz w:val="24"/>
              </w:rPr>
              <w:t>1、主要产品</w:t>
            </w:r>
          </w:p>
          <w:p w14:paraId="520AB368">
            <w:pPr>
              <w:adjustRightInd w:val="0"/>
              <w:snapToGrid w:val="0"/>
              <w:spacing w:line="460" w:lineRule="exact"/>
              <w:ind w:firstLine="480" w:firstLineChars="200"/>
              <w:rPr>
                <w:sz w:val="24"/>
              </w:rPr>
            </w:pPr>
            <w:r>
              <w:rPr>
                <w:rFonts w:hint="eastAsia"/>
                <w:sz w:val="24"/>
              </w:rPr>
              <w:t>建设路厂区主要从事航空燃油、滑油、液压和环控机载配件的研制生产，主要产品种类包括过滤装置类、热交换器类、涡轮冷却器类、引气压力调节器类、控制活门类等，其产品品种包括各种类型和各种介质的过滤器、热交换器、涡轮冷却器、座舱压力调节器、引气压力调节器等共计1000余种，涵盖了国内军用航空和民用航空领域各类机型和部分非航空领域。</w:t>
            </w:r>
          </w:p>
          <w:p w14:paraId="520AB369">
            <w:pPr>
              <w:adjustRightInd w:val="0"/>
              <w:snapToGrid w:val="0"/>
              <w:spacing w:line="460" w:lineRule="exact"/>
              <w:ind w:firstLine="482" w:firstLineChars="200"/>
              <w:rPr>
                <w:bCs/>
                <w:sz w:val="24"/>
              </w:rPr>
            </w:pPr>
            <w:r>
              <w:rPr>
                <w:rFonts w:hint="eastAsia"/>
                <w:b/>
                <w:bCs/>
                <w:sz w:val="24"/>
              </w:rPr>
              <w:t>2、现有工程污染物排放情况</w:t>
            </w:r>
          </w:p>
          <w:p w14:paraId="520AB36A">
            <w:pPr>
              <w:adjustRightInd w:val="0"/>
              <w:snapToGrid w:val="0"/>
              <w:spacing w:line="460" w:lineRule="exact"/>
              <w:ind w:firstLine="480" w:firstLineChars="200"/>
              <w:rPr>
                <w:bCs/>
                <w:sz w:val="24"/>
              </w:rPr>
            </w:pPr>
            <w:r>
              <w:rPr>
                <w:rFonts w:hint="eastAsia"/>
                <w:bCs/>
                <w:sz w:val="24"/>
              </w:rPr>
              <w:t>新乡航空工业（集团）有限公司建设路厂区现有工程主要生产工艺包括表面处理（含电镀）、热处理、机械加工和喷涂处理等。根据其环评报告及批复、验收报告、</w:t>
            </w:r>
            <w:r>
              <w:rPr>
                <w:bCs/>
                <w:sz w:val="24"/>
              </w:rPr>
              <w:t>近期的检测报告、</w:t>
            </w:r>
            <w:r>
              <w:rPr>
                <w:rFonts w:hint="eastAsia"/>
                <w:bCs/>
                <w:sz w:val="24"/>
              </w:rPr>
              <w:t>污染物在线监测数据、排污许可证及现场勘查情况，现有项目污染物排放情况如下。</w:t>
            </w:r>
          </w:p>
          <w:p w14:paraId="520AB36B">
            <w:pPr>
              <w:adjustRightInd w:val="0"/>
              <w:snapToGrid w:val="0"/>
              <w:spacing w:line="460" w:lineRule="exact"/>
              <w:ind w:firstLine="482" w:firstLineChars="200"/>
              <w:rPr>
                <w:b/>
                <w:sz w:val="24"/>
              </w:rPr>
            </w:pPr>
            <w:r>
              <w:rPr>
                <w:rFonts w:hint="eastAsia"/>
                <w:b/>
                <w:sz w:val="24"/>
              </w:rPr>
              <w:t>（1）废水</w:t>
            </w:r>
          </w:p>
          <w:p w14:paraId="520AB36C">
            <w:pPr>
              <w:adjustRightInd w:val="0"/>
              <w:snapToGrid w:val="0"/>
              <w:spacing w:line="460" w:lineRule="exact"/>
              <w:ind w:firstLine="482" w:firstLineChars="200"/>
              <w:rPr>
                <w:b/>
                <w:bCs/>
                <w:sz w:val="24"/>
              </w:rPr>
            </w:pPr>
            <w:r>
              <w:rPr>
                <w:rFonts w:hint="eastAsia" w:ascii="宋体" w:hAnsi="宋体"/>
                <w:b/>
                <w:bCs/>
                <w:sz w:val="24"/>
              </w:rPr>
              <w:t>①</w:t>
            </w:r>
            <w:r>
              <w:rPr>
                <w:b/>
                <w:bCs/>
                <w:sz w:val="24"/>
              </w:rPr>
              <w:t>废水种类及处理措施</w:t>
            </w:r>
          </w:p>
          <w:p w14:paraId="520AB36D">
            <w:pPr>
              <w:spacing w:line="460" w:lineRule="exact"/>
              <w:ind w:firstLine="480" w:firstLineChars="200"/>
              <w:rPr>
                <w:bCs/>
                <w:sz w:val="24"/>
              </w:rPr>
            </w:pPr>
            <w:r>
              <w:rPr>
                <w:rFonts w:hint="eastAsia"/>
                <w:bCs/>
                <w:sz w:val="24"/>
              </w:rPr>
              <w:t>现有工程废水主要为生产废水和生活污水，</w:t>
            </w:r>
            <w:r>
              <w:rPr>
                <w:rFonts w:hint="eastAsia"/>
                <w:sz w:val="24"/>
              </w:rPr>
              <w:t>具体产污环节及治理措施见下表。</w:t>
            </w:r>
          </w:p>
          <w:p w14:paraId="520AB36E">
            <w:pPr>
              <w:spacing w:line="460" w:lineRule="exact"/>
              <w:ind w:firstLine="480" w:firstLineChars="200"/>
              <w:jc w:val="left"/>
              <w:rPr>
                <w:rFonts w:eastAsia="黑体"/>
                <w:sz w:val="24"/>
              </w:rPr>
            </w:pPr>
            <w:r>
              <w:rPr>
                <w:rFonts w:eastAsia="黑体"/>
                <w:sz w:val="24"/>
              </w:rPr>
              <w:t>表</w:t>
            </w:r>
            <w:r>
              <w:rPr>
                <w:rFonts w:hint="eastAsia" w:eastAsia="黑体"/>
                <w:sz w:val="24"/>
              </w:rPr>
              <w:t>18</w:t>
            </w:r>
            <w:r>
              <w:rPr>
                <w:rFonts w:eastAsia="黑体"/>
                <w:sz w:val="24"/>
              </w:rPr>
              <w:t xml:space="preserve">      建设路厂区现有工程废</w:t>
            </w:r>
            <w:r>
              <w:rPr>
                <w:rFonts w:hint="eastAsia" w:eastAsia="黑体"/>
                <w:sz w:val="24"/>
              </w:rPr>
              <w:t>水</w:t>
            </w:r>
            <w:r>
              <w:rPr>
                <w:rFonts w:eastAsia="黑体"/>
                <w:sz w:val="24"/>
              </w:rPr>
              <w:t>产污环节及治理措施一览表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27"/>
              <w:gridCol w:w="579"/>
              <w:gridCol w:w="1007"/>
              <w:gridCol w:w="2153"/>
              <w:gridCol w:w="721"/>
              <w:gridCol w:w="1151"/>
              <w:gridCol w:w="578"/>
              <w:gridCol w:w="1253"/>
            </w:tblGrid>
            <w:tr w14:paraId="520AB37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2213" w:type="dxa"/>
                  <w:gridSpan w:val="3"/>
                  <w:vAlign w:val="center"/>
                </w:tcPr>
                <w:p w14:paraId="520AB36F">
                  <w:pPr>
                    <w:jc w:val="center"/>
                    <w:rPr>
                      <w:b/>
                      <w:szCs w:val="21"/>
                    </w:rPr>
                  </w:pPr>
                  <w:r>
                    <w:rPr>
                      <w:b/>
                      <w:szCs w:val="21"/>
                    </w:rPr>
                    <w:t>产污环节</w:t>
                  </w:r>
                </w:p>
              </w:tc>
              <w:tc>
                <w:tcPr>
                  <w:tcW w:w="2153" w:type="dxa"/>
                  <w:vAlign w:val="center"/>
                </w:tcPr>
                <w:p w14:paraId="520AB370">
                  <w:pPr>
                    <w:jc w:val="center"/>
                    <w:rPr>
                      <w:b/>
                      <w:szCs w:val="21"/>
                    </w:rPr>
                  </w:pPr>
                  <w:r>
                    <w:rPr>
                      <w:b/>
                      <w:szCs w:val="21"/>
                    </w:rPr>
                    <w:t>污</w:t>
                  </w:r>
                  <w:r>
                    <w:rPr>
                      <w:rFonts w:hint="eastAsia"/>
                      <w:b/>
                      <w:szCs w:val="21"/>
                    </w:rPr>
                    <w:t>染</w:t>
                  </w:r>
                  <w:r>
                    <w:rPr>
                      <w:b/>
                      <w:szCs w:val="21"/>
                    </w:rPr>
                    <w:t>物</w:t>
                  </w:r>
                </w:p>
              </w:tc>
              <w:tc>
                <w:tcPr>
                  <w:tcW w:w="3703" w:type="dxa"/>
                  <w:gridSpan w:val="4"/>
                  <w:vAlign w:val="center"/>
                </w:tcPr>
                <w:p w14:paraId="520AB371">
                  <w:pPr>
                    <w:jc w:val="center"/>
                    <w:rPr>
                      <w:b/>
                      <w:szCs w:val="21"/>
                    </w:rPr>
                  </w:pPr>
                  <w:r>
                    <w:rPr>
                      <w:b/>
                      <w:szCs w:val="21"/>
                    </w:rPr>
                    <w:t>防治措施</w:t>
                  </w:r>
                </w:p>
              </w:tc>
            </w:tr>
            <w:tr w14:paraId="520AB37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restart"/>
                  <w:vAlign w:val="center"/>
                </w:tcPr>
                <w:p w14:paraId="520AB373">
                  <w:pPr>
                    <w:jc w:val="center"/>
                    <w:rPr>
                      <w:rFonts w:hint="eastAsia" w:ascii="宋体" w:hAnsi="宋体" w:cs="宋体"/>
                      <w:szCs w:val="21"/>
                    </w:rPr>
                  </w:pPr>
                  <w:r>
                    <w:rPr>
                      <w:rFonts w:hint="eastAsia" w:ascii="宋体" w:hAnsi="宋体" w:cs="宋体"/>
                      <w:szCs w:val="21"/>
                    </w:rPr>
                    <w:t>已建工程</w:t>
                  </w:r>
                </w:p>
              </w:tc>
              <w:tc>
                <w:tcPr>
                  <w:tcW w:w="579" w:type="dxa"/>
                  <w:vMerge w:val="restart"/>
                  <w:vAlign w:val="center"/>
                </w:tcPr>
                <w:p w14:paraId="520AB374">
                  <w:pPr>
                    <w:jc w:val="center"/>
                    <w:rPr>
                      <w:szCs w:val="21"/>
                    </w:rPr>
                  </w:pPr>
                  <w:r>
                    <w:rPr>
                      <w:rFonts w:hint="eastAsia" w:ascii="宋体" w:hAnsi="宋体" w:cs="宋体"/>
                      <w:szCs w:val="21"/>
                    </w:rPr>
                    <w:t>电镀生产线</w:t>
                  </w:r>
                </w:p>
              </w:tc>
              <w:tc>
                <w:tcPr>
                  <w:tcW w:w="1007" w:type="dxa"/>
                  <w:vAlign w:val="center"/>
                </w:tcPr>
                <w:p w14:paraId="520AB375">
                  <w:pPr>
                    <w:jc w:val="center"/>
                    <w:rPr>
                      <w:rFonts w:hint="eastAsia" w:ascii="宋体" w:hAnsi="宋体" w:cs="宋体"/>
                      <w:szCs w:val="21"/>
                    </w:rPr>
                  </w:pPr>
                  <w:r>
                    <w:rPr>
                      <w:szCs w:val="21"/>
                    </w:rPr>
                    <w:t>含氰废水</w:t>
                  </w:r>
                </w:p>
              </w:tc>
              <w:tc>
                <w:tcPr>
                  <w:tcW w:w="2153" w:type="dxa"/>
                  <w:vAlign w:val="center"/>
                </w:tcPr>
                <w:p w14:paraId="520AB376">
                  <w:pPr>
                    <w:jc w:val="center"/>
                    <w:rPr>
                      <w:szCs w:val="21"/>
                    </w:rPr>
                  </w:pPr>
                  <w:r>
                    <w:rPr>
                      <w:rFonts w:hint="eastAsia" w:ascii="宋体" w:hAnsi="宋体" w:cs="宋体"/>
                      <w:szCs w:val="21"/>
                    </w:rPr>
                    <w:t>总氰化物</w:t>
                  </w:r>
                </w:p>
              </w:tc>
              <w:tc>
                <w:tcPr>
                  <w:tcW w:w="1872" w:type="dxa"/>
                  <w:gridSpan w:val="2"/>
                  <w:vAlign w:val="center"/>
                </w:tcPr>
                <w:p w14:paraId="520AB377">
                  <w:pPr>
                    <w:jc w:val="center"/>
                    <w:rPr>
                      <w:szCs w:val="21"/>
                    </w:rPr>
                  </w:pPr>
                  <w:r>
                    <w:rPr>
                      <w:rFonts w:hint="eastAsia" w:ascii="宋体" w:hAnsi="宋体" w:cs="宋体"/>
                      <w:szCs w:val="21"/>
                    </w:rPr>
                    <w:t>调节池-反应槽-斜板沉淀池</w:t>
                  </w:r>
                </w:p>
              </w:tc>
              <w:tc>
                <w:tcPr>
                  <w:tcW w:w="578" w:type="dxa"/>
                  <w:vMerge w:val="restart"/>
                  <w:vAlign w:val="center"/>
                </w:tcPr>
                <w:p w14:paraId="520AB378">
                  <w:pPr>
                    <w:jc w:val="center"/>
                    <w:rPr>
                      <w:rFonts w:hint="eastAsia" w:ascii="宋体" w:hAnsi="宋体" w:cs="宋体"/>
                      <w:szCs w:val="21"/>
                    </w:rPr>
                  </w:pPr>
                  <w:r>
                    <w:rPr>
                      <w:rFonts w:hint="eastAsia" w:ascii="宋体" w:hAnsi="宋体" w:cs="宋体"/>
                      <w:szCs w:val="21"/>
                    </w:rPr>
                    <w:t>砂滤器-活性炭过滤器-超滤系统</w:t>
                  </w:r>
                </w:p>
              </w:tc>
              <w:tc>
                <w:tcPr>
                  <w:tcW w:w="1253" w:type="dxa"/>
                  <w:vMerge w:val="restart"/>
                  <w:vAlign w:val="center"/>
                </w:tcPr>
                <w:p w14:paraId="520AB379">
                  <w:pPr>
                    <w:jc w:val="center"/>
                    <w:rPr>
                      <w:szCs w:val="21"/>
                    </w:rPr>
                  </w:pPr>
                  <w:r>
                    <w:rPr>
                      <w:szCs w:val="21"/>
                    </w:rPr>
                    <w:t>进入厂区</w:t>
                  </w:r>
                  <w:r>
                    <w:rPr>
                      <w:rFonts w:hint="eastAsia"/>
                      <w:szCs w:val="21"/>
                    </w:rPr>
                    <w:t>综</w:t>
                  </w:r>
                  <w:r>
                    <w:rPr>
                      <w:szCs w:val="21"/>
                    </w:rPr>
                    <w:t>合废水处理设施（格栅渠-隔油池</w:t>
                  </w:r>
                  <w:r>
                    <w:rPr>
                      <w:rFonts w:hint="eastAsia"/>
                      <w:szCs w:val="21"/>
                    </w:rPr>
                    <w:t>-</w:t>
                  </w:r>
                  <w:r>
                    <w:rPr>
                      <w:szCs w:val="21"/>
                    </w:rPr>
                    <w:t>调节池-混凝反应池-沉淀池1-水解酸化池-接触氧化池-沉淀池2-沉淀池3-清水池）处理后经厂区总排口排入小尚庄污水处</w:t>
                  </w:r>
                  <w:r>
                    <w:rPr>
                      <w:rFonts w:hint="eastAsia"/>
                      <w:szCs w:val="21"/>
                    </w:rPr>
                    <w:t>理</w:t>
                  </w:r>
                  <w:r>
                    <w:rPr>
                      <w:szCs w:val="21"/>
                    </w:rPr>
                    <w:t>厂</w:t>
                  </w:r>
                </w:p>
              </w:tc>
            </w:tr>
            <w:tr w14:paraId="520AB38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continue"/>
                  <w:vAlign w:val="center"/>
                </w:tcPr>
                <w:p w14:paraId="520AB37B">
                  <w:pPr>
                    <w:jc w:val="center"/>
                    <w:rPr>
                      <w:szCs w:val="21"/>
                    </w:rPr>
                  </w:pPr>
                </w:p>
              </w:tc>
              <w:tc>
                <w:tcPr>
                  <w:tcW w:w="579" w:type="dxa"/>
                  <w:vMerge w:val="continue"/>
                  <w:vAlign w:val="center"/>
                </w:tcPr>
                <w:p w14:paraId="520AB37C">
                  <w:pPr>
                    <w:jc w:val="center"/>
                    <w:rPr>
                      <w:szCs w:val="21"/>
                    </w:rPr>
                  </w:pPr>
                </w:p>
              </w:tc>
              <w:tc>
                <w:tcPr>
                  <w:tcW w:w="1007" w:type="dxa"/>
                  <w:vAlign w:val="center"/>
                </w:tcPr>
                <w:p w14:paraId="520AB37D">
                  <w:pPr>
                    <w:jc w:val="center"/>
                    <w:rPr>
                      <w:rFonts w:hint="eastAsia" w:ascii="宋体" w:hAnsi="宋体" w:cs="宋体"/>
                      <w:szCs w:val="21"/>
                    </w:rPr>
                  </w:pPr>
                  <w:r>
                    <w:rPr>
                      <w:szCs w:val="21"/>
                    </w:rPr>
                    <w:t>含铬废水</w:t>
                  </w:r>
                </w:p>
              </w:tc>
              <w:tc>
                <w:tcPr>
                  <w:tcW w:w="2153" w:type="dxa"/>
                  <w:vAlign w:val="center"/>
                </w:tcPr>
                <w:p w14:paraId="520AB37E">
                  <w:pPr>
                    <w:jc w:val="center"/>
                    <w:rPr>
                      <w:szCs w:val="21"/>
                    </w:rPr>
                  </w:pPr>
                  <w:r>
                    <w:rPr>
                      <w:rFonts w:hint="eastAsia" w:ascii="宋体" w:hAnsi="宋体" w:cs="宋体"/>
                      <w:szCs w:val="21"/>
                    </w:rPr>
                    <w:t>总铬、六价铬</w:t>
                  </w:r>
                </w:p>
              </w:tc>
              <w:tc>
                <w:tcPr>
                  <w:tcW w:w="721" w:type="dxa"/>
                  <w:vAlign w:val="center"/>
                </w:tcPr>
                <w:p w14:paraId="520AB37F">
                  <w:pPr>
                    <w:jc w:val="center"/>
                    <w:rPr>
                      <w:szCs w:val="21"/>
                    </w:rPr>
                  </w:pPr>
                  <w:r>
                    <w:rPr>
                      <w:rFonts w:hint="eastAsia"/>
                      <w:szCs w:val="21"/>
                    </w:rPr>
                    <w:t>/</w:t>
                  </w:r>
                </w:p>
              </w:tc>
              <w:tc>
                <w:tcPr>
                  <w:tcW w:w="1151" w:type="dxa"/>
                  <w:vMerge w:val="restart"/>
                  <w:vAlign w:val="center"/>
                </w:tcPr>
                <w:p w14:paraId="520AB380">
                  <w:pPr>
                    <w:jc w:val="center"/>
                    <w:rPr>
                      <w:szCs w:val="21"/>
                    </w:rPr>
                  </w:pPr>
                  <w:r>
                    <w:rPr>
                      <w:rFonts w:hint="eastAsia" w:ascii="宋体" w:hAnsi="宋体" w:cs="宋体"/>
                      <w:szCs w:val="21"/>
                    </w:rPr>
                    <w:t>调节池-反应槽-反应槽-斜板过滤池</w:t>
                  </w:r>
                </w:p>
              </w:tc>
              <w:tc>
                <w:tcPr>
                  <w:tcW w:w="578" w:type="dxa"/>
                  <w:vMerge w:val="continue"/>
                  <w:vAlign w:val="center"/>
                </w:tcPr>
                <w:p w14:paraId="520AB381">
                  <w:pPr>
                    <w:jc w:val="center"/>
                    <w:rPr>
                      <w:rFonts w:hint="eastAsia" w:ascii="宋体" w:hAnsi="宋体" w:cs="宋体"/>
                      <w:szCs w:val="21"/>
                    </w:rPr>
                  </w:pPr>
                </w:p>
              </w:tc>
              <w:tc>
                <w:tcPr>
                  <w:tcW w:w="1253" w:type="dxa"/>
                  <w:vMerge w:val="continue"/>
                  <w:vAlign w:val="center"/>
                </w:tcPr>
                <w:p w14:paraId="520AB382">
                  <w:pPr>
                    <w:jc w:val="center"/>
                    <w:rPr>
                      <w:rFonts w:hint="eastAsia" w:ascii="宋体" w:hAnsi="宋体" w:cs="宋体"/>
                      <w:szCs w:val="21"/>
                    </w:rPr>
                  </w:pPr>
                </w:p>
              </w:tc>
            </w:tr>
            <w:tr w14:paraId="520AB38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continue"/>
                  <w:vAlign w:val="center"/>
                </w:tcPr>
                <w:p w14:paraId="520AB384">
                  <w:pPr>
                    <w:jc w:val="center"/>
                    <w:rPr>
                      <w:rFonts w:hint="eastAsia" w:hAnsi="宋体"/>
                      <w:szCs w:val="21"/>
                    </w:rPr>
                  </w:pPr>
                </w:p>
              </w:tc>
              <w:tc>
                <w:tcPr>
                  <w:tcW w:w="579" w:type="dxa"/>
                  <w:vMerge w:val="continue"/>
                  <w:vAlign w:val="center"/>
                </w:tcPr>
                <w:p w14:paraId="520AB385">
                  <w:pPr>
                    <w:jc w:val="center"/>
                    <w:rPr>
                      <w:szCs w:val="21"/>
                    </w:rPr>
                  </w:pPr>
                </w:p>
              </w:tc>
              <w:tc>
                <w:tcPr>
                  <w:tcW w:w="1007" w:type="dxa"/>
                  <w:vAlign w:val="center"/>
                </w:tcPr>
                <w:p w14:paraId="520AB386">
                  <w:pPr>
                    <w:jc w:val="center"/>
                    <w:rPr>
                      <w:szCs w:val="21"/>
                    </w:rPr>
                  </w:pPr>
                  <w:r>
                    <w:rPr>
                      <w:rFonts w:hint="eastAsia"/>
                      <w:szCs w:val="21"/>
                    </w:rPr>
                    <w:t>重金属废水</w:t>
                  </w:r>
                </w:p>
              </w:tc>
              <w:tc>
                <w:tcPr>
                  <w:tcW w:w="2153" w:type="dxa"/>
                  <w:vAlign w:val="center"/>
                </w:tcPr>
                <w:p w14:paraId="520AB387">
                  <w:pPr>
                    <w:jc w:val="center"/>
                    <w:rPr>
                      <w:szCs w:val="21"/>
                    </w:rPr>
                  </w:pPr>
                  <w:r>
                    <w:rPr>
                      <w:rFonts w:hint="eastAsia"/>
                      <w:szCs w:val="21"/>
                    </w:rPr>
                    <w:t>pH、总镍、总镉、总铜、总锌、氰化物、总铬、六价铬</w:t>
                  </w:r>
                </w:p>
              </w:tc>
              <w:tc>
                <w:tcPr>
                  <w:tcW w:w="721" w:type="dxa"/>
                  <w:vAlign w:val="center"/>
                </w:tcPr>
                <w:p w14:paraId="520AB388">
                  <w:pPr>
                    <w:jc w:val="center"/>
                    <w:rPr>
                      <w:szCs w:val="21"/>
                    </w:rPr>
                  </w:pPr>
                  <w:r>
                    <w:rPr>
                      <w:rFonts w:hint="eastAsia" w:ascii="宋体" w:hAnsi="宋体" w:cs="宋体"/>
                      <w:szCs w:val="21"/>
                    </w:rPr>
                    <w:t>调节池-反应槽</w:t>
                  </w:r>
                </w:p>
              </w:tc>
              <w:tc>
                <w:tcPr>
                  <w:tcW w:w="1151" w:type="dxa"/>
                  <w:vMerge w:val="continue"/>
                  <w:vAlign w:val="center"/>
                </w:tcPr>
                <w:p w14:paraId="520AB389">
                  <w:pPr>
                    <w:jc w:val="center"/>
                    <w:rPr>
                      <w:szCs w:val="21"/>
                    </w:rPr>
                  </w:pPr>
                </w:p>
              </w:tc>
              <w:tc>
                <w:tcPr>
                  <w:tcW w:w="578" w:type="dxa"/>
                  <w:vMerge w:val="continue"/>
                  <w:vAlign w:val="center"/>
                </w:tcPr>
                <w:p w14:paraId="520AB38A">
                  <w:pPr>
                    <w:jc w:val="center"/>
                    <w:rPr>
                      <w:rFonts w:hint="eastAsia" w:ascii="宋体" w:hAnsi="宋体" w:cs="宋体"/>
                      <w:szCs w:val="21"/>
                    </w:rPr>
                  </w:pPr>
                </w:p>
              </w:tc>
              <w:tc>
                <w:tcPr>
                  <w:tcW w:w="1253" w:type="dxa"/>
                  <w:vMerge w:val="continue"/>
                  <w:vAlign w:val="center"/>
                </w:tcPr>
                <w:p w14:paraId="520AB38B">
                  <w:pPr>
                    <w:jc w:val="center"/>
                    <w:rPr>
                      <w:rFonts w:hint="eastAsia" w:ascii="宋体" w:hAnsi="宋体" w:cs="宋体"/>
                      <w:szCs w:val="21"/>
                    </w:rPr>
                  </w:pPr>
                </w:p>
              </w:tc>
            </w:tr>
            <w:tr w14:paraId="520AB39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continue"/>
                  <w:vAlign w:val="center"/>
                </w:tcPr>
                <w:p w14:paraId="520AB38D">
                  <w:pPr>
                    <w:jc w:val="center"/>
                    <w:rPr>
                      <w:rFonts w:hint="eastAsia" w:hAnsi="宋体"/>
                      <w:szCs w:val="21"/>
                    </w:rPr>
                  </w:pPr>
                </w:p>
              </w:tc>
              <w:tc>
                <w:tcPr>
                  <w:tcW w:w="579" w:type="dxa"/>
                  <w:vMerge w:val="continue"/>
                  <w:vAlign w:val="center"/>
                </w:tcPr>
                <w:p w14:paraId="520AB38E">
                  <w:pPr>
                    <w:jc w:val="center"/>
                    <w:rPr>
                      <w:szCs w:val="21"/>
                    </w:rPr>
                  </w:pPr>
                </w:p>
              </w:tc>
              <w:tc>
                <w:tcPr>
                  <w:tcW w:w="1007" w:type="dxa"/>
                  <w:vAlign w:val="center"/>
                </w:tcPr>
                <w:p w14:paraId="520AB38F">
                  <w:pPr>
                    <w:jc w:val="center"/>
                    <w:rPr>
                      <w:szCs w:val="21"/>
                    </w:rPr>
                  </w:pPr>
                  <w:r>
                    <w:rPr>
                      <w:rFonts w:hint="eastAsia"/>
                      <w:szCs w:val="21"/>
                    </w:rPr>
                    <w:t>酸碱废水</w:t>
                  </w:r>
                </w:p>
              </w:tc>
              <w:tc>
                <w:tcPr>
                  <w:tcW w:w="2153" w:type="dxa"/>
                  <w:vAlign w:val="center"/>
                </w:tcPr>
                <w:p w14:paraId="520AB390">
                  <w:pPr>
                    <w:jc w:val="center"/>
                    <w:rPr>
                      <w:szCs w:val="21"/>
                    </w:rPr>
                  </w:pPr>
                  <w:r>
                    <w:rPr>
                      <w:szCs w:val="21"/>
                    </w:rPr>
                    <w:t>pH</w:t>
                  </w:r>
                </w:p>
              </w:tc>
              <w:tc>
                <w:tcPr>
                  <w:tcW w:w="1872" w:type="dxa"/>
                  <w:gridSpan w:val="2"/>
                  <w:vAlign w:val="center"/>
                </w:tcPr>
                <w:p w14:paraId="520AB391">
                  <w:pPr>
                    <w:jc w:val="center"/>
                    <w:rPr>
                      <w:szCs w:val="21"/>
                    </w:rPr>
                  </w:pPr>
                  <w:r>
                    <w:rPr>
                      <w:rFonts w:hint="eastAsia" w:ascii="宋体" w:hAnsi="宋体" w:cs="宋体"/>
                      <w:szCs w:val="21"/>
                    </w:rPr>
                    <w:t>调节池-反应槽-斜板沉淀池</w:t>
                  </w:r>
                </w:p>
              </w:tc>
              <w:tc>
                <w:tcPr>
                  <w:tcW w:w="578" w:type="dxa"/>
                  <w:vMerge w:val="continue"/>
                  <w:vAlign w:val="center"/>
                </w:tcPr>
                <w:p w14:paraId="520AB392">
                  <w:pPr>
                    <w:jc w:val="center"/>
                    <w:rPr>
                      <w:rFonts w:hint="eastAsia" w:ascii="宋体" w:hAnsi="宋体" w:cs="宋体"/>
                      <w:szCs w:val="21"/>
                    </w:rPr>
                  </w:pPr>
                </w:p>
              </w:tc>
              <w:tc>
                <w:tcPr>
                  <w:tcW w:w="1253" w:type="dxa"/>
                  <w:vMerge w:val="continue"/>
                  <w:vAlign w:val="center"/>
                </w:tcPr>
                <w:p w14:paraId="520AB393">
                  <w:pPr>
                    <w:jc w:val="center"/>
                    <w:rPr>
                      <w:rFonts w:hint="eastAsia" w:ascii="宋体" w:hAnsi="宋体" w:cs="宋体"/>
                      <w:szCs w:val="21"/>
                    </w:rPr>
                  </w:pPr>
                </w:p>
              </w:tc>
            </w:tr>
            <w:tr w14:paraId="520AB39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continue"/>
                  <w:vAlign w:val="center"/>
                </w:tcPr>
                <w:p w14:paraId="520AB395">
                  <w:pPr>
                    <w:jc w:val="center"/>
                    <w:rPr>
                      <w:szCs w:val="21"/>
                    </w:rPr>
                  </w:pPr>
                </w:p>
              </w:tc>
              <w:tc>
                <w:tcPr>
                  <w:tcW w:w="1586" w:type="dxa"/>
                  <w:gridSpan w:val="2"/>
                  <w:vAlign w:val="center"/>
                </w:tcPr>
                <w:p w14:paraId="520AB396">
                  <w:pPr>
                    <w:jc w:val="center"/>
                    <w:rPr>
                      <w:szCs w:val="21"/>
                    </w:rPr>
                  </w:pPr>
                  <w:r>
                    <w:rPr>
                      <w:rFonts w:hint="eastAsia"/>
                      <w:szCs w:val="21"/>
                    </w:rPr>
                    <w:t>生活污水</w:t>
                  </w:r>
                </w:p>
              </w:tc>
              <w:tc>
                <w:tcPr>
                  <w:tcW w:w="2153" w:type="dxa"/>
                  <w:vAlign w:val="center"/>
                </w:tcPr>
                <w:p w14:paraId="520AB397">
                  <w:pPr>
                    <w:jc w:val="center"/>
                    <w:rPr>
                      <w:szCs w:val="21"/>
                    </w:rPr>
                  </w:pPr>
                  <w:r>
                    <w:rPr>
                      <w:rFonts w:hint="eastAsia"/>
                      <w:szCs w:val="21"/>
                    </w:rPr>
                    <w:t>pH、COD、SS、NH</w:t>
                  </w:r>
                  <w:r>
                    <w:rPr>
                      <w:rFonts w:hint="eastAsia"/>
                      <w:szCs w:val="21"/>
                      <w:vertAlign w:val="subscript"/>
                    </w:rPr>
                    <w:t>3</w:t>
                  </w:r>
                  <w:r>
                    <w:rPr>
                      <w:rFonts w:hint="eastAsia"/>
                      <w:szCs w:val="21"/>
                    </w:rPr>
                    <w:t>-N、TP、TN</w:t>
                  </w:r>
                </w:p>
              </w:tc>
              <w:tc>
                <w:tcPr>
                  <w:tcW w:w="2450" w:type="dxa"/>
                  <w:gridSpan w:val="3"/>
                  <w:vAlign w:val="center"/>
                </w:tcPr>
                <w:p w14:paraId="520AB398">
                  <w:pPr>
                    <w:jc w:val="center"/>
                    <w:rPr>
                      <w:rFonts w:hint="eastAsia" w:ascii="宋体" w:hAnsi="宋体" w:cs="宋体"/>
                      <w:szCs w:val="21"/>
                    </w:rPr>
                  </w:pPr>
                  <w:r>
                    <w:rPr>
                      <w:rFonts w:hint="eastAsia" w:ascii="宋体" w:hAnsi="宋体" w:cs="宋体"/>
                      <w:szCs w:val="21"/>
                    </w:rPr>
                    <w:t>化粪池</w:t>
                  </w:r>
                </w:p>
              </w:tc>
              <w:tc>
                <w:tcPr>
                  <w:tcW w:w="1253" w:type="dxa"/>
                  <w:vMerge w:val="continue"/>
                  <w:vAlign w:val="center"/>
                </w:tcPr>
                <w:p w14:paraId="520AB399">
                  <w:pPr>
                    <w:jc w:val="center"/>
                    <w:rPr>
                      <w:rFonts w:hint="eastAsia" w:ascii="宋体" w:hAnsi="宋体" w:cs="宋体"/>
                      <w:szCs w:val="21"/>
                    </w:rPr>
                  </w:pPr>
                </w:p>
              </w:tc>
            </w:tr>
            <w:tr w14:paraId="520AB3A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continue"/>
                  <w:vAlign w:val="center"/>
                </w:tcPr>
                <w:p w14:paraId="520AB39B">
                  <w:pPr>
                    <w:jc w:val="center"/>
                    <w:rPr>
                      <w:szCs w:val="21"/>
                    </w:rPr>
                  </w:pPr>
                </w:p>
              </w:tc>
              <w:tc>
                <w:tcPr>
                  <w:tcW w:w="1586" w:type="dxa"/>
                  <w:gridSpan w:val="2"/>
                  <w:vAlign w:val="center"/>
                </w:tcPr>
                <w:p w14:paraId="520AB39C">
                  <w:pPr>
                    <w:jc w:val="center"/>
                    <w:rPr>
                      <w:szCs w:val="21"/>
                    </w:rPr>
                  </w:pPr>
                  <w:r>
                    <w:rPr>
                      <w:rFonts w:hint="eastAsia"/>
                      <w:szCs w:val="21"/>
                    </w:rPr>
                    <w:t>超声波清洗废水、纯水制备废水、循环冷却水</w:t>
                  </w:r>
                </w:p>
              </w:tc>
              <w:tc>
                <w:tcPr>
                  <w:tcW w:w="2153" w:type="dxa"/>
                  <w:vAlign w:val="center"/>
                </w:tcPr>
                <w:p w14:paraId="520AB39D">
                  <w:pPr>
                    <w:jc w:val="center"/>
                    <w:rPr>
                      <w:szCs w:val="21"/>
                    </w:rPr>
                  </w:pPr>
                  <w:r>
                    <w:rPr>
                      <w:rFonts w:hint="eastAsia"/>
                      <w:szCs w:val="21"/>
                    </w:rPr>
                    <w:t>pH、COD、NH</w:t>
                  </w:r>
                  <w:r>
                    <w:rPr>
                      <w:rFonts w:hint="eastAsia"/>
                      <w:szCs w:val="21"/>
                      <w:vertAlign w:val="subscript"/>
                    </w:rPr>
                    <w:t>3</w:t>
                  </w:r>
                  <w:r>
                    <w:rPr>
                      <w:rFonts w:hint="eastAsia"/>
                      <w:szCs w:val="21"/>
                    </w:rPr>
                    <w:t>-N、SS、TP、TN、石油类</w:t>
                  </w:r>
                </w:p>
              </w:tc>
              <w:tc>
                <w:tcPr>
                  <w:tcW w:w="2450" w:type="dxa"/>
                  <w:gridSpan w:val="3"/>
                  <w:vAlign w:val="center"/>
                </w:tcPr>
                <w:p w14:paraId="520AB39E">
                  <w:pPr>
                    <w:jc w:val="center"/>
                    <w:rPr>
                      <w:rFonts w:hint="eastAsia" w:ascii="宋体" w:hAnsi="宋体" w:cs="宋体"/>
                      <w:szCs w:val="21"/>
                    </w:rPr>
                  </w:pPr>
                  <w:r>
                    <w:rPr>
                      <w:rFonts w:hint="eastAsia" w:ascii="宋体" w:hAnsi="宋体" w:cs="宋体"/>
                      <w:szCs w:val="21"/>
                    </w:rPr>
                    <w:t>/</w:t>
                  </w:r>
                </w:p>
              </w:tc>
              <w:tc>
                <w:tcPr>
                  <w:tcW w:w="1253" w:type="dxa"/>
                  <w:vMerge w:val="continue"/>
                  <w:vAlign w:val="center"/>
                </w:tcPr>
                <w:p w14:paraId="520AB39F">
                  <w:pPr>
                    <w:jc w:val="center"/>
                    <w:rPr>
                      <w:rFonts w:hint="eastAsia" w:ascii="宋体" w:hAnsi="宋体" w:cs="宋体"/>
                      <w:szCs w:val="21"/>
                    </w:rPr>
                  </w:pPr>
                </w:p>
              </w:tc>
            </w:tr>
            <w:tr w14:paraId="520AB3A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restart"/>
                  <w:vAlign w:val="center"/>
                </w:tcPr>
                <w:p w14:paraId="520AB3A1">
                  <w:pPr>
                    <w:jc w:val="center"/>
                    <w:rPr>
                      <w:szCs w:val="21"/>
                    </w:rPr>
                  </w:pPr>
                  <w:r>
                    <w:rPr>
                      <w:rFonts w:hint="eastAsia"/>
                      <w:szCs w:val="21"/>
                    </w:rPr>
                    <w:t>在建工程</w:t>
                  </w:r>
                </w:p>
              </w:tc>
              <w:tc>
                <w:tcPr>
                  <w:tcW w:w="1586" w:type="dxa"/>
                  <w:gridSpan w:val="2"/>
                  <w:vAlign w:val="center"/>
                </w:tcPr>
                <w:p w14:paraId="520AB3A2">
                  <w:pPr>
                    <w:jc w:val="center"/>
                    <w:rPr>
                      <w:szCs w:val="21"/>
                    </w:rPr>
                  </w:pPr>
                  <w:r>
                    <w:rPr>
                      <w:rFonts w:hint="eastAsia"/>
                      <w:szCs w:val="21"/>
                    </w:rPr>
                    <w:t>生活污水</w:t>
                  </w:r>
                </w:p>
              </w:tc>
              <w:tc>
                <w:tcPr>
                  <w:tcW w:w="2153" w:type="dxa"/>
                  <w:vAlign w:val="center"/>
                </w:tcPr>
                <w:p w14:paraId="520AB3A3">
                  <w:pPr>
                    <w:jc w:val="center"/>
                    <w:rPr>
                      <w:szCs w:val="21"/>
                    </w:rPr>
                  </w:pPr>
                  <w:r>
                    <w:rPr>
                      <w:rFonts w:hint="eastAsia"/>
                      <w:szCs w:val="21"/>
                    </w:rPr>
                    <w:t>pH、COD、SS、NH</w:t>
                  </w:r>
                  <w:r>
                    <w:rPr>
                      <w:rFonts w:hint="eastAsia"/>
                      <w:szCs w:val="21"/>
                      <w:vertAlign w:val="subscript"/>
                    </w:rPr>
                    <w:t>3</w:t>
                  </w:r>
                  <w:r>
                    <w:rPr>
                      <w:rFonts w:hint="eastAsia"/>
                      <w:szCs w:val="21"/>
                    </w:rPr>
                    <w:t>-N、TP、TN</w:t>
                  </w:r>
                </w:p>
              </w:tc>
              <w:tc>
                <w:tcPr>
                  <w:tcW w:w="2450" w:type="dxa"/>
                  <w:gridSpan w:val="3"/>
                  <w:vAlign w:val="center"/>
                </w:tcPr>
                <w:p w14:paraId="520AB3A4">
                  <w:pPr>
                    <w:jc w:val="center"/>
                    <w:rPr>
                      <w:rFonts w:hint="eastAsia" w:ascii="宋体" w:hAnsi="宋体" w:cs="宋体"/>
                      <w:szCs w:val="21"/>
                    </w:rPr>
                  </w:pPr>
                  <w:r>
                    <w:rPr>
                      <w:rFonts w:hint="eastAsia" w:ascii="宋体" w:hAnsi="宋体" w:cs="宋体"/>
                      <w:szCs w:val="21"/>
                    </w:rPr>
                    <w:t>化粪池</w:t>
                  </w:r>
                </w:p>
              </w:tc>
              <w:tc>
                <w:tcPr>
                  <w:tcW w:w="1253" w:type="dxa"/>
                  <w:vMerge w:val="continue"/>
                  <w:vAlign w:val="center"/>
                </w:tcPr>
                <w:p w14:paraId="520AB3A5">
                  <w:pPr>
                    <w:jc w:val="center"/>
                    <w:rPr>
                      <w:rFonts w:hint="eastAsia" w:ascii="宋体" w:hAnsi="宋体" w:cs="宋体"/>
                      <w:szCs w:val="21"/>
                    </w:rPr>
                  </w:pPr>
                </w:p>
              </w:tc>
            </w:tr>
            <w:tr w14:paraId="520AB3A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continue"/>
                  <w:vAlign w:val="center"/>
                </w:tcPr>
                <w:p w14:paraId="520AB3A7">
                  <w:pPr>
                    <w:jc w:val="center"/>
                    <w:rPr>
                      <w:szCs w:val="21"/>
                    </w:rPr>
                  </w:pPr>
                </w:p>
              </w:tc>
              <w:tc>
                <w:tcPr>
                  <w:tcW w:w="1586" w:type="dxa"/>
                  <w:gridSpan w:val="2"/>
                  <w:vAlign w:val="center"/>
                </w:tcPr>
                <w:p w14:paraId="520AB3A8">
                  <w:pPr>
                    <w:jc w:val="center"/>
                    <w:rPr>
                      <w:szCs w:val="21"/>
                    </w:rPr>
                  </w:pPr>
                  <w:r>
                    <w:rPr>
                      <w:rFonts w:hint="eastAsia"/>
                      <w:szCs w:val="21"/>
                    </w:rPr>
                    <w:t>超声波清洗废水</w:t>
                  </w:r>
                </w:p>
              </w:tc>
              <w:tc>
                <w:tcPr>
                  <w:tcW w:w="2153" w:type="dxa"/>
                  <w:vAlign w:val="center"/>
                </w:tcPr>
                <w:p w14:paraId="520AB3A9">
                  <w:pPr>
                    <w:jc w:val="center"/>
                    <w:rPr>
                      <w:szCs w:val="21"/>
                    </w:rPr>
                  </w:pPr>
                  <w:r>
                    <w:rPr>
                      <w:rFonts w:hint="eastAsia"/>
                      <w:szCs w:val="21"/>
                    </w:rPr>
                    <w:t>pH、COD、NH</w:t>
                  </w:r>
                  <w:r>
                    <w:rPr>
                      <w:rFonts w:hint="eastAsia"/>
                      <w:szCs w:val="21"/>
                      <w:vertAlign w:val="subscript"/>
                    </w:rPr>
                    <w:t>3</w:t>
                  </w:r>
                  <w:r>
                    <w:rPr>
                      <w:rFonts w:hint="eastAsia"/>
                      <w:szCs w:val="21"/>
                    </w:rPr>
                    <w:t>-N、SS、TP、TN、石油类</w:t>
                  </w:r>
                </w:p>
              </w:tc>
              <w:tc>
                <w:tcPr>
                  <w:tcW w:w="2450" w:type="dxa"/>
                  <w:gridSpan w:val="3"/>
                  <w:vAlign w:val="center"/>
                </w:tcPr>
                <w:p w14:paraId="520AB3AA">
                  <w:pPr>
                    <w:jc w:val="center"/>
                    <w:rPr>
                      <w:rFonts w:hint="eastAsia" w:ascii="宋体" w:hAnsi="宋体" w:cs="宋体"/>
                      <w:szCs w:val="21"/>
                    </w:rPr>
                  </w:pPr>
                  <w:r>
                    <w:rPr>
                      <w:rFonts w:hint="eastAsia" w:ascii="宋体" w:hAnsi="宋体" w:cs="宋体"/>
                      <w:szCs w:val="21"/>
                    </w:rPr>
                    <w:t>/</w:t>
                  </w:r>
                </w:p>
              </w:tc>
              <w:tc>
                <w:tcPr>
                  <w:tcW w:w="1253" w:type="dxa"/>
                  <w:vMerge w:val="continue"/>
                  <w:vAlign w:val="center"/>
                </w:tcPr>
                <w:p w14:paraId="520AB3AB">
                  <w:pPr>
                    <w:jc w:val="center"/>
                    <w:rPr>
                      <w:rFonts w:hint="eastAsia" w:ascii="宋体" w:hAnsi="宋体" w:cs="宋体"/>
                      <w:szCs w:val="21"/>
                    </w:rPr>
                  </w:pPr>
                </w:p>
              </w:tc>
            </w:tr>
            <w:tr w14:paraId="520AB3B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continue"/>
                  <w:vAlign w:val="center"/>
                </w:tcPr>
                <w:p w14:paraId="520AB3AD">
                  <w:pPr>
                    <w:jc w:val="center"/>
                    <w:rPr>
                      <w:szCs w:val="21"/>
                    </w:rPr>
                  </w:pPr>
                </w:p>
              </w:tc>
              <w:tc>
                <w:tcPr>
                  <w:tcW w:w="1586" w:type="dxa"/>
                  <w:gridSpan w:val="2"/>
                  <w:vAlign w:val="center"/>
                </w:tcPr>
                <w:p w14:paraId="520AB3AE">
                  <w:pPr>
                    <w:jc w:val="center"/>
                    <w:rPr>
                      <w:szCs w:val="22"/>
                    </w:rPr>
                  </w:pPr>
                  <w:r>
                    <w:rPr>
                      <w:szCs w:val="22"/>
                    </w:rPr>
                    <w:t>淬火水槽废水</w:t>
                  </w:r>
                </w:p>
              </w:tc>
              <w:tc>
                <w:tcPr>
                  <w:tcW w:w="2153" w:type="dxa"/>
                  <w:vAlign w:val="center"/>
                </w:tcPr>
                <w:p w14:paraId="520AB3AF">
                  <w:pPr>
                    <w:jc w:val="center"/>
                    <w:rPr>
                      <w:szCs w:val="20"/>
                    </w:rPr>
                  </w:pPr>
                  <w:r>
                    <w:rPr>
                      <w:szCs w:val="20"/>
                    </w:rPr>
                    <w:t>pH</w:t>
                  </w:r>
                  <w:r>
                    <w:rPr>
                      <w:rFonts w:hint="eastAsia"/>
                      <w:szCs w:val="20"/>
                    </w:rPr>
                    <w:t>、</w:t>
                  </w:r>
                  <w:r>
                    <w:rPr>
                      <w:szCs w:val="20"/>
                    </w:rPr>
                    <w:t>COD、SS</w:t>
                  </w:r>
                </w:p>
              </w:tc>
              <w:tc>
                <w:tcPr>
                  <w:tcW w:w="2450" w:type="dxa"/>
                  <w:gridSpan w:val="3"/>
                  <w:vAlign w:val="center"/>
                </w:tcPr>
                <w:p w14:paraId="520AB3B0">
                  <w:pPr>
                    <w:jc w:val="center"/>
                    <w:rPr>
                      <w:bCs/>
                      <w:szCs w:val="21"/>
                    </w:rPr>
                  </w:pPr>
                  <w:r>
                    <w:rPr>
                      <w:rFonts w:hint="eastAsia"/>
                      <w:bCs/>
                      <w:szCs w:val="21"/>
                    </w:rPr>
                    <w:t>/</w:t>
                  </w:r>
                </w:p>
              </w:tc>
              <w:tc>
                <w:tcPr>
                  <w:tcW w:w="1253" w:type="dxa"/>
                  <w:vMerge w:val="continue"/>
                  <w:vAlign w:val="center"/>
                </w:tcPr>
                <w:p w14:paraId="520AB3B1">
                  <w:pPr>
                    <w:jc w:val="center"/>
                    <w:rPr>
                      <w:rFonts w:hint="eastAsia" w:ascii="宋体" w:hAnsi="宋体" w:cs="宋体"/>
                      <w:szCs w:val="21"/>
                    </w:rPr>
                  </w:pPr>
                </w:p>
              </w:tc>
            </w:tr>
            <w:tr w14:paraId="520AB3B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continue"/>
                  <w:vAlign w:val="center"/>
                </w:tcPr>
                <w:p w14:paraId="520AB3B3">
                  <w:pPr>
                    <w:jc w:val="center"/>
                    <w:rPr>
                      <w:szCs w:val="21"/>
                    </w:rPr>
                  </w:pPr>
                </w:p>
              </w:tc>
              <w:tc>
                <w:tcPr>
                  <w:tcW w:w="1586" w:type="dxa"/>
                  <w:gridSpan w:val="2"/>
                  <w:vAlign w:val="center"/>
                </w:tcPr>
                <w:p w14:paraId="520AB3B4">
                  <w:pPr>
                    <w:jc w:val="center"/>
                    <w:rPr>
                      <w:szCs w:val="22"/>
                    </w:rPr>
                  </w:pPr>
                  <w:r>
                    <w:rPr>
                      <w:szCs w:val="22"/>
                    </w:rPr>
                    <w:t>氨吸收塔废水</w:t>
                  </w:r>
                </w:p>
              </w:tc>
              <w:tc>
                <w:tcPr>
                  <w:tcW w:w="2153" w:type="dxa"/>
                  <w:vAlign w:val="center"/>
                </w:tcPr>
                <w:p w14:paraId="520AB3B5">
                  <w:pPr>
                    <w:jc w:val="center"/>
                    <w:rPr>
                      <w:szCs w:val="20"/>
                    </w:rPr>
                  </w:pPr>
                  <w:r>
                    <w:rPr>
                      <w:szCs w:val="20"/>
                    </w:rPr>
                    <w:t>pH</w:t>
                  </w:r>
                  <w:r>
                    <w:rPr>
                      <w:rFonts w:hint="eastAsia"/>
                      <w:szCs w:val="20"/>
                    </w:rPr>
                    <w:t>、</w:t>
                  </w:r>
                  <w:r>
                    <w:rPr>
                      <w:szCs w:val="20"/>
                    </w:rPr>
                    <w:t>COD、SS</w:t>
                  </w:r>
                  <w:r>
                    <w:rPr>
                      <w:rFonts w:hint="eastAsia"/>
                      <w:szCs w:val="20"/>
                    </w:rPr>
                    <w:t>、</w:t>
                  </w:r>
                  <w:r>
                    <w:rPr>
                      <w:szCs w:val="20"/>
                    </w:rPr>
                    <w:t>NH</w:t>
                  </w:r>
                  <w:r>
                    <w:rPr>
                      <w:szCs w:val="20"/>
                      <w:vertAlign w:val="subscript"/>
                    </w:rPr>
                    <w:t>3</w:t>
                  </w:r>
                  <w:r>
                    <w:rPr>
                      <w:szCs w:val="20"/>
                    </w:rPr>
                    <w:t>-N</w:t>
                  </w:r>
                  <w:r>
                    <w:rPr>
                      <w:rFonts w:hint="eastAsia"/>
                      <w:szCs w:val="20"/>
                    </w:rPr>
                    <w:t>、</w:t>
                  </w:r>
                  <w:r>
                    <w:rPr>
                      <w:szCs w:val="20"/>
                    </w:rPr>
                    <w:t>TN</w:t>
                  </w:r>
                </w:p>
              </w:tc>
              <w:tc>
                <w:tcPr>
                  <w:tcW w:w="2450" w:type="dxa"/>
                  <w:gridSpan w:val="3"/>
                  <w:vAlign w:val="center"/>
                </w:tcPr>
                <w:p w14:paraId="520AB3B6">
                  <w:pPr>
                    <w:jc w:val="center"/>
                    <w:rPr>
                      <w:bCs/>
                      <w:szCs w:val="21"/>
                    </w:rPr>
                  </w:pPr>
                  <w:r>
                    <w:rPr>
                      <w:rFonts w:hint="eastAsia"/>
                      <w:bCs/>
                      <w:szCs w:val="21"/>
                    </w:rPr>
                    <w:t>/</w:t>
                  </w:r>
                </w:p>
              </w:tc>
              <w:tc>
                <w:tcPr>
                  <w:tcW w:w="1253" w:type="dxa"/>
                  <w:vMerge w:val="continue"/>
                  <w:vAlign w:val="center"/>
                </w:tcPr>
                <w:p w14:paraId="520AB3B7">
                  <w:pPr>
                    <w:jc w:val="center"/>
                    <w:rPr>
                      <w:rFonts w:hint="eastAsia" w:ascii="宋体" w:hAnsi="宋体" w:cs="宋体"/>
                      <w:szCs w:val="21"/>
                    </w:rPr>
                  </w:pPr>
                </w:p>
              </w:tc>
            </w:tr>
            <w:tr w14:paraId="520AB3B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continue"/>
                  <w:vAlign w:val="center"/>
                </w:tcPr>
                <w:p w14:paraId="520AB3B9">
                  <w:pPr>
                    <w:jc w:val="center"/>
                    <w:rPr>
                      <w:szCs w:val="21"/>
                    </w:rPr>
                  </w:pPr>
                </w:p>
              </w:tc>
              <w:tc>
                <w:tcPr>
                  <w:tcW w:w="1586" w:type="dxa"/>
                  <w:gridSpan w:val="2"/>
                  <w:vAlign w:val="center"/>
                </w:tcPr>
                <w:p w14:paraId="520AB3BA">
                  <w:pPr>
                    <w:jc w:val="center"/>
                    <w:rPr>
                      <w:szCs w:val="22"/>
                    </w:rPr>
                  </w:pPr>
                  <w:r>
                    <w:rPr>
                      <w:rFonts w:hint="eastAsia"/>
                      <w:szCs w:val="28"/>
                    </w:rPr>
                    <w:t>磨料水射流机废水</w:t>
                  </w:r>
                </w:p>
              </w:tc>
              <w:tc>
                <w:tcPr>
                  <w:tcW w:w="2153" w:type="dxa"/>
                  <w:vAlign w:val="center"/>
                </w:tcPr>
                <w:p w14:paraId="520AB3BB">
                  <w:pPr>
                    <w:jc w:val="center"/>
                    <w:rPr>
                      <w:szCs w:val="20"/>
                    </w:rPr>
                  </w:pPr>
                  <w:r>
                    <w:rPr>
                      <w:rFonts w:hint="eastAsia"/>
                      <w:szCs w:val="21"/>
                    </w:rPr>
                    <w:t>pH、COD、SS、NH</w:t>
                  </w:r>
                  <w:r>
                    <w:rPr>
                      <w:rFonts w:hint="eastAsia"/>
                      <w:szCs w:val="21"/>
                      <w:vertAlign w:val="subscript"/>
                    </w:rPr>
                    <w:t>3</w:t>
                  </w:r>
                  <w:r>
                    <w:rPr>
                      <w:rFonts w:hint="eastAsia"/>
                      <w:szCs w:val="21"/>
                    </w:rPr>
                    <w:t>-N、TP、TN</w:t>
                  </w:r>
                </w:p>
              </w:tc>
              <w:tc>
                <w:tcPr>
                  <w:tcW w:w="2450" w:type="dxa"/>
                  <w:gridSpan w:val="3"/>
                  <w:vAlign w:val="center"/>
                </w:tcPr>
                <w:p w14:paraId="520AB3BC">
                  <w:pPr>
                    <w:jc w:val="center"/>
                    <w:rPr>
                      <w:bCs/>
                      <w:szCs w:val="21"/>
                    </w:rPr>
                  </w:pPr>
                  <w:r>
                    <w:rPr>
                      <w:rFonts w:hint="eastAsia" w:ascii="宋体" w:hAnsi="宋体" w:cs="宋体"/>
                      <w:szCs w:val="21"/>
                    </w:rPr>
                    <w:t>/</w:t>
                  </w:r>
                </w:p>
              </w:tc>
              <w:tc>
                <w:tcPr>
                  <w:tcW w:w="1253" w:type="dxa"/>
                  <w:vMerge w:val="continue"/>
                  <w:vAlign w:val="center"/>
                </w:tcPr>
                <w:p w14:paraId="520AB3BD">
                  <w:pPr>
                    <w:jc w:val="center"/>
                    <w:rPr>
                      <w:rFonts w:hint="eastAsia" w:ascii="宋体" w:hAnsi="宋体" w:cs="宋体"/>
                      <w:szCs w:val="21"/>
                    </w:rPr>
                  </w:pPr>
                </w:p>
              </w:tc>
            </w:tr>
            <w:tr w14:paraId="520AB3C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7" w:type="dxa"/>
                  <w:vMerge w:val="continue"/>
                  <w:vAlign w:val="center"/>
                </w:tcPr>
                <w:p w14:paraId="520AB3BF">
                  <w:pPr>
                    <w:jc w:val="center"/>
                    <w:rPr>
                      <w:szCs w:val="21"/>
                    </w:rPr>
                  </w:pPr>
                </w:p>
              </w:tc>
              <w:tc>
                <w:tcPr>
                  <w:tcW w:w="1586" w:type="dxa"/>
                  <w:gridSpan w:val="2"/>
                  <w:vAlign w:val="center"/>
                </w:tcPr>
                <w:p w14:paraId="520AB3C0">
                  <w:pPr>
                    <w:jc w:val="center"/>
                    <w:rPr>
                      <w:szCs w:val="21"/>
                    </w:rPr>
                  </w:pPr>
                  <w:r>
                    <w:rPr>
                      <w:rFonts w:hint="eastAsia"/>
                      <w:szCs w:val="28"/>
                    </w:rPr>
                    <w:t>气密试验废水</w:t>
                  </w:r>
                </w:p>
              </w:tc>
              <w:tc>
                <w:tcPr>
                  <w:tcW w:w="2153" w:type="dxa"/>
                  <w:vAlign w:val="center"/>
                </w:tcPr>
                <w:p w14:paraId="520AB3C1">
                  <w:pPr>
                    <w:jc w:val="center"/>
                    <w:rPr>
                      <w:szCs w:val="21"/>
                    </w:rPr>
                  </w:pPr>
                  <w:r>
                    <w:rPr>
                      <w:rFonts w:hint="eastAsia"/>
                      <w:szCs w:val="21"/>
                    </w:rPr>
                    <w:t>pH、COD、SS、NH</w:t>
                  </w:r>
                  <w:r>
                    <w:rPr>
                      <w:rFonts w:hint="eastAsia"/>
                      <w:szCs w:val="21"/>
                      <w:vertAlign w:val="subscript"/>
                    </w:rPr>
                    <w:t>3</w:t>
                  </w:r>
                  <w:r>
                    <w:rPr>
                      <w:rFonts w:hint="eastAsia"/>
                      <w:szCs w:val="21"/>
                    </w:rPr>
                    <w:t>-N、TP、TN</w:t>
                  </w:r>
                </w:p>
              </w:tc>
              <w:tc>
                <w:tcPr>
                  <w:tcW w:w="2450" w:type="dxa"/>
                  <w:gridSpan w:val="3"/>
                  <w:vAlign w:val="center"/>
                </w:tcPr>
                <w:p w14:paraId="520AB3C2">
                  <w:pPr>
                    <w:jc w:val="center"/>
                    <w:rPr>
                      <w:rFonts w:hint="eastAsia" w:ascii="宋体" w:hAnsi="宋体" w:cs="宋体"/>
                      <w:szCs w:val="21"/>
                    </w:rPr>
                  </w:pPr>
                  <w:r>
                    <w:rPr>
                      <w:rFonts w:hint="eastAsia"/>
                      <w:bCs/>
                      <w:szCs w:val="21"/>
                    </w:rPr>
                    <w:t>/</w:t>
                  </w:r>
                </w:p>
              </w:tc>
              <w:tc>
                <w:tcPr>
                  <w:tcW w:w="1253" w:type="dxa"/>
                  <w:vMerge w:val="continue"/>
                  <w:vAlign w:val="center"/>
                </w:tcPr>
                <w:p w14:paraId="520AB3C3">
                  <w:pPr>
                    <w:jc w:val="center"/>
                    <w:rPr>
                      <w:rFonts w:hint="eastAsia" w:ascii="宋体" w:hAnsi="宋体" w:cs="宋体"/>
                      <w:szCs w:val="21"/>
                    </w:rPr>
                  </w:pPr>
                </w:p>
              </w:tc>
            </w:tr>
          </w:tbl>
          <w:p w14:paraId="520AB3C5">
            <w:pPr>
              <w:spacing w:line="460" w:lineRule="exact"/>
              <w:ind w:firstLine="482" w:firstLineChars="200"/>
              <w:rPr>
                <w:b/>
                <w:sz w:val="24"/>
              </w:rPr>
            </w:pPr>
            <w:r>
              <w:rPr>
                <w:rFonts w:hint="eastAsia" w:ascii="宋体" w:hAnsi="宋体"/>
                <w:b/>
                <w:sz w:val="24"/>
              </w:rPr>
              <w:t>②</w:t>
            </w:r>
            <w:r>
              <w:rPr>
                <w:rFonts w:hint="eastAsia"/>
                <w:b/>
                <w:sz w:val="24"/>
              </w:rPr>
              <w:t>废水排放情况</w:t>
            </w:r>
          </w:p>
          <w:p w14:paraId="520AB3C6">
            <w:pPr>
              <w:adjustRightInd w:val="0"/>
              <w:snapToGrid w:val="0"/>
              <w:spacing w:line="460" w:lineRule="exact"/>
              <w:ind w:firstLine="482" w:firstLineChars="200"/>
              <w:rPr>
                <w:b/>
                <w:bCs/>
                <w:sz w:val="24"/>
              </w:rPr>
            </w:pPr>
            <w:r>
              <w:rPr>
                <w:rFonts w:hint="eastAsia" w:ascii="宋体" w:hAnsi="宋体"/>
                <w:b/>
                <w:bCs/>
                <w:sz w:val="24"/>
              </w:rPr>
              <w:t>I）已建工程</w:t>
            </w:r>
          </w:p>
          <w:p w14:paraId="520AB3C7">
            <w:pPr>
              <w:adjustRightInd w:val="0"/>
              <w:snapToGrid w:val="0"/>
              <w:spacing w:line="460" w:lineRule="exact"/>
              <w:ind w:firstLine="480" w:firstLineChars="200"/>
              <w:rPr>
                <w:b/>
                <w:sz w:val="24"/>
              </w:rPr>
            </w:pPr>
            <w:r>
              <w:rPr>
                <w:sz w:val="24"/>
              </w:rPr>
              <w:t>河南</w:t>
            </w:r>
            <w:r>
              <w:rPr>
                <w:rFonts w:hint="eastAsia"/>
                <w:sz w:val="24"/>
              </w:rPr>
              <w:t>鑫成环测</w:t>
            </w:r>
            <w:r>
              <w:rPr>
                <w:sz w:val="24"/>
              </w:rPr>
              <w:t>检测</w:t>
            </w:r>
            <w:r>
              <w:rPr>
                <w:rFonts w:hint="eastAsia"/>
                <w:sz w:val="24"/>
              </w:rPr>
              <w:t>技术</w:t>
            </w:r>
            <w:r>
              <w:rPr>
                <w:sz w:val="24"/>
              </w:rPr>
              <w:t>有限公司</w:t>
            </w:r>
            <w:r>
              <w:rPr>
                <w:rFonts w:hint="eastAsia"/>
                <w:sz w:val="24"/>
              </w:rPr>
              <w:t>于202</w:t>
            </w:r>
            <w:r>
              <w:rPr>
                <w:sz w:val="24"/>
              </w:rPr>
              <w:t>5</w:t>
            </w:r>
            <w:r>
              <w:rPr>
                <w:rFonts w:hint="eastAsia"/>
                <w:sz w:val="24"/>
              </w:rPr>
              <w:t>年</w:t>
            </w:r>
            <w:r>
              <w:rPr>
                <w:sz w:val="24"/>
              </w:rPr>
              <w:t>4</w:t>
            </w:r>
            <w:r>
              <w:rPr>
                <w:rFonts w:hint="eastAsia"/>
                <w:sz w:val="24"/>
              </w:rPr>
              <w:t>月1日-202</w:t>
            </w:r>
            <w:r>
              <w:rPr>
                <w:sz w:val="24"/>
              </w:rPr>
              <w:t>5</w:t>
            </w:r>
            <w:r>
              <w:rPr>
                <w:rFonts w:hint="eastAsia"/>
                <w:sz w:val="24"/>
              </w:rPr>
              <w:t>年</w:t>
            </w:r>
            <w:r>
              <w:rPr>
                <w:sz w:val="24"/>
              </w:rPr>
              <w:t>4</w:t>
            </w:r>
            <w:r>
              <w:rPr>
                <w:rFonts w:hint="eastAsia"/>
                <w:sz w:val="24"/>
              </w:rPr>
              <w:t>月30日对建设路厂区已建工程电镀车间排放口废水水质检测（部分因子为每日检测一次），另外于2025年4月27日对电镀车间排放口和厂区总排口废水水质进行自行检测（报告编号：XCHC25041707），并结合近半年在线监测数据，结果如下：</w:t>
            </w:r>
          </w:p>
          <w:p w14:paraId="520AB3C8">
            <w:pPr>
              <w:adjustRightInd w:val="0"/>
              <w:snapToGrid w:val="0"/>
              <w:spacing w:line="460" w:lineRule="exact"/>
              <w:ind w:firstLine="480" w:firstLineChars="200"/>
              <w:rPr>
                <w:sz w:val="32"/>
              </w:rPr>
            </w:pPr>
            <w:bookmarkStart w:id="3" w:name="_Hlk108103509"/>
            <w:r>
              <w:rPr>
                <w:rFonts w:eastAsia="黑体"/>
                <w:sz w:val="24"/>
              </w:rPr>
              <w:t>表</w:t>
            </w:r>
            <w:r>
              <w:rPr>
                <w:rFonts w:hint="eastAsia" w:eastAsia="黑体"/>
                <w:sz w:val="24"/>
              </w:rPr>
              <w:t>19</w:t>
            </w:r>
            <w:r>
              <w:rPr>
                <w:rFonts w:eastAsia="黑体"/>
                <w:sz w:val="24"/>
              </w:rPr>
              <w:t xml:space="preserve">      </w:t>
            </w:r>
            <w:r>
              <w:rPr>
                <w:rFonts w:hint="eastAsia" w:eastAsia="黑体"/>
                <w:sz w:val="24"/>
              </w:rPr>
              <w:t xml:space="preserve">  </w:t>
            </w:r>
            <w:r>
              <w:rPr>
                <w:rFonts w:eastAsia="黑体"/>
                <w:sz w:val="24"/>
              </w:rPr>
              <w:t xml:space="preserve"> </w:t>
            </w:r>
            <w:r>
              <w:rPr>
                <w:rFonts w:hint="eastAsia" w:eastAsia="黑体"/>
                <w:sz w:val="24"/>
              </w:rPr>
              <w:t xml:space="preserve"> </w:t>
            </w:r>
            <w:r>
              <w:rPr>
                <w:rFonts w:eastAsia="黑体"/>
                <w:sz w:val="24"/>
              </w:rPr>
              <w:t xml:space="preserve">  </w:t>
            </w:r>
            <w:r>
              <w:rPr>
                <w:rFonts w:hint="eastAsia" w:eastAsia="黑体"/>
                <w:sz w:val="24"/>
              </w:rPr>
              <w:t>已建</w:t>
            </w:r>
            <w:r>
              <w:rPr>
                <w:rFonts w:eastAsia="黑体"/>
                <w:sz w:val="24"/>
              </w:rPr>
              <w:t>工程</w:t>
            </w:r>
            <w:r>
              <w:rPr>
                <w:rFonts w:hint="eastAsia" w:eastAsia="黑体"/>
                <w:sz w:val="24"/>
              </w:rPr>
              <w:t>废水</w:t>
            </w:r>
            <w:r>
              <w:rPr>
                <w:rFonts w:eastAsia="黑体"/>
                <w:sz w:val="24"/>
              </w:rPr>
              <w:t>水质</w:t>
            </w:r>
            <w:r>
              <w:rPr>
                <w:rFonts w:hint="eastAsia" w:eastAsia="黑体"/>
                <w:sz w:val="24"/>
              </w:rPr>
              <w:t>检测</w:t>
            </w:r>
            <w:r>
              <w:rPr>
                <w:rFonts w:eastAsia="黑体"/>
                <w:sz w:val="24"/>
              </w:rPr>
              <w:t>数据表</w:t>
            </w:r>
            <w:r>
              <w:rPr>
                <w:rFonts w:hint="eastAsia" w:eastAsia="黑体"/>
                <w:sz w:val="24"/>
              </w:rPr>
              <w:t>1</w:t>
            </w:r>
            <w:r>
              <w:rPr>
                <w:rFonts w:eastAsia="黑体"/>
                <w:sz w:val="24"/>
              </w:rPr>
              <w:t xml:space="preserve">          单位：mg/L</w:t>
            </w:r>
          </w:p>
          <w:tbl>
            <w:tblPr>
              <w:tblStyle w:val="18"/>
              <w:tblpPr w:leftFromText="180" w:rightFromText="180" w:vertAnchor="text" w:tblpY="1"/>
              <w:tblOverlap w:val="never"/>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325"/>
              <w:gridCol w:w="939"/>
              <w:gridCol w:w="1131"/>
              <w:gridCol w:w="1272"/>
              <w:gridCol w:w="1051"/>
              <w:gridCol w:w="1133"/>
              <w:gridCol w:w="1218"/>
            </w:tblGrid>
            <w:tr w14:paraId="520AB3D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21" w:type="pct"/>
                  <w:vAlign w:val="center"/>
                </w:tcPr>
                <w:p w14:paraId="520AB3C9">
                  <w:pPr>
                    <w:pStyle w:val="46"/>
                    <w:rPr>
                      <w:rFonts w:cs="Times New Roman"/>
                      <w:color w:val="auto"/>
                      <w:kern w:val="0"/>
                      <w:szCs w:val="21"/>
                    </w:rPr>
                  </w:pPr>
                  <w:r>
                    <w:rPr>
                      <w:rFonts w:cs="Times New Roman"/>
                      <w:color w:val="auto"/>
                      <w:kern w:val="0"/>
                      <w:szCs w:val="21"/>
                    </w:rPr>
                    <w:t>监测时</w:t>
                  </w:r>
                  <w:r>
                    <w:rPr>
                      <w:rFonts w:hint="eastAsia" w:cs="Times New Roman"/>
                      <w:color w:val="auto"/>
                      <w:kern w:val="0"/>
                      <w:szCs w:val="21"/>
                    </w:rPr>
                    <w:t>间</w:t>
                  </w:r>
                </w:p>
              </w:tc>
              <w:tc>
                <w:tcPr>
                  <w:tcW w:w="582" w:type="pct"/>
                  <w:vAlign w:val="center"/>
                </w:tcPr>
                <w:p w14:paraId="520AB3CA">
                  <w:pPr>
                    <w:pStyle w:val="46"/>
                    <w:rPr>
                      <w:rFonts w:cs="Times New Roman"/>
                      <w:color w:val="auto"/>
                      <w:kern w:val="0"/>
                      <w:szCs w:val="21"/>
                    </w:rPr>
                  </w:pPr>
                  <w:r>
                    <w:rPr>
                      <w:rFonts w:cs="Times New Roman"/>
                      <w:color w:val="auto"/>
                      <w:kern w:val="0"/>
                      <w:szCs w:val="21"/>
                    </w:rPr>
                    <w:t>检测点</w:t>
                  </w:r>
                  <w:r>
                    <w:rPr>
                      <w:rFonts w:hint="eastAsia" w:cs="Times New Roman"/>
                      <w:color w:val="auto"/>
                      <w:kern w:val="0"/>
                      <w:szCs w:val="21"/>
                    </w:rPr>
                    <w:t>位</w:t>
                  </w:r>
                </w:p>
              </w:tc>
              <w:tc>
                <w:tcPr>
                  <w:tcW w:w="701" w:type="pct"/>
                  <w:vAlign w:val="center"/>
                </w:tcPr>
                <w:p w14:paraId="520AB3CB">
                  <w:pPr>
                    <w:pStyle w:val="46"/>
                    <w:rPr>
                      <w:rFonts w:cs="Times New Roman"/>
                      <w:color w:val="auto"/>
                      <w:kern w:val="0"/>
                      <w:szCs w:val="21"/>
                    </w:rPr>
                  </w:pPr>
                  <w:r>
                    <w:rPr>
                      <w:rFonts w:cs="Times New Roman"/>
                      <w:color w:val="auto"/>
                      <w:kern w:val="0"/>
                      <w:szCs w:val="21"/>
                    </w:rPr>
                    <w:t>p</w:t>
                  </w:r>
                  <w:r>
                    <w:rPr>
                      <w:rFonts w:hint="eastAsia" w:cs="Times New Roman"/>
                      <w:color w:val="auto"/>
                      <w:kern w:val="0"/>
                      <w:szCs w:val="21"/>
                    </w:rPr>
                    <w:t>H</w:t>
                  </w:r>
                </w:p>
              </w:tc>
              <w:tc>
                <w:tcPr>
                  <w:tcW w:w="788" w:type="pct"/>
                  <w:vAlign w:val="center"/>
                </w:tcPr>
                <w:p w14:paraId="520AB3CC">
                  <w:pPr>
                    <w:pStyle w:val="46"/>
                    <w:rPr>
                      <w:rFonts w:cs="Times New Roman"/>
                      <w:color w:val="auto"/>
                      <w:kern w:val="0"/>
                      <w:szCs w:val="21"/>
                    </w:rPr>
                  </w:pPr>
                  <w:r>
                    <w:rPr>
                      <w:rFonts w:cs="Times New Roman"/>
                      <w:color w:val="auto"/>
                      <w:kern w:val="0"/>
                      <w:szCs w:val="21"/>
                    </w:rPr>
                    <w:t>总镉</w:t>
                  </w:r>
                </w:p>
              </w:tc>
              <w:tc>
                <w:tcPr>
                  <w:tcW w:w="651" w:type="pct"/>
                  <w:vAlign w:val="center"/>
                </w:tcPr>
                <w:p w14:paraId="520AB3CD">
                  <w:pPr>
                    <w:pStyle w:val="46"/>
                    <w:rPr>
                      <w:rFonts w:cs="Times New Roman"/>
                      <w:color w:val="auto"/>
                      <w:kern w:val="0"/>
                      <w:szCs w:val="21"/>
                    </w:rPr>
                  </w:pPr>
                  <w:r>
                    <w:rPr>
                      <w:rFonts w:cs="Times New Roman"/>
                      <w:color w:val="auto"/>
                      <w:kern w:val="0"/>
                      <w:szCs w:val="21"/>
                    </w:rPr>
                    <w:t>总镍</w:t>
                  </w:r>
                </w:p>
              </w:tc>
              <w:tc>
                <w:tcPr>
                  <w:tcW w:w="702" w:type="pct"/>
                  <w:vAlign w:val="center"/>
                </w:tcPr>
                <w:p w14:paraId="520AB3CE">
                  <w:pPr>
                    <w:pStyle w:val="46"/>
                    <w:rPr>
                      <w:rFonts w:cs="Times New Roman"/>
                      <w:color w:val="auto"/>
                      <w:kern w:val="0"/>
                      <w:szCs w:val="21"/>
                    </w:rPr>
                  </w:pPr>
                  <w:r>
                    <w:rPr>
                      <w:rFonts w:cs="Times New Roman"/>
                      <w:color w:val="auto"/>
                      <w:kern w:val="0"/>
                      <w:szCs w:val="21"/>
                    </w:rPr>
                    <w:t>总铬</w:t>
                  </w:r>
                </w:p>
              </w:tc>
              <w:tc>
                <w:tcPr>
                  <w:tcW w:w="755" w:type="pct"/>
                  <w:vAlign w:val="center"/>
                </w:tcPr>
                <w:p w14:paraId="520AB3CF">
                  <w:pPr>
                    <w:pStyle w:val="46"/>
                    <w:rPr>
                      <w:rFonts w:cs="Times New Roman"/>
                      <w:color w:val="auto"/>
                      <w:kern w:val="0"/>
                      <w:szCs w:val="21"/>
                    </w:rPr>
                  </w:pPr>
                  <w:r>
                    <w:rPr>
                      <w:rFonts w:cs="Times New Roman"/>
                      <w:color w:val="auto"/>
                      <w:kern w:val="0"/>
                      <w:szCs w:val="21"/>
                    </w:rPr>
                    <w:t>六价铬</w:t>
                  </w:r>
                </w:p>
              </w:tc>
            </w:tr>
            <w:tr w14:paraId="520AB3D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21" w:type="pct"/>
                  <w:vAlign w:val="center"/>
                </w:tcPr>
                <w:p w14:paraId="520AB3D1">
                  <w:pPr>
                    <w:pStyle w:val="41"/>
                    <w:rPr>
                      <w:bCs/>
                    </w:rPr>
                  </w:pPr>
                  <w:r>
                    <w:rPr>
                      <w:rFonts w:hint="eastAsia"/>
                      <w:bCs/>
                    </w:rPr>
                    <w:t>202</w:t>
                  </w:r>
                  <w:r>
                    <w:rPr>
                      <w:bCs/>
                    </w:rPr>
                    <w:t>5.4.27</w:t>
                  </w:r>
                </w:p>
              </w:tc>
              <w:tc>
                <w:tcPr>
                  <w:tcW w:w="582" w:type="pct"/>
                  <w:vAlign w:val="center"/>
                </w:tcPr>
                <w:p w14:paraId="520AB3D2">
                  <w:pPr>
                    <w:pStyle w:val="41"/>
                    <w:rPr>
                      <w:bCs/>
                    </w:rPr>
                  </w:pPr>
                  <w:r>
                    <w:rPr>
                      <w:rFonts w:hint="eastAsia"/>
                      <w:bCs/>
                    </w:rPr>
                    <w:t>电镀车间</w:t>
                  </w:r>
                  <w:r>
                    <w:rPr>
                      <w:bCs/>
                    </w:rPr>
                    <w:t>排放口</w:t>
                  </w:r>
                </w:p>
              </w:tc>
              <w:tc>
                <w:tcPr>
                  <w:tcW w:w="701" w:type="pct"/>
                  <w:vAlign w:val="center"/>
                </w:tcPr>
                <w:p w14:paraId="520AB3D3">
                  <w:pPr>
                    <w:pStyle w:val="41"/>
                    <w:rPr>
                      <w:bCs/>
                    </w:rPr>
                  </w:pPr>
                  <w:r>
                    <w:rPr>
                      <w:rFonts w:hint="eastAsia"/>
                      <w:bCs/>
                    </w:rPr>
                    <w:t>6</w:t>
                  </w:r>
                  <w:r>
                    <w:rPr>
                      <w:bCs/>
                    </w:rPr>
                    <w:t>.7~6.8</w:t>
                  </w:r>
                </w:p>
              </w:tc>
              <w:tc>
                <w:tcPr>
                  <w:tcW w:w="788" w:type="pct"/>
                  <w:vAlign w:val="center"/>
                </w:tcPr>
                <w:p w14:paraId="520AB3D4">
                  <w:pPr>
                    <w:pStyle w:val="41"/>
                    <w:rPr>
                      <w:bCs/>
                    </w:rPr>
                  </w:pPr>
                  <w:r>
                    <w:rPr>
                      <w:rFonts w:hint="eastAsia"/>
                      <w:bCs/>
                    </w:rPr>
                    <w:t>0</w:t>
                  </w:r>
                  <w:r>
                    <w:rPr>
                      <w:bCs/>
                    </w:rPr>
                    <w:t>.02L</w:t>
                  </w:r>
                </w:p>
              </w:tc>
              <w:tc>
                <w:tcPr>
                  <w:tcW w:w="651" w:type="pct"/>
                  <w:vAlign w:val="center"/>
                </w:tcPr>
                <w:p w14:paraId="520AB3D5">
                  <w:pPr>
                    <w:pStyle w:val="41"/>
                    <w:rPr>
                      <w:bCs/>
                    </w:rPr>
                  </w:pPr>
                  <w:r>
                    <w:rPr>
                      <w:rFonts w:hint="eastAsia"/>
                      <w:bCs/>
                    </w:rPr>
                    <w:t>0</w:t>
                  </w:r>
                  <w:r>
                    <w:rPr>
                      <w:bCs/>
                    </w:rPr>
                    <w:t>.18~0.21</w:t>
                  </w:r>
                </w:p>
              </w:tc>
              <w:tc>
                <w:tcPr>
                  <w:tcW w:w="702" w:type="pct"/>
                  <w:vAlign w:val="center"/>
                </w:tcPr>
                <w:p w14:paraId="520AB3D6">
                  <w:pPr>
                    <w:pStyle w:val="41"/>
                    <w:rPr>
                      <w:bCs/>
                    </w:rPr>
                  </w:pPr>
                  <w:r>
                    <w:rPr>
                      <w:rFonts w:hint="eastAsia"/>
                      <w:bCs/>
                    </w:rPr>
                    <w:t>0</w:t>
                  </w:r>
                  <w:r>
                    <w:rPr>
                      <w:bCs/>
                    </w:rPr>
                    <w:t>.505~0.545</w:t>
                  </w:r>
                </w:p>
              </w:tc>
              <w:tc>
                <w:tcPr>
                  <w:tcW w:w="755" w:type="pct"/>
                  <w:vAlign w:val="center"/>
                </w:tcPr>
                <w:p w14:paraId="520AB3D7">
                  <w:pPr>
                    <w:pStyle w:val="41"/>
                    <w:rPr>
                      <w:bCs/>
                    </w:rPr>
                  </w:pPr>
                  <w:r>
                    <w:rPr>
                      <w:rFonts w:hint="eastAsia"/>
                      <w:bCs/>
                    </w:rPr>
                    <w:t>0</w:t>
                  </w:r>
                  <w:r>
                    <w:rPr>
                      <w:bCs/>
                    </w:rPr>
                    <w:t>.103~0.119</w:t>
                  </w:r>
                </w:p>
              </w:tc>
            </w:tr>
            <w:tr w14:paraId="520AB3E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03" w:type="pct"/>
                  <w:gridSpan w:val="2"/>
                  <w:vAlign w:val="center"/>
                </w:tcPr>
                <w:p w14:paraId="520AB3E1">
                  <w:pPr>
                    <w:pStyle w:val="41"/>
                    <w:rPr>
                      <w:bCs/>
                    </w:rPr>
                  </w:pPr>
                  <w:r>
                    <w:rPr>
                      <w:rFonts w:hint="eastAsia"/>
                      <w:bCs/>
                    </w:rPr>
                    <w:t>最大值</w:t>
                  </w:r>
                </w:p>
              </w:tc>
              <w:tc>
                <w:tcPr>
                  <w:tcW w:w="701" w:type="pct"/>
                  <w:vAlign w:val="center"/>
                </w:tcPr>
                <w:p w14:paraId="520AB3E2">
                  <w:pPr>
                    <w:pStyle w:val="41"/>
                    <w:rPr>
                      <w:bCs/>
                    </w:rPr>
                  </w:pPr>
                  <w:r>
                    <w:rPr>
                      <w:rFonts w:hint="eastAsia"/>
                      <w:bCs/>
                    </w:rPr>
                    <w:t>6</w:t>
                  </w:r>
                  <w:r>
                    <w:rPr>
                      <w:bCs/>
                    </w:rPr>
                    <w:t>.8</w:t>
                  </w:r>
                </w:p>
              </w:tc>
              <w:tc>
                <w:tcPr>
                  <w:tcW w:w="788" w:type="pct"/>
                  <w:vAlign w:val="center"/>
                </w:tcPr>
                <w:p w14:paraId="520AB3E3">
                  <w:pPr>
                    <w:pStyle w:val="41"/>
                    <w:rPr>
                      <w:bCs/>
                    </w:rPr>
                  </w:pPr>
                  <w:r>
                    <w:rPr>
                      <w:rFonts w:hint="eastAsia"/>
                      <w:bCs/>
                    </w:rPr>
                    <w:t>/</w:t>
                  </w:r>
                </w:p>
              </w:tc>
              <w:tc>
                <w:tcPr>
                  <w:tcW w:w="651" w:type="pct"/>
                  <w:vAlign w:val="center"/>
                </w:tcPr>
                <w:p w14:paraId="520AB3E4">
                  <w:pPr>
                    <w:pStyle w:val="41"/>
                    <w:rPr>
                      <w:bCs/>
                    </w:rPr>
                  </w:pPr>
                  <w:r>
                    <w:rPr>
                      <w:rFonts w:hint="eastAsia"/>
                      <w:bCs/>
                    </w:rPr>
                    <w:t>0</w:t>
                  </w:r>
                  <w:r>
                    <w:rPr>
                      <w:bCs/>
                    </w:rPr>
                    <w:t>.2</w:t>
                  </w:r>
                  <w:r>
                    <w:rPr>
                      <w:rFonts w:hint="eastAsia"/>
                      <w:bCs/>
                    </w:rPr>
                    <w:t>2</w:t>
                  </w:r>
                </w:p>
              </w:tc>
              <w:tc>
                <w:tcPr>
                  <w:tcW w:w="702" w:type="pct"/>
                  <w:vAlign w:val="center"/>
                </w:tcPr>
                <w:p w14:paraId="520AB3E5">
                  <w:pPr>
                    <w:pStyle w:val="41"/>
                    <w:rPr>
                      <w:bCs/>
                    </w:rPr>
                  </w:pPr>
                  <w:r>
                    <w:rPr>
                      <w:rFonts w:hint="eastAsia"/>
                      <w:bCs/>
                    </w:rPr>
                    <w:t>0</w:t>
                  </w:r>
                  <w:r>
                    <w:rPr>
                      <w:bCs/>
                    </w:rPr>
                    <w:t>.545</w:t>
                  </w:r>
                </w:p>
              </w:tc>
              <w:tc>
                <w:tcPr>
                  <w:tcW w:w="755" w:type="pct"/>
                  <w:vAlign w:val="center"/>
                </w:tcPr>
                <w:p w14:paraId="520AB3E6">
                  <w:pPr>
                    <w:pStyle w:val="41"/>
                    <w:rPr>
                      <w:bCs/>
                    </w:rPr>
                  </w:pPr>
                  <w:r>
                    <w:rPr>
                      <w:rFonts w:hint="eastAsia"/>
                      <w:bCs/>
                    </w:rPr>
                    <w:t>0</w:t>
                  </w:r>
                  <w:r>
                    <w:rPr>
                      <w:bCs/>
                    </w:rPr>
                    <w:t>.119</w:t>
                  </w:r>
                </w:p>
              </w:tc>
            </w:tr>
            <w:tr w14:paraId="520AB3E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03" w:type="pct"/>
                  <w:gridSpan w:val="2"/>
                  <w:vAlign w:val="center"/>
                </w:tcPr>
                <w:p w14:paraId="520AB3E8">
                  <w:pPr>
                    <w:pStyle w:val="41"/>
                    <w:rPr>
                      <w:bCs/>
                    </w:rPr>
                  </w:pPr>
                  <w:r>
                    <w:rPr>
                      <w:bCs/>
                    </w:rPr>
                    <w:t>排放标准</w:t>
                  </w:r>
                </w:p>
              </w:tc>
              <w:tc>
                <w:tcPr>
                  <w:tcW w:w="701" w:type="pct"/>
                  <w:vAlign w:val="center"/>
                </w:tcPr>
                <w:p w14:paraId="520AB3E9">
                  <w:pPr>
                    <w:pStyle w:val="41"/>
                    <w:rPr>
                      <w:bCs/>
                    </w:rPr>
                  </w:pPr>
                  <w:r>
                    <w:rPr>
                      <w:rFonts w:hint="eastAsia"/>
                      <w:bCs/>
                    </w:rPr>
                    <w:t>6~9</w:t>
                  </w:r>
                </w:p>
              </w:tc>
              <w:tc>
                <w:tcPr>
                  <w:tcW w:w="788" w:type="pct"/>
                  <w:vAlign w:val="center"/>
                </w:tcPr>
                <w:p w14:paraId="520AB3EA">
                  <w:pPr>
                    <w:pStyle w:val="41"/>
                    <w:rPr>
                      <w:bCs/>
                    </w:rPr>
                  </w:pPr>
                  <w:r>
                    <w:rPr>
                      <w:rFonts w:hint="eastAsia"/>
                      <w:bCs/>
                    </w:rPr>
                    <w:t>0.05</w:t>
                  </w:r>
                </w:p>
              </w:tc>
              <w:tc>
                <w:tcPr>
                  <w:tcW w:w="651" w:type="pct"/>
                  <w:vAlign w:val="center"/>
                </w:tcPr>
                <w:p w14:paraId="520AB3EB">
                  <w:pPr>
                    <w:pStyle w:val="41"/>
                    <w:rPr>
                      <w:bCs/>
                    </w:rPr>
                  </w:pPr>
                  <w:r>
                    <w:rPr>
                      <w:rFonts w:hint="eastAsia"/>
                      <w:bCs/>
                    </w:rPr>
                    <w:t>0.5</w:t>
                  </w:r>
                </w:p>
              </w:tc>
              <w:tc>
                <w:tcPr>
                  <w:tcW w:w="702" w:type="pct"/>
                  <w:vAlign w:val="center"/>
                </w:tcPr>
                <w:p w14:paraId="520AB3EC">
                  <w:pPr>
                    <w:pStyle w:val="41"/>
                    <w:rPr>
                      <w:bCs/>
                    </w:rPr>
                  </w:pPr>
                  <w:r>
                    <w:rPr>
                      <w:rFonts w:hint="eastAsia"/>
                      <w:bCs/>
                    </w:rPr>
                    <w:t>1.0</w:t>
                  </w:r>
                </w:p>
              </w:tc>
              <w:tc>
                <w:tcPr>
                  <w:tcW w:w="755" w:type="pct"/>
                  <w:vAlign w:val="center"/>
                </w:tcPr>
                <w:p w14:paraId="520AB3ED">
                  <w:pPr>
                    <w:pStyle w:val="41"/>
                    <w:rPr>
                      <w:bCs/>
                    </w:rPr>
                  </w:pPr>
                  <w:r>
                    <w:rPr>
                      <w:rFonts w:hint="eastAsia"/>
                      <w:bCs/>
                    </w:rPr>
                    <w:t>0.2</w:t>
                  </w:r>
                </w:p>
              </w:tc>
            </w:tr>
          </w:tbl>
          <w:p w14:paraId="520AB3EF">
            <w:pPr>
              <w:spacing w:line="460" w:lineRule="exact"/>
              <w:ind w:firstLine="480" w:firstLineChars="200"/>
              <w:rPr>
                <w:rFonts w:eastAsia="黑体"/>
                <w:sz w:val="24"/>
              </w:rPr>
            </w:pPr>
            <w:r>
              <w:rPr>
                <w:rFonts w:eastAsia="黑体"/>
                <w:sz w:val="24"/>
              </w:rPr>
              <w:t>表</w:t>
            </w:r>
            <w:r>
              <w:rPr>
                <w:rFonts w:hint="eastAsia" w:eastAsia="黑体"/>
                <w:sz w:val="24"/>
              </w:rPr>
              <w:t>20</w:t>
            </w:r>
            <w:r>
              <w:rPr>
                <w:rFonts w:eastAsia="黑体"/>
                <w:sz w:val="24"/>
              </w:rPr>
              <w:t xml:space="preserve">         </w:t>
            </w:r>
            <w:r>
              <w:rPr>
                <w:rFonts w:hint="eastAsia" w:eastAsia="黑体"/>
                <w:sz w:val="24"/>
              </w:rPr>
              <w:t>已建</w:t>
            </w:r>
            <w:r>
              <w:rPr>
                <w:rFonts w:eastAsia="黑体"/>
                <w:sz w:val="24"/>
              </w:rPr>
              <w:t>工程</w:t>
            </w:r>
            <w:r>
              <w:rPr>
                <w:rFonts w:hint="eastAsia" w:eastAsia="黑体"/>
                <w:sz w:val="24"/>
              </w:rPr>
              <w:t>废水</w:t>
            </w:r>
            <w:r>
              <w:rPr>
                <w:rFonts w:eastAsia="黑体"/>
                <w:sz w:val="24"/>
              </w:rPr>
              <w:t>水质</w:t>
            </w:r>
            <w:r>
              <w:rPr>
                <w:rFonts w:hint="eastAsia" w:eastAsia="黑体"/>
                <w:sz w:val="24"/>
              </w:rPr>
              <w:t>检测</w:t>
            </w:r>
            <w:r>
              <w:rPr>
                <w:rFonts w:eastAsia="黑体"/>
                <w:sz w:val="24"/>
              </w:rPr>
              <w:t>数据表</w:t>
            </w:r>
            <w:r>
              <w:rPr>
                <w:rFonts w:hint="eastAsia" w:eastAsia="黑体"/>
                <w:sz w:val="24"/>
              </w:rPr>
              <w:t>2</w:t>
            </w:r>
            <w:r>
              <w:rPr>
                <w:rFonts w:eastAsia="黑体"/>
                <w:sz w:val="24"/>
              </w:rPr>
              <w:t xml:space="preserve">     单位：mg/L</w:t>
            </w:r>
          </w:p>
          <w:tbl>
            <w:tblPr>
              <w:tblStyle w:val="18"/>
              <w:tblpPr w:leftFromText="180" w:rightFromText="180" w:vertAnchor="text" w:tblpY="1"/>
              <w:tblOverlap w:val="never"/>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987"/>
              <w:gridCol w:w="991"/>
              <w:gridCol w:w="850"/>
              <w:gridCol w:w="1135"/>
              <w:gridCol w:w="992"/>
              <w:gridCol w:w="992"/>
              <w:gridCol w:w="1122"/>
            </w:tblGrid>
            <w:tr w14:paraId="520AB3F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231" w:type="pct"/>
                  <w:vAlign w:val="center"/>
                </w:tcPr>
                <w:p w14:paraId="520AB3F0">
                  <w:pPr>
                    <w:pStyle w:val="46"/>
                    <w:rPr>
                      <w:rFonts w:cs="Times New Roman"/>
                      <w:color w:val="auto"/>
                      <w:kern w:val="0"/>
                      <w:szCs w:val="21"/>
                    </w:rPr>
                  </w:pPr>
                  <w:r>
                    <w:rPr>
                      <w:rFonts w:cs="Times New Roman"/>
                      <w:color w:val="auto"/>
                      <w:kern w:val="0"/>
                      <w:szCs w:val="21"/>
                    </w:rPr>
                    <w:t>监</w:t>
                  </w:r>
                  <w:r>
                    <w:rPr>
                      <w:rFonts w:hint="eastAsia" w:cs="Times New Roman"/>
                      <w:color w:val="auto"/>
                      <w:kern w:val="0"/>
                      <w:szCs w:val="21"/>
                    </w:rPr>
                    <w:t>测</w:t>
                  </w:r>
                  <w:r>
                    <w:rPr>
                      <w:rFonts w:cs="Times New Roman"/>
                      <w:color w:val="auto"/>
                      <w:kern w:val="0"/>
                      <w:szCs w:val="21"/>
                    </w:rPr>
                    <w:t>时间</w:t>
                  </w:r>
                </w:p>
              </w:tc>
              <w:tc>
                <w:tcPr>
                  <w:tcW w:w="614" w:type="pct"/>
                  <w:vAlign w:val="center"/>
                </w:tcPr>
                <w:p w14:paraId="520AB3F1">
                  <w:pPr>
                    <w:pStyle w:val="46"/>
                    <w:rPr>
                      <w:rFonts w:cs="Times New Roman"/>
                      <w:color w:val="auto"/>
                      <w:kern w:val="0"/>
                      <w:szCs w:val="21"/>
                    </w:rPr>
                  </w:pPr>
                  <w:r>
                    <w:rPr>
                      <w:rFonts w:cs="Times New Roman"/>
                      <w:color w:val="auto"/>
                      <w:kern w:val="0"/>
                      <w:szCs w:val="21"/>
                    </w:rPr>
                    <w:t>检测点位</w:t>
                  </w:r>
                </w:p>
              </w:tc>
              <w:tc>
                <w:tcPr>
                  <w:tcW w:w="527" w:type="pct"/>
                  <w:vAlign w:val="center"/>
                </w:tcPr>
                <w:p w14:paraId="520AB3F2">
                  <w:pPr>
                    <w:pStyle w:val="46"/>
                    <w:rPr>
                      <w:rFonts w:cs="Times New Roman"/>
                      <w:color w:val="auto"/>
                      <w:kern w:val="0"/>
                      <w:szCs w:val="21"/>
                    </w:rPr>
                  </w:pPr>
                  <w:r>
                    <w:rPr>
                      <w:rFonts w:cs="Times New Roman"/>
                      <w:color w:val="auto"/>
                      <w:kern w:val="0"/>
                      <w:szCs w:val="21"/>
                    </w:rPr>
                    <w:t>p</w:t>
                  </w:r>
                  <w:r>
                    <w:rPr>
                      <w:rFonts w:hint="eastAsia" w:cs="Times New Roman"/>
                      <w:color w:val="auto"/>
                      <w:kern w:val="0"/>
                      <w:szCs w:val="21"/>
                    </w:rPr>
                    <w:t>H</w:t>
                  </w:r>
                </w:p>
              </w:tc>
              <w:tc>
                <w:tcPr>
                  <w:tcW w:w="703" w:type="pct"/>
                  <w:vAlign w:val="center"/>
                </w:tcPr>
                <w:p w14:paraId="520AB3F3">
                  <w:pPr>
                    <w:pStyle w:val="46"/>
                    <w:rPr>
                      <w:rFonts w:cs="Times New Roman"/>
                      <w:color w:val="auto"/>
                      <w:kern w:val="0"/>
                      <w:szCs w:val="21"/>
                    </w:rPr>
                  </w:pPr>
                  <w:r>
                    <w:rPr>
                      <w:rFonts w:cs="Times New Roman"/>
                      <w:color w:val="auto"/>
                      <w:kern w:val="0"/>
                      <w:szCs w:val="21"/>
                    </w:rPr>
                    <w:t>C</w:t>
                  </w:r>
                  <w:r>
                    <w:rPr>
                      <w:rFonts w:hint="eastAsia" w:cs="Times New Roman"/>
                      <w:color w:val="auto"/>
                      <w:kern w:val="0"/>
                      <w:szCs w:val="21"/>
                    </w:rPr>
                    <w:t>O</w:t>
                  </w:r>
                  <w:r>
                    <w:rPr>
                      <w:rFonts w:cs="Times New Roman"/>
                      <w:color w:val="auto"/>
                      <w:kern w:val="0"/>
                      <w:szCs w:val="21"/>
                    </w:rPr>
                    <w:t>D</w:t>
                  </w:r>
                </w:p>
              </w:tc>
              <w:tc>
                <w:tcPr>
                  <w:tcW w:w="615" w:type="pct"/>
                  <w:vAlign w:val="center"/>
                </w:tcPr>
                <w:p w14:paraId="520AB3F4">
                  <w:pPr>
                    <w:pStyle w:val="46"/>
                    <w:rPr>
                      <w:rFonts w:cs="Times New Roman"/>
                      <w:color w:val="auto"/>
                      <w:kern w:val="0"/>
                      <w:szCs w:val="21"/>
                    </w:rPr>
                  </w:pPr>
                  <w:r>
                    <w:rPr>
                      <w:bCs/>
                      <w:color w:val="auto"/>
                      <w:szCs w:val="21"/>
                    </w:rPr>
                    <w:t>NH</w:t>
                  </w:r>
                  <w:r>
                    <w:rPr>
                      <w:bCs/>
                      <w:color w:val="auto"/>
                      <w:szCs w:val="21"/>
                      <w:vertAlign w:val="subscript"/>
                    </w:rPr>
                    <w:t>3</w:t>
                  </w:r>
                  <w:r>
                    <w:rPr>
                      <w:bCs/>
                      <w:color w:val="auto"/>
                      <w:szCs w:val="21"/>
                    </w:rPr>
                    <w:t>-N</w:t>
                  </w:r>
                </w:p>
              </w:tc>
              <w:tc>
                <w:tcPr>
                  <w:tcW w:w="615" w:type="pct"/>
                  <w:vAlign w:val="center"/>
                </w:tcPr>
                <w:p w14:paraId="520AB3F5">
                  <w:pPr>
                    <w:pStyle w:val="46"/>
                    <w:rPr>
                      <w:rFonts w:cs="Times New Roman"/>
                      <w:color w:val="auto"/>
                      <w:kern w:val="0"/>
                      <w:szCs w:val="21"/>
                    </w:rPr>
                  </w:pPr>
                  <w:r>
                    <w:rPr>
                      <w:bCs/>
                      <w:color w:val="auto"/>
                      <w:szCs w:val="21"/>
                    </w:rPr>
                    <w:t>TP</w:t>
                  </w:r>
                </w:p>
              </w:tc>
              <w:tc>
                <w:tcPr>
                  <w:tcW w:w="695" w:type="pct"/>
                  <w:vAlign w:val="center"/>
                </w:tcPr>
                <w:p w14:paraId="520AB3F6">
                  <w:pPr>
                    <w:pStyle w:val="46"/>
                    <w:rPr>
                      <w:rFonts w:cs="Times New Roman"/>
                      <w:color w:val="auto"/>
                      <w:kern w:val="0"/>
                      <w:szCs w:val="21"/>
                    </w:rPr>
                  </w:pPr>
                  <w:r>
                    <w:rPr>
                      <w:bCs/>
                      <w:color w:val="auto"/>
                      <w:szCs w:val="21"/>
                    </w:rPr>
                    <w:t>TN</w:t>
                  </w:r>
                </w:p>
              </w:tc>
            </w:tr>
            <w:tr w14:paraId="520AB3F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231" w:type="pct"/>
                  <w:vAlign w:val="center"/>
                </w:tcPr>
                <w:p w14:paraId="520AB3F8">
                  <w:pPr>
                    <w:pStyle w:val="41"/>
                  </w:pPr>
                  <w:r>
                    <w:rPr>
                      <w:rFonts w:hint="eastAsia"/>
                      <w:bCs/>
                    </w:rPr>
                    <w:t>202</w:t>
                  </w:r>
                  <w:r>
                    <w:rPr>
                      <w:bCs/>
                    </w:rPr>
                    <w:t>5.4.27</w:t>
                  </w:r>
                </w:p>
              </w:tc>
              <w:tc>
                <w:tcPr>
                  <w:tcW w:w="614" w:type="pct"/>
                  <w:vMerge w:val="restart"/>
                  <w:vAlign w:val="center"/>
                </w:tcPr>
                <w:p w14:paraId="520AB3F9">
                  <w:pPr>
                    <w:pStyle w:val="41"/>
                  </w:pPr>
                  <w:r>
                    <w:rPr>
                      <w:rFonts w:hint="eastAsia"/>
                    </w:rPr>
                    <w:t>厂区总排口</w:t>
                  </w:r>
                </w:p>
              </w:tc>
              <w:tc>
                <w:tcPr>
                  <w:tcW w:w="527" w:type="pct"/>
                  <w:vAlign w:val="center"/>
                </w:tcPr>
                <w:p w14:paraId="520AB3FA">
                  <w:pPr>
                    <w:pStyle w:val="41"/>
                  </w:pPr>
                  <w:r>
                    <w:rPr>
                      <w:rFonts w:hint="eastAsia"/>
                    </w:rPr>
                    <w:t>7</w:t>
                  </w:r>
                  <w:r>
                    <w:t>.4~7.5</w:t>
                  </w:r>
                </w:p>
              </w:tc>
              <w:tc>
                <w:tcPr>
                  <w:tcW w:w="703" w:type="pct"/>
                  <w:vAlign w:val="center"/>
                </w:tcPr>
                <w:p w14:paraId="520AB3FB">
                  <w:pPr>
                    <w:pStyle w:val="41"/>
                  </w:pPr>
                  <w:r>
                    <w:rPr>
                      <w:rFonts w:hint="eastAsia"/>
                    </w:rPr>
                    <w:t>5</w:t>
                  </w:r>
                  <w:r>
                    <w:t>3~60</w:t>
                  </w:r>
                </w:p>
              </w:tc>
              <w:tc>
                <w:tcPr>
                  <w:tcW w:w="615" w:type="pct"/>
                  <w:vAlign w:val="center"/>
                </w:tcPr>
                <w:p w14:paraId="520AB3FC">
                  <w:pPr>
                    <w:pStyle w:val="41"/>
                  </w:pPr>
                  <w:r>
                    <w:rPr>
                      <w:rFonts w:hint="eastAsia"/>
                    </w:rPr>
                    <w:t>7</w:t>
                  </w:r>
                  <w:r>
                    <w:t>.2~7.76</w:t>
                  </w:r>
                </w:p>
              </w:tc>
              <w:tc>
                <w:tcPr>
                  <w:tcW w:w="615" w:type="pct"/>
                  <w:vAlign w:val="center"/>
                </w:tcPr>
                <w:p w14:paraId="520AB3FD">
                  <w:pPr>
                    <w:pStyle w:val="41"/>
                  </w:pPr>
                  <w:r>
                    <w:rPr>
                      <w:rFonts w:hint="eastAsia"/>
                    </w:rPr>
                    <w:t>0</w:t>
                  </w:r>
                  <w:r>
                    <w:t>.11~0.16</w:t>
                  </w:r>
                </w:p>
              </w:tc>
              <w:tc>
                <w:tcPr>
                  <w:tcW w:w="695" w:type="pct"/>
                  <w:vAlign w:val="center"/>
                </w:tcPr>
                <w:p w14:paraId="520AB3FE">
                  <w:pPr>
                    <w:pStyle w:val="41"/>
                  </w:pPr>
                  <w:r>
                    <w:t>12.2~12.7</w:t>
                  </w:r>
                </w:p>
              </w:tc>
            </w:tr>
            <w:tr w14:paraId="520AB40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231" w:type="pct"/>
                  <w:vAlign w:val="center"/>
                </w:tcPr>
                <w:p w14:paraId="520AB400">
                  <w:pPr>
                    <w:pStyle w:val="41"/>
                  </w:pPr>
                  <w:r>
                    <w:rPr>
                      <w:rFonts w:hint="eastAsia"/>
                      <w:bCs/>
                    </w:rPr>
                    <w:t>2</w:t>
                  </w:r>
                  <w:r>
                    <w:rPr>
                      <w:bCs/>
                    </w:rPr>
                    <w:t>025.1.1-2025.6.23</w:t>
                  </w:r>
                  <w:r>
                    <w:rPr>
                      <w:rFonts w:hint="eastAsia"/>
                      <w:bCs/>
                    </w:rPr>
                    <w:t>在线监测数据日均值</w:t>
                  </w:r>
                </w:p>
              </w:tc>
              <w:tc>
                <w:tcPr>
                  <w:tcW w:w="614" w:type="pct"/>
                  <w:vMerge w:val="continue"/>
                  <w:vAlign w:val="center"/>
                </w:tcPr>
                <w:p w14:paraId="520AB401">
                  <w:pPr>
                    <w:pStyle w:val="41"/>
                  </w:pPr>
                </w:p>
              </w:tc>
              <w:tc>
                <w:tcPr>
                  <w:tcW w:w="527" w:type="pct"/>
                  <w:vAlign w:val="center"/>
                </w:tcPr>
                <w:p w14:paraId="520AB402">
                  <w:pPr>
                    <w:pStyle w:val="41"/>
                    <w:rPr>
                      <w:rFonts w:eastAsia="等线"/>
                    </w:rPr>
                  </w:pPr>
                  <w:r>
                    <w:rPr>
                      <w:rFonts w:eastAsia="等线"/>
                    </w:rPr>
                    <w:t>6.956~</w:t>
                  </w:r>
                </w:p>
                <w:p w14:paraId="520AB403">
                  <w:pPr>
                    <w:pStyle w:val="41"/>
                  </w:pPr>
                  <w:r>
                    <w:rPr>
                      <w:rFonts w:eastAsia="等线"/>
                    </w:rPr>
                    <w:t>8.368</w:t>
                  </w:r>
                </w:p>
              </w:tc>
              <w:tc>
                <w:tcPr>
                  <w:tcW w:w="703" w:type="pct"/>
                  <w:vAlign w:val="center"/>
                </w:tcPr>
                <w:p w14:paraId="520AB404">
                  <w:pPr>
                    <w:pStyle w:val="41"/>
                    <w:rPr>
                      <w:rFonts w:eastAsia="等线"/>
                    </w:rPr>
                  </w:pPr>
                  <w:r>
                    <w:rPr>
                      <w:rFonts w:eastAsia="等线"/>
                    </w:rPr>
                    <w:t>20.65~</w:t>
                  </w:r>
                </w:p>
                <w:p w14:paraId="520AB405">
                  <w:pPr>
                    <w:pStyle w:val="41"/>
                  </w:pPr>
                  <w:r>
                    <w:rPr>
                      <w:rFonts w:eastAsia="等线"/>
                    </w:rPr>
                    <w:t>89.464</w:t>
                  </w:r>
                </w:p>
              </w:tc>
              <w:tc>
                <w:tcPr>
                  <w:tcW w:w="615" w:type="pct"/>
                  <w:vAlign w:val="center"/>
                </w:tcPr>
                <w:p w14:paraId="520AB406">
                  <w:pPr>
                    <w:pStyle w:val="41"/>
                    <w:rPr>
                      <w:rFonts w:eastAsia="等线"/>
                    </w:rPr>
                  </w:pPr>
                  <w:r>
                    <w:rPr>
                      <w:rFonts w:eastAsia="等线"/>
                    </w:rPr>
                    <w:t>0.267~</w:t>
                  </w:r>
                </w:p>
                <w:p w14:paraId="520AB407">
                  <w:pPr>
                    <w:pStyle w:val="41"/>
                  </w:pPr>
                  <w:r>
                    <w:rPr>
                      <w:rFonts w:eastAsia="等线"/>
                    </w:rPr>
                    <w:t>8.396</w:t>
                  </w:r>
                </w:p>
              </w:tc>
              <w:tc>
                <w:tcPr>
                  <w:tcW w:w="615" w:type="pct"/>
                  <w:vAlign w:val="center"/>
                </w:tcPr>
                <w:p w14:paraId="520AB408">
                  <w:pPr>
                    <w:pStyle w:val="41"/>
                    <w:rPr>
                      <w:rFonts w:eastAsia="等线"/>
                    </w:rPr>
                  </w:pPr>
                  <w:r>
                    <w:rPr>
                      <w:rFonts w:eastAsia="等线"/>
                    </w:rPr>
                    <w:t>0.059~</w:t>
                  </w:r>
                </w:p>
                <w:p w14:paraId="520AB409">
                  <w:pPr>
                    <w:pStyle w:val="41"/>
                  </w:pPr>
                  <w:r>
                    <w:rPr>
                      <w:rFonts w:eastAsia="等线"/>
                    </w:rPr>
                    <w:t>0.669</w:t>
                  </w:r>
                </w:p>
              </w:tc>
              <w:tc>
                <w:tcPr>
                  <w:tcW w:w="695" w:type="pct"/>
                  <w:vAlign w:val="center"/>
                </w:tcPr>
                <w:p w14:paraId="520AB40A">
                  <w:pPr>
                    <w:pStyle w:val="41"/>
                    <w:rPr>
                      <w:rFonts w:eastAsia="等线"/>
                    </w:rPr>
                  </w:pPr>
                  <w:r>
                    <w:rPr>
                      <w:rFonts w:eastAsia="等线"/>
                    </w:rPr>
                    <w:t>3.651~</w:t>
                  </w:r>
                </w:p>
                <w:p w14:paraId="520AB40B">
                  <w:pPr>
                    <w:pStyle w:val="41"/>
                  </w:pPr>
                  <w:r>
                    <w:rPr>
                      <w:rFonts w:eastAsia="等线"/>
                    </w:rPr>
                    <w:t>21.627</w:t>
                  </w:r>
                </w:p>
              </w:tc>
            </w:tr>
            <w:tr w14:paraId="520AB41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845" w:type="pct"/>
                  <w:gridSpan w:val="2"/>
                  <w:vAlign w:val="center"/>
                </w:tcPr>
                <w:p w14:paraId="520AB40D">
                  <w:pPr>
                    <w:pStyle w:val="41"/>
                  </w:pPr>
                  <w:r>
                    <w:rPr>
                      <w:rFonts w:hint="eastAsia"/>
                      <w:bCs/>
                    </w:rPr>
                    <w:t>最大值</w:t>
                  </w:r>
                </w:p>
              </w:tc>
              <w:tc>
                <w:tcPr>
                  <w:tcW w:w="527" w:type="pct"/>
                  <w:vAlign w:val="center"/>
                </w:tcPr>
                <w:p w14:paraId="520AB40E">
                  <w:pPr>
                    <w:pStyle w:val="41"/>
                  </w:pPr>
                  <w:r>
                    <w:rPr>
                      <w:rFonts w:eastAsia="等线"/>
                    </w:rPr>
                    <w:t>8.368</w:t>
                  </w:r>
                </w:p>
              </w:tc>
              <w:tc>
                <w:tcPr>
                  <w:tcW w:w="703" w:type="pct"/>
                  <w:vAlign w:val="center"/>
                </w:tcPr>
                <w:p w14:paraId="520AB40F">
                  <w:pPr>
                    <w:pStyle w:val="41"/>
                  </w:pPr>
                  <w:r>
                    <w:rPr>
                      <w:rFonts w:eastAsia="等线"/>
                    </w:rPr>
                    <w:t>89.464</w:t>
                  </w:r>
                </w:p>
              </w:tc>
              <w:tc>
                <w:tcPr>
                  <w:tcW w:w="615" w:type="pct"/>
                  <w:vAlign w:val="center"/>
                </w:tcPr>
                <w:p w14:paraId="520AB410">
                  <w:pPr>
                    <w:pStyle w:val="41"/>
                  </w:pPr>
                  <w:r>
                    <w:rPr>
                      <w:rFonts w:eastAsia="等线"/>
                    </w:rPr>
                    <w:t>8.396</w:t>
                  </w:r>
                </w:p>
              </w:tc>
              <w:tc>
                <w:tcPr>
                  <w:tcW w:w="615" w:type="pct"/>
                  <w:vAlign w:val="center"/>
                </w:tcPr>
                <w:p w14:paraId="520AB411">
                  <w:pPr>
                    <w:pStyle w:val="41"/>
                  </w:pPr>
                  <w:r>
                    <w:rPr>
                      <w:rFonts w:eastAsia="等线"/>
                    </w:rPr>
                    <w:t>0.669</w:t>
                  </w:r>
                </w:p>
              </w:tc>
              <w:tc>
                <w:tcPr>
                  <w:tcW w:w="695" w:type="pct"/>
                  <w:vAlign w:val="center"/>
                </w:tcPr>
                <w:p w14:paraId="520AB412">
                  <w:pPr>
                    <w:pStyle w:val="41"/>
                  </w:pPr>
                  <w:r>
                    <w:rPr>
                      <w:rFonts w:eastAsia="等线"/>
                    </w:rPr>
                    <w:t>21.627</w:t>
                  </w:r>
                </w:p>
              </w:tc>
            </w:tr>
            <w:tr w14:paraId="520AB41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845" w:type="pct"/>
                  <w:gridSpan w:val="2"/>
                  <w:vAlign w:val="center"/>
                </w:tcPr>
                <w:p w14:paraId="520AB414">
                  <w:pPr>
                    <w:pStyle w:val="41"/>
                  </w:pPr>
                  <w:r>
                    <w:t>排放标准</w:t>
                  </w:r>
                </w:p>
              </w:tc>
              <w:tc>
                <w:tcPr>
                  <w:tcW w:w="527" w:type="pct"/>
                  <w:vAlign w:val="center"/>
                </w:tcPr>
                <w:p w14:paraId="520AB415">
                  <w:pPr>
                    <w:pStyle w:val="41"/>
                  </w:pPr>
                  <w:r>
                    <w:rPr>
                      <w:rFonts w:hint="eastAsia"/>
                      <w:bCs/>
                    </w:rPr>
                    <w:t>6~9</w:t>
                  </w:r>
                </w:p>
              </w:tc>
              <w:tc>
                <w:tcPr>
                  <w:tcW w:w="703" w:type="pct"/>
                  <w:vAlign w:val="center"/>
                </w:tcPr>
                <w:p w14:paraId="520AB416">
                  <w:pPr>
                    <w:pStyle w:val="41"/>
                  </w:pPr>
                  <w:r>
                    <w:rPr>
                      <w:rFonts w:hint="eastAsia"/>
                    </w:rPr>
                    <w:t>150</w:t>
                  </w:r>
                </w:p>
              </w:tc>
              <w:tc>
                <w:tcPr>
                  <w:tcW w:w="615" w:type="pct"/>
                  <w:vAlign w:val="center"/>
                </w:tcPr>
                <w:p w14:paraId="520AB417">
                  <w:pPr>
                    <w:pStyle w:val="41"/>
                  </w:pPr>
                  <w:r>
                    <w:rPr>
                      <w:rFonts w:hint="eastAsia"/>
                    </w:rPr>
                    <w:t>25</w:t>
                  </w:r>
                </w:p>
              </w:tc>
              <w:tc>
                <w:tcPr>
                  <w:tcW w:w="615" w:type="pct"/>
                  <w:vAlign w:val="center"/>
                </w:tcPr>
                <w:p w14:paraId="520AB418">
                  <w:pPr>
                    <w:pStyle w:val="41"/>
                  </w:pPr>
                  <w:r>
                    <w:rPr>
                      <w:rFonts w:hint="eastAsia"/>
                    </w:rPr>
                    <w:t>1.0</w:t>
                  </w:r>
                </w:p>
              </w:tc>
              <w:tc>
                <w:tcPr>
                  <w:tcW w:w="695" w:type="pct"/>
                  <w:vAlign w:val="center"/>
                </w:tcPr>
                <w:p w14:paraId="520AB419">
                  <w:pPr>
                    <w:pStyle w:val="41"/>
                    <w:rPr>
                      <w:bCs/>
                    </w:rPr>
                  </w:pPr>
                  <w:r>
                    <w:rPr>
                      <w:rFonts w:hint="eastAsia"/>
                      <w:bCs/>
                    </w:rPr>
                    <w:t>40</w:t>
                  </w:r>
                </w:p>
              </w:tc>
            </w:tr>
            <w:tr w14:paraId="520AB42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231" w:type="pct"/>
                  <w:vAlign w:val="center"/>
                </w:tcPr>
                <w:p w14:paraId="520AB41B">
                  <w:pPr>
                    <w:pStyle w:val="41"/>
                    <w:rPr>
                      <w:b/>
                    </w:rPr>
                  </w:pPr>
                  <w:r>
                    <w:rPr>
                      <w:b/>
                    </w:rPr>
                    <w:t>监测时间</w:t>
                  </w:r>
                </w:p>
              </w:tc>
              <w:tc>
                <w:tcPr>
                  <w:tcW w:w="614" w:type="pct"/>
                  <w:vAlign w:val="center"/>
                </w:tcPr>
                <w:p w14:paraId="520AB41C">
                  <w:pPr>
                    <w:pStyle w:val="41"/>
                    <w:rPr>
                      <w:b/>
                    </w:rPr>
                  </w:pPr>
                  <w:r>
                    <w:rPr>
                      <w:b/>
                    </w:rPr>
                    <w:t>检测点</w:t>
                  </w:r>
                  <w:r>
                    <w:rPr>
                      <w:rFonts w:hint="eastAsia"/>
                      <w:b/>
                    </w:rPr>
                    <w:t>位</w:t>
                  </w:r>
                </w:p>
              </w:tc>
              <w:tc>
                <w:tcPr>
                  <w:tcW w:w="527" w:type="pct"/>
                  <w:vAlign w:val="center"/>
                </w:tcPr>
                <w:p w14:paraId="520AB41D">
                  <w:pPr>
                    <w:pStyle w:val="41"/>
                    <w:rPr>
                      <w:b/>
                      <w:bCs/>
                    </w:rPr>
                  </w:pPr>
                  <w:r>
                    <w:rPr>
                      <w:b/>
                      <w:bCs/>
                    </w:rPr>
                    <w:t>SS</w:t>
                  </w:r>
                </w:p>
              </w:tc>
              <w:tc>
                <w:tcPr>
                  <w:tcW w:w="703" w:type="pct"/>
                  <w:vAlign w:val="center"/>
                </w:tcPr>
                <w:p w14:paraId="520AB41E">
                  <w:pPr>
                    <w:pStyle w:val="41"/>
                    <w:rPr>
                      <w:b/>
                    </w:rPr>
                  </w:pPr>
                  <w:r>
                    <w:rPr>
                      <w:b/>
                    </w:rPr>
                    <w:t>石油类</w:t>
                  </w:r>
                </w:p>
              </w:tc>
              <w:tc>
                <w:tcPr>
                  <w:tcW w:w="615" w:type="pct"/>
                  <w:vAlign w:val="center"/>
                </w:tcPr>
                <w:p w14:paraId="520AB41F">
                  <w:pPr>
                    <w:pStyle w:val="41"/>
                    <w:rPr>
                      <w:b/>
                    </w:rPr>
                  </w:pPr>
                  <w:r>
                    <w:rPr>
                      <w:b/>
                    </w:rPr>
                    <w:t>总铜</w:t>
                  </w:r>
                </w:p>
              </w:tc>
              <w:tc>
                <w:tcPr>
                  <w:tcW w:w="615" w:type="pct"/>
                  <w:vAlign w:val="center"/>
                </w:tcPr>
                <w:p w14:paraId="520AB420">
                  <w:pPr>
                    <w:pStyle w:val="41"/>
                    <w:rPr>
                      <w:b/>
                    </w:rPr>
                  </w:pPr>
                  <w:r>
                    <w:rPr>
                      <w:b/>
                    </w:rPr>
                    <w:t>总锌</w:t>
                  </w:r>
                </w:p>
              </w:tc>
              <w:tc>
                <w:tcPr>
                  <w:tcW w:w="695" w:type="pct"/>
                  <w:vAlign w:val="center"/>
                </w:tcPr>
                <w:p w14:paraId="520AB421">
                  <w:pPr>
                    <w:pStyle w:val="41"/>
                    <w:rPr>
                      <w:b/>
                      <w:bCs/>
                    </w:rPr>
                  </w:pPr>
                  <w:r>
                    <w:rPr>
                      <w:b/>
                    </w:rPr>
                    <w:t>总氰化物</w:t>
                  </w:r>
                </w:p>
              </w:tc>
            </w:tr>
            <w:tr w14:paraId="520AB42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231" w:type="pct"/>
                  <w:vAlign w:val="center"/>
                </w:tcPr>
                <w:p w14:paraId="520AB423">
                  <w:pPr>
                    <w:pStyle w:val="41"/>
                  </w:pPr>
                  <w:r>
                    <w:rPr>
                      <w:rFonts w:hint="eastAsia"/>
                      <w:bCs/>
                    </w:rPr>
                    <w:t>202</w:t>
                  </w:r>
                  <w:r>
                    <w:rPr>
                      <w:bCs/>
                    </w:rPr>
                    <w:t>5.4.27</w:t>
                  </w:r>
                </w:p>
              </w:tc>
              <w:tc>
                <w:tcPr>
                  <w:tcW w:w="614" w:type="pct"/>
                  <w:vAlign w:val="center"/>
                </w:tcPr>
                <w:p w14:paraId="520AB424">
                  <w:pPr>
                    <w:pStyle w:val="41"/>
                  </w:pPr>
                  <w:r>
                    <w:rPr>
                      <w:rFonts w:hint="eastAsia"/>
                      <w:bCs/>
                    </w:rPr>
                    <w:t>厂区总排口</w:t>
                  </w:r>
                </w:p>
              </w:tc>
              <w:tc>
                <w:tcPr>
                  <w:tcW w:w="527" w:type="pct"/>
                  <w:vAlign w:val="center"/>
                </w:tcPr>
                <w:p w14:paraId="520AB425">
                  <w:pPr>
                    <w:pStyle w:val="41"/>
                    <w:rPr>
                      <w:bCs/>
                    </w:rPr>
                  </w:pPr>
                  <w:r>
                    <w:rPr>
                      <w:bCs/>
                    </w:rPr>
                    <w:t>22~27</w:t>
                  </w:r>
                </w:p>
              </w:tc>
              <w:tc>
                <w:tcPr>
                  <w:tcW w:w="703" w:type="pct"/>
                  <w:vAlign w:val="center"/>
                </w:tcPr>
                <w:p w14:paraId="520AB426">
                  <w:pPr>
                    <w:pStyle w:val="41"/>
                  </w:pPr>
                  <w:r>
                    <w:rPr>
                      <w:rFonts w:hint="eastAsia"/>
                      <w:bCs/>
                    </w:rPr>
                    <w:t>0</w:t>
                  </w:r>
                  <w:r>
                    <w:rPr>
                      <w:bCs/>
                    </w:rPr>
                    <w:t>.5~0.52</w:t>
                  </w:r>
                </w:p>
              </w:tc>
              <w:tc>
                <w:tcPr>
                  <w:tcW w:w="615" w:type="pct"/>
                  <w:vAlign w:val="center"/>
                </w:tcPr>
                <w:p w14:paraId="520AB427">
                  <w:pPr>
                    <w:pStyle w:val="41"/>
                  </w:pPr>
                  <w:r>
                    <w:rPr>
                      <w:rFonts w:hint="eastAsia"/>
                      <w:bCs/>
                    </w:rPr>
                    <w:t>0</w:t>
                  </w:r>
                  <w:r>
                    <w:rPr>
                      <w:bCs/>
                    </w:rPr>
                    <w:t>.09~0.11</w:t>
                  </w:r>
                </w:p>
              </w:tc>
              <w:tc>
                <w:tcPr>
                  <w:tcW w:w="615" w:type="pct"/>
                  <w:vAlign w:val="center"/>
                </w:tcPr>
                <w:p w14:paraId="520AB428">
                  <w:pPr>
                    <w:pStyle w:val="41"/>
                  </w:pPr>
                  <w:r>
                    <w:rPr>
                      <w:rFonts w:hint="eastAsia"/>
                      <w:bCs/>
                    </w:rPr>
                    <w:t>0</w:t>
                  </w:r>
                  <w:r>
                    <w:rPr>
                      <w:bCs/>
                    </w:rPr>
                    <w:t>.52~0.57</w:t>
                  </w:r>
                </w:p>
              </w:tc>
              <w:tc>
                <w:tcPr>
                  <w:tcW w:w="695" w:type="pct"/>
                  <w:vAlign w:val="center"/>
                </w:tcPr>
                <w:p w14:paraId="520AB429">
                  <w:pPr>
                    <w:pStyle w:val="41"/>
                    <w:rPr>
                      <w:bCs/>
                    </w:rPr>
                  </w:pPr>
                  <w:r>
                    <w:rPr>
                      <w:rFonts w:hint="eastAsia"/>
                      <w:bCs/>
                    </w:rPr>
                    <w:t>0</w:t>
                  </w:r>
                  <w:r>
                    <w:rPr>
                      <w:bCs/>
                    </w:rPr>
                    <w:t>.073~0.079</w:t>
                  </w:r>
                </w:p>
              </w:tc>
            </w:tr>
            <w:tr w14:paraId="520AB43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845" w:type="pct"/>
                  <w:gridSpan w:val="2"/>
                  <w:vAlign w:val="center"/>
                </w:tcPr>
                <w:p w14:paraId="520AB433">
                  <w:pPr>
                    <w:pStyle w:val="41"/>
                  </w:pPr>
                  <w:r>
                    <w:rPr>
                      <w:rFonts w:hint="eastAsia"/>
                      <w:bCs/>
                    </w:rPr>
                    <w:t>最大值</w:t>
                  </w:r>
                </w:p>
              </w:tc>
              <w:tc>
                <w:tcPr>
                  <w:tcW w:w="527" w:type="pct"/>
                  <w:vAlign w:val="center"/>
                </w:tcPr>
                <w:p w14:paraId="520AB434">
                  <w:pPr>
                    <w:pStyle w:val="41"/>
                    <w:rPr>
                      <w:bCs/>
                    </w:rPr>
                  </w:pPr>
                  <w:r>
                    <w:rPr>
                      <w:rFonts w:hint="eastAsia"/>
                      <w:bCs/>
                    </w:rPr>
                    <w:t>2</w:t>
                  </w:r>
                  <w:r>
                    <w:rPr>
                      <w:bCs/>
                    </w:rPr>
                    <w:t>7</w:t>
                  </w:r>
                </w:p>
              </w:tc>
              <w:tc>
                <w:tcPr>
                  <w:tcW w:w="703" w:type="pct"/>
                  <w:vAlign w:val="center"/>
                </w:tcPr>
                <w:p w14:paraId="520AB435">
                  <w:pPr>
                    <w:pStyle w:val="41"/>
                  </w:pPr>
                  <w:r>
                    <w:rPr>
                      <w:rFonts w:hint="eastAsia"/>
                    </w:rPr>
                    <w:t>0</w:t>
                  </w:r>
                  <w:r>
                    <w:t>.52</w:t>
                  </w:r>
                </w:p>
              </w:tc>
              <w:tc>
                <w:tcPr>
                  <w:tcW w:w="615" w:type="pct"/>
                  <w:vAlign w:val="center"/>
                </w:tcPr>
                <w:p w14:paraId="520AB436">
                  <w:pPr>
                    <w:pStyle w:val="41"/>
                  </w:pPr>
                  <w:r>
                    <w:rPr>
                      <w:rFonts w:hint="eastAsia"/>
                    </w:rPr>
                    <w:t>0</w:t>
                  </w:r>
                  <w:r>
                    <w:t>.</w:t>
                  </w:r>
                  <w:r>
                    <w:rPr>
                      <w:rFonts w:hint="eastAsia"/>
                    </w:rPr>
                    <w:t>11</w:t>
                  </w:r>
                </w:p>
              </w:tc>
              <w:tc>
                <w:tcPr>
                  <w:tcW w:w="615" w:type="pct"/>
                  <w:vAlign w:val="center"/>
                </w:tcPr>
                <w:p w14:paraId="520AB437">
                  <w:pPr>
                    <w:pStyle w:val="41"/>
                  </w:pPr>
                  <w:r>
                    <w:rPr>
                      <w:rFonts w:hint="eastAsia"/>
                    </w:rPr>
                    <w:t>0</w:t>
                  </w:r>
                  <w:r>
                    <w:t>.57</w:t>
                  </w:r>
                </w:p>
              </w:tc>
              <w:tc>
                <w:tcPr>
                  <w:tcW w:w="695" w:type="pct"/>
                  <w:vAlign w:val="center"/>
                </w:tcPr>
                <w:p w14:paraId="520AB438">
                  <w:pPr>
                    <w:pStyle w:val="41"/>
                    <w:rPr>
                      <w:bCs/>
                    </w:rPr>
                  </w:pPr>
                  <w:r>
                    <w:rPr>
                      <w:rFonts w:hint="eastAsia"/>
                      <w:bCs/>
                    </w:rPr>
                    <w:t>0</w:t>
                  </w:r>
                  <w:r>
                    <w:rPr>
                      <w:bCs/>
                    </w:rPr>
                    <w:t>.079</w:t>
                  </w:r>
                </w:p>
              </w:tc>
            </w:tr>
            <w:tr w14:paraId="520AB44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845" w:type="pct"/>
                  <w:gridSpan w:val="2"/>
                  <w:vAlign w:val="center"/>
                </w:tcPr>
                <w:p w14:paraId="520AB43A">
                  <w:pPr>
                    <w:pStyle w:val="41"/>
                  </w:pPr>
                  <w:r>
                    <w:rPr>
                      <w:bCs/>
                    </w:rPr>
                    <w:t>排放标准</w:t>
                  </w:r>
                </w:p>
              </w:tc>
              <w:tc>
                <w:tcPr>
                  <w:tcW w:w="527" w:type="pct"/>
                  <w:vAlign w:val="center"/>
                </w:tcPr>
                <w:p w14:paraId="520AB43B">
                  <w:pPr>
                    <w:pStyle w:val="41"/>
                    <w:rPr>
                      <w:bCs/>
                    </w:rPr>
                  </w:pPr>
                  <w:r>
                    <w:rPr>
                      <w:rFonts w:hint="eastAsia"/>
                    </w:rPr>
                    <w:t>150</w:t>
                  </w:r>
                </w:p>
              </w:tc>
              <w:tc>
                <w:tcPr>
                  <w:tcW w:w="703" w:type="pct"/>
                  <w:vAlign w:val="center"/>
                </w:tcPr>
                <w:p w14:paraId="520AB43C">
                  <w:pPr>
                    <w:pStyle w:val="41"/>
                  </w:pPr>
                  <w:r>
                    <w:rPr>
                      <w:rFonts w:hint="eastAsia"/>
                      <w:bCs/>
                    </w:rPr>
                    <w:t>3.0</w:t>
                  </w:r>
                </w:p>
              </w:tc>
              <w:tc>
                <w:tcPr>
                  <w:tcW w:w="615" w:type="pct"/>
                  <w:vAlign w:val="center"/>
                </w:tcPr>
                <w:p w14:paraId="520AB43D">
                  <w:pPr>
                    <w:pStyle w:val="41"/>
                  </w:pPr>
                  <w:r>
                    <w:rPr>
                      <w:rFonts w:hint="eastAsia"/>
                      <w:bCs/>
                    </w:rPr>
                    <w:t>0.5</w:t>
                  </w:r>
                </w:p>
              </w:tc>
              <w:tc>
                <w:tcPr>
                  <w:tcW w:w="615" w:type="pct"/>
                  <w:vAlign w:val="center"/>
                </w:tcPr>
                <w:p w14:paraId="520AB43E">
                  <w:pPr>
                    <w:pStyle w:val="41"/>
                  </w:pPr>
                  <w:r>
                    <w:rPr>
                      <w:rFonts w:hint="eastAsia"/>
                      <w:bCs/>
                    </w:rPr>
                    <w:t>1.5</w:t>
                  </w:r>
                </w:p>
              </w:tc>
              <w:tc>
                <w:tcPr>
                  <w:tcW w:w="695" w:type="pct"/>
                  <w:vAlign w:val="center"/>
                </w:tcPr>
                <w:p w14:paraId="520AB43F">
                  <w:pPr>
                    <w:pStyle w:val="41"/>
                    <w:rPr>
                      <w:bCs/>
                    </w:rPr>
                  </w:pPr>
                  <w:r>
                    <w:rPr>
                      <w:rFonts w:hint="eastAsia"/>
                      <w:bCs/>
                    </w:rPr>
                    <w:t>0.5</w:t>
                  </w:r>
                </w:p>
              </w:tc>
            </w:tr>
            <w:tr w14:paraId="520AB44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000" w:type="pct"/>
                  <w:gridSpan w:val="7"/>
                  <w:vAlign w:val="center"/>
                </w:tcPr>
                <w:p w14:paraId="520AB441">
                  <w:pPr>
                    <w:widowControl/>
                    <w:rPr>
                      <w:rFonts w:eastAsia="黑体"/>
                    </w:rPr>
                  </w:pPr>
                  <w:r>
                    <w:rPr>
                      <w:rFonts w:eastAsia="黑体"/>
                      <w:szCs w:val="21"/>
                    </w:rPr>
                    <w:t>注：根据近</w:t>
                  </w:r>
                  <w:r>
                    <w:rPr>
                      <w:rFonts w:hint="eastAsia" w:eastAsia="黑体"/>
                      <w:szCs w:val="21"/>
                    </w:rPr>
                    <w:t>半</w:t>
                  </w:r>
                  <w:r>
                    <w:rPr>
                      <w:rFonts w:eastAsia="黑体"/>
                      <w:szCs w:val="21"/>
                    </w:rPr>
                    <w:t>年在线监测数据，厂区总排口平均流量为215.28m</w:t>
                  </w:r>
                  <w:r>
                    <w:rPr>
                      <w:rFonts w:eastAsia="黑体"/>
                      <w:szCs w:val="21"/>
                      <w:vertAlign w:val="superscript"/>
                    </w:rPr>
                    <w:t>3</w:t>
                  </w:r>
                  <w:r>
                    <w:rPr>
                      <w:rFonts w:eastAsia="黑体"/>
                      <w:szCs w:val="21"/>
                    </w:rPr>
                    <w:t>/d，项目外排废水主要来源于电镀生产线废水，因此本次评价以电镀生产线的平均生产工况23.2%作为废水排放量评价基础。</w:t>
                  </w:r>
                </w:p>
              </w:tc>
            </w:tr>
            <w:bookmarkEnd w:id="3"/>
          </w:tbl>
          <w:p w14:paraId="520AB443">
            <w:pPr>
              <w:spacing w:line="460" w:lineRule="exact"/>
              <w:ind w:firstLine="480" w:firstLineChars="200"/>
              <w:rPr>
                <w:kern w:val="0"/>
                <w:sz w:val="24"/>
              </w:rPr>
            </w:pPr>
            <w:r>
              <w:rPr>
                <w:kern w:val="0"/>
                <w:sz w:val="24"/>
              </w:rPr>
              <w:t>根据近</w:t>
            </w:r>
            <w:r>
              <w:rPr>
                <w:rFonts w:hint="eastAsia"/>
                <w:kern w:val="0"/>
                <w:sz w:val="24"/>
              </w:rPr>
              <w:t>半</w:t>
            </w:r>
            <w:r>
              <w:rPr>
                <w:kern w:val="0"/>
                <w:sz w:val="24"/>
              </w:rPr>
              <w:t>年在线监测数据，已建工程厂区总排口平均流量为215.28m</w:t>
            </w:r>
            <w:r>
              <w:rPr>
                <w:kern w:val="0"/>
                <w:sz w:val="24"/>
                <w:vertAlign w:val="superscript"/>
              </w:rPr>
              <w:t>3</w:t>
            </w:r>
            <w:r>
              <w:rPr>
                <w:kern w:val="0"/>
                <w:sz w:val="24"/>
              </w:rPr>
              <w:t>/d，年生产250天，日平均生产负荷为23.2%，则满负荷废水排放量为927.931m</w:t>
            </w:r>
            <w:r>
              <w:rPr>
                <w:kern w:val="0"/>
                <w:sz w:val="24"/>
                <w:vertAlign w:val="superscript"/>
              </w:rPr>
              <w:t>3</w:t>
            </w:r>
            <w:r>
              <w:rPr>
                <w:kern w:val="0"/>
                <w:sz w:val="24"/>
              </w:rPr>
              <w:t>/d（231982.8m</w:t>
            </w:r>
            <w:r>
              <w:rPr>
                <w:kern w:val="0"/>
                <w:sz w:val="24"/>
                <w:vertAlign w:val="superscript"/>
              </w:rPr>
              <w:t>3</w:t>
            </w:r>
            <w:r>
              <w:rPr>
                <w:kern w:val="0"/>
                <w:sz w:val="24"/>
              </w:rPr>
              <w:t>/a）。</w:t>
            </w:r>
          </w:p>
          <w:p w14:paraId="520AB444">
            <w:pPr>
              <w:spacing w:line="460" w:lineRule="exact"/>
              <w:ind w:firstLine="480" w:firstLineChars="200"/>
              <w:rPr>
                <w:sz w:val="24"/>
              </w:rPr>
            </w:pPr>
            <w:r>
              <w:rPr>
                <w:rFonts w:hint="eastAsia"/>
                <w:sz w:val="24"/>
              </w:rPr>
              <w:t>由表16和17的检测数据可知，建设路厂区电镀车间废水排放口</w:t>
            </w:r>
            <w:r>
              <w:rPr>
                <w:bCs/>
                <w:sz w:val="24"/>
              </w:rPr>
              <w:t>p</w:t>
            </w:r>
            <w:r>
              <w:rPr>
                <w:rFonts w:hint="eastAsia"/>
                <w:bCs/>
                <w:sz w:val="24"/>
              </w:rPr>
              <w:t>H、总镍、总镉、总铬、六价铬排放浓度均能满足</w:t>
            </w:r>
            <w:r>
              <w:rPr>
                <w:rFonts w:hint="eastAsia"/>
                <w:sz w:val="24"/>
              </w:rPr>
              <w:t>《电镀污染物排放标准》（GB21900-2008）表2车间或生产设施废水排放口处</w:t>
            </w:r>
            <w:r>
              <w:rPr>
                <w:bCs/>
                <w:sz w:val="24"/>
              </w:rPr>
              <w:t>p</w:t>
            </w:r>
            <w:r>
              <w:rPr>
                <w:rFonts w:hint="eastAsia"/>
                <w:bCs/>
                <w:sz w:val="24"/>
              </w:rPr>
              <w:t>H6~9、总镍0.5</w:t>
            </w:r>
            <w:r>
              <w:rPr>
                <w:bCs/>
                <w:sz w:val="24"/>
              </w:rPr>
              <w:t>mg/L</w:t>
            </w:r>
            <w:r>
              <w:rPr>
                <w:rFonts w:hint="eastAsia"/>
                <w:bCs/>
                <w:sz w:val="24"/>
              </w:rPr>
              <w:t>、总镉0.05</w:t>
            </w:r>
            <w:r>
              <w:rPr>
                <w:bCs/>
                <w:sz w:val="24"/>
              </w:rPr>
              <w:t>mg/L</w:t>
            </w:r>
            <w:r>
              <w:rPr>
                <w:rFonts w:hint="eastAsia"/>
                <w:bCs/>
                <w:sz w:val="24"/>
              </w:rPr>
              <w:t>、总铬1.0</w:t>
            </w:r>
            <w:r>
              <w:rPr>
                <w:bCs/>
                <w:sz w:val="24"/>
              </w:rPr>
              <w:t>mg/L</w:t>
            </w:r>
            <w:r>
              <w:rPr>
                <w:rFonts w:hint="eastAsia"/>
                <w:bCs/>
                <w:sz w:val="24"/>
              </w:rPr>
              <w:t>、六价铬0.2</w:t>
            </w:r>
            <w:r>
              <w:rPr>
                <w:bCs/>
                <w:sz w:val="24"/>
              </w:rPr>
              <w:t>mg/L</w:t>
            </w:r>
            <w:r>
              <w:rPr>
                <w:rFonts w:hint="eastAsia"/>
                <w:sz w:val="24"/>
              </w:rPr>
              <w:t>的限值要求；厂区总排口废水污染物</w:t>
            </w:r>
            <w:r>
              <w:rPr>
                <w:bCs/>
                <w:sz w:val="24"/>
              </w:rPr>
              <w:t>p</w:t>
            </w:r>
            <w:r>
              <w:rPr>
                <w:rFonts w:hint="eastAsia"/>
                <w:bCs/>
                <w:sz w:val="24"/>
              </w:rPr>
              <w:t>H、</w:t>
            </w:r>
            <w:r>
              <w:rPr>
                <w:bCs/>
                <w:sz w:val="24"/>
              </w:rPr>
              <w:t>COD、SS、NH</w:t>
            </w:r>
            <w:r>
              <w:rPr>
                <w:bCs/>
                <w:sz w:val="24"/>
                <w:vertAlign w:val="subscript"/>
              </w:rPr>
              <w:t>3</w:t>
            </w:r>
            <w:r>
              <w:rPr>
                <w:bCs/>
                <w:sz w:val="24"/>
              </w:rPr>
              <w:t>-N、TP、TN</w:t>
            </w:r>
            <w:r>
              <w:rPr>
                <w:rFonts w:hint="eastAsia"/>
                <w:sz w:val="24"/>
              </w:rPr>
              <w:t>排放浓度能够满足</w:t>
            </w:r>
            <w:r>
              <w:rPr>
                <w:bCs/>
                <w:sz w:val="24"/>
              </w:rPr>
              <w:t>小尚庄污水处理厂p</w:t>
            </w:r>
            <w:r>
              <w:rPr>
                <w:rFonts w:hint="eastAsia"/>
                <w:bCs/>
                <w:sz w:val="24"/>
              </w:rPr>
              <w:t>H6~9、</w:t>
            </w:r>
            <w:r>
              <w:rPr>
                <w:bCs/>
                <w:sz w:val="24"/>
              </w:rPr>
              <w:t>COD≤350mg/L、SS≤250mg/L、NH</w:t>
            </w:r>
            <w:r>
              <w:rPr>
                <w:bCs/>
                <w:sz w:val="24"/>
                <w:vertAlign w:val="subscript"/>
              </w:rPr>
              <w:t>3</w:t>
            </w:r>
            <w:r>
              <w:rPr>
                <w:bCs/>
                <w:sz w:val="24"/>
              </w:rPr>
              <w:t>-N≤30mg/L、TP≤3mg/L、TN≤40mg/L的</w:t>
            </w:r>
            <w:r>
              <w:rPr>
                <w:sz w:val="24"/>
              </w:rPr>
              <w:t>收水标准</w:t>
            </w:r>
            <w:r>
              <w:rPr>
                <w:bCs/>
                <w:sz w:val="24"/>
              </w:rPr>
              <w:t>和</w:t>
            </w:r>
            <w:r>
              <w:rPr>
                <w:rFonts w:hint="eastAsia"/>
                <w:sz w:val="24"/>
              </w:rPr>
              <w:t>《</w:t>
            </w:r>
            <w:r>
              <w:rPr>
                <w:bCs/>
                <w:sz w:val="24"/>
              </w:rPr>
              <w:t>污水综合排放标准</w:t>
            </w:r>
            <w:r>
              <w:rPr>
                <w:rFonts w:hint="eastAsia"/>
                <w:sz w:val="24"/>
              </w:rPr>
              <w:t>》</w:t>
            </w:r>
            <w:r>
              <w:rPr>
                <w:bCs/>
                <w:sz w:val="24"/>
              </w:rPr>
              <w:t>（GB8978-1996）</w:t>
            </w:r>
            <w:r>
              <w:rPr>
                <w:rFonts w:hint="eastAsia"/>
                <w:bCs/>
                <w:sz w:val="24"/>
              </w:rPr>
              <w:t>表4二级</w:t>
            </w:r>
            <w:r>
              <w:rPr>
                <w:sz w:val="24"/>
              </w:rPr>
              <w:t>COD</w:t>
            </w:r>
            <w:r>
              <w:rPr>
                <w:rFonts w:hint="eastAsia"/>
                <w:sz w:val="24"/>
              </w:rPr>
              <w:t>150</w:t>
            </w:r>
            <w:r>
              <w:rPr>
                <w:sz w:val="24"/>
              </w:rPr>
              <w:t>mg/L、SS</w:t>
            </w:r>
            <w:r>
              <w:rPr>
                <w:rFonts w:hint="eastAsia"/>
                <w:sz w:val="24"/>
              </w:rPr>
              <w:t>150</w:t>
            </w:r>
            <w:r>
              <w:rPr>
                <w:sz w:val="24"/>
              </w:rPr>
              <w:t>mg/L、NH</w:t>
            </w:r>
            <w:r>
              <w:rPr>
                <w:sz w:val="24"/>
                <w:vertAlign w:val="subscript"/>
              </w:rPr>
              <w:t>3</w:t>
            </w:r>
            <w:r>
              <w:rPr>
                <w:sz w:val="24"/>
              </w:rPr>
              <w:t>-N</w:t>
            </w:r>
            <w:r>
              <w:rPr>
                <w:rFonts w:hint="eastAsia"/>
                <w:sz w:val="24"/>
              </w:rPr>
              <w:t>25</w:t>
            </w:r>
            <w:r>
              <w:rPr>
                <w:sz w:val="24"/>
              </w:rPr>
              <w:t>mg/L、TP</w:t>
            </w:r>
            <w:r>
              <w:rPr>
                <w:rFonts w:hint="eastAsia"/>
                <w:sz w:val="24"/>
              </w:rPr>
              <w:t>1.0</w:t>
            </w:r>
            <w:r>
              <w:rPr>
                <w:sz w:val="24"/>
              </w:rPr>
              <w:t>mg/L</w:t>
            </w:r>
            <w:r>
              <w:rPr>
                <w:rFonts w:hint="eastAsia"/>
                <w:sz w:val="24"/>
              </w:rPr>
              <w:t>，</w:t>
            </w:r>
            <w:r>
              <w:rPr>
                <w:bCs/>
                <w:sz w:val="24"/>
              </w:rPr>
              <w:t>石油类、总铜、总锌、总氰化物排放浓度</w:t>
            </w:r>
            <w:r>
              <w:rPr>
                <w:rFonts w:hint="eastAsia"/>
                <w:bCs/>
                <w:sz w:val="24"/>
              </w:rPr>
              <w:t>均能满足</w:t>
            </w:r>
            <w:r>
              <w:rPr>
                <w:rFonts w:hint="eastAsia"/>
                <w:sz w:val="24"/>
              </w:rPr>
              <w:t>《电镀污染物排放标准》（GB21900-2008）表2企业废水总排放口</w:t>
            </w:r>
            <w:r>
              <w:rPr>
                <w:bCs/>
                <w:sz w:val="24"/>
              </w:rPr>
              <w:t>石油类</w:t>
            </w:r>
            <w:r>
              <w:rPr>
                <w:rFonts w:hint="eastAsia"/>
                <w:bCs/>
                <w:sz w:val="24"/>
              </w:rPr>
              <w:t>3.0</w:t>
            </w:r>
            <w:r>
              <w:rPr>
                <w:bCs/>
                <w:sz w:val="24"/>
              </w:rPr>
              <w:t>mg/L、总铜</w:t>
            </w:r>
            <w:r>
              <w:rPr>
                <w:rFonts w:hint="eastAsia"/>
                <w:bCs/>
                <w:sz w:val="24"/>
              </w:rPr>
              <w:t>0.5</w:t>
            </w:r>
            <w:r>
              <w:rPr>
                <w:bCs/>
                <w:sz w:val="24"/>
              </w:rPr>
              <w:t>mg/L、总锌</w:t>
            </w:r>
            <w:r>
              <w:rPr>
                <w:rFonts w:hint="eastAsia"/>
                <w:bCs/>
                <w:sz w:val="24"/>
              </w:rPr>
              <w:t>1.5</w:t>
            </w:r>
            <w:r>
              <w:rPr>
                <w:bCs/>
                <w:sz w:val="24"/>
              </w:rPr>
              <w:t>mg/L、总氰化物</w:t>
            </w:r>
            <w:r>
              <w:rPr>
                <w:rFonts w:hint="eastAsia"/>
                <w:bCs/>
                <w:sz w:val="24"/>
              </w:rPr>
              <w:t>0.3</w:t>
            </w:r>
            <w:r>
              <w:rPr>
                <w:bCs/>
                <w:sz w:val="24"/>
              </w:rPr>
              <w:t>mg/L</w:t>
            </w:r>
            <w:r>
              <w:rPr>
                <w:rFonts w:hint="eastAsia"/>
                <w:sz w:val="24"/>
              </w:rPr>
              <w:t>的限值要求。</w:t>
            </w:r>
          </w:p>
          <w:p w14:paraId="520AB445">
            <w:pPr>
              <w:spacing w:line="460" w:lineRule="exact"/>
              <w:ind w:firstLine="480" w:firstLineChars="200"/>
              <w:rPr>
                <w:sz w:val="24"/>
                <w:highlight w:val="yellow"/>
              </w:rPr>
            </w:pPr>
            <w:r>
              <w:rPr>
                <w:rFonts w:hint="eastAsia"/>
                <w:sz w:val="24"/>
              </w:rPr>
              <w:t>现有工程综合废水经厂区现有综合废水处理设施处理后经污水管网排入小尚庄污水处理厂进一步处理，处理后排入卫河，小尚庄污水处理厂出水水质满足</w:t>
            </w:r>
            <w:r>
              <w:rPr>
                <w:bCs/>
                <w:sz w:val="24"/>
              </w:rPr>
              <w:t>COD</w:t>
            </w:r>
            <w:r>
              <w:rPr>
                <w:rFonts w:hint="eastAsia"/>
                <w:bCs/>
                <w:sz w:val="24"/>
              </w:rPr>
              <w:t xml:space="preserve"> </w:t>
            </w:r>
            <w:r>
              <w:rPr>
                <w:bCs/>
                <w:sz w:val="24"/>
              </w:rPr>
              <w:t>50mg/L、SS</w:t>
            </w:r>
            <w:r>
              <w:rPr>
                <w:rFonts w:hint="eastAsia"/>
                <w:bCs/>
                <w:sz w:val="24"/>
              </w:rPr>
              <w:t xml:space="preserve"> 1</w:t>
            </w:r>
            <w:r>
              <w:rPr>
                <w:bCs/>
                <w:sz w:val="24"/>
              </w:rPr>
              <w:t>0mg/L、NH</w:t>
            </w:r>
            <w:r>
              <w:rPr>
                <w:bCs/>
                <w:sz w:val="24"/>
                <w:vertAlign w:val="subscript"/>
              </w:rPr>
              <w:t>3</w:t>
            </w:r>
            <w:r>
              <w:rPr>
                <w:bCs/>
                <w:sz w:val="24"/>
              </w:rPr>
              <w:t>-N</w:t>
            </w:r>
            <w:r>
              <w:rPr>
                <w:rFonts w:hint="eastAsia"/>
                <w:bCs/>
                <w:sz w:val="24"/>
              </w:rPr>
              <w:t xml:space="preserve"> 5</w:t>
            </w:r>
            <w:r>
              <w:rPr>
                <w:bCs/>
                <w:sz w:val="24"/>
              </w:rPr>
              <w:t>mg/L、TP</w:t>
            </w:r>
            <w:r>
              <w:rPr>
                <w:rFonts w:hint="eastAsia"/>
                <w:bCs/>
                <w:sz w:val="24"/>
              </w:rPr>
              <w:t xml:space="preserve"> 0.5</w:t>
            </w:r>
            <w:r>
              <w:rPr>
                <w:bCs/>
                <w:sz w:val="24"/>
              </w:rPr>
              <w:t>mg/L、TN</w:t>
            </w:r>
            <w:r>
              <w:rPr>
                <w:rFonts w:hint="eastAsia"/>
                <w:bCs/>
                <w:sz w:val="24"/>
              </w:rPr>
              <w:t xml:space="preserve"> 15</w:t>
            </w:r>
            <w:r>
              <w:rPr>
                <w:bCs/>
                <w:sz w:val="24"/>
              </w:rPr>
              <w:t>mg/L</w:t>
            </w:r>
            <w:r>
              <w:rPr>
                <w:rFonts w:hint="eastAsia"/>
                <w:sz w:val="24"/>
              </w:rPr>
              <w:t>限值要求。</w:t>
            </w:r>
          </w:p>
          <w:p w14:paraId="520AB446">
            <w:pPr>
              <w:spacing w:line="460" w:lineRule="exact"/>
              <w:ind w:firstLine="482" w:firstLineChars="200"/>
              <w:rPr>
                <w:rFonts w:hint="eastAsia" w:ascii="宋体" w:hAnsi="宋体"/>
                <w:b/>
                <w:bCs/>
                <w:sz w:val="24"/>
              </w:rPr>
            </w:pPr>
            <w:r>
              <w:rPr>
                <w:rFonts w:hint="eastAsia" w:ascii="宋体" w:hAnsi="宋体"/>
                <w:b/>
                <w:bCs/>
                <w:sz w:val="24"/>
              </w:rPr>
              <w:t>I</w:t>
            </w:r>
            <w:r>
              <w:rPr>
                <w:rFonts w:ascii="宋体" w:hAnsi="宋体"/>
                <w:b/>
                <w:bCs/>
                <w:sz w:val="24"/>
              </w:rPr>
              <w:t>I</w:t>
            </w:r>
            <w:r>
              <w:rPr>
                <w:rFonts w:hint="eastAsia" w:ascii="宋体" w:hAnsi="宋体"/>
                <w:b/>
                <w:bCs/>
                <w:sz w:val="24"/>
              </w:rPr>
              <w:t>）在建工程</w:t>
            </w:r>
          </w:p>
          <w:p w14:paraId="520AB447">
            <w:pPr>
              <w:adjustRightInd w:val="0"/>
              <w:snapToGrid w:val="0"/>
              <w:spacing w:line="460" w:lineRule="exact"/>
              <w:ind w:firstLine="480" w:firstLineChars="200"/>
              <w:rPr>
                <w:sz w:val="24"/>
                <w:szCs w:val="28"/>
              </w:rPr>
            </w:pPr>
            <w:r>
              <w:rPr>
                <w:rFonts w:hint="eastAsia"/>
                <w:sz w:val="24"/>
                <w:szCs w:val="28"/>
              </w:rPr>
              <w:t>建设路厂区在建工程新增外排淬火水槽废水</w:t>
            </w:r>
            <w:r>
              <w:rPr>
                <w:sz w:val="24"/>
                <w:szCs w:val="28"/>
              </w:rPr>
              <w:t>6</w:t>
            </w:r>
            <w:r>
              <w:rPr>
                <w:rFonts w:hint="eastAsia"/>
                <w:sz w:val="24"/>
                <w:szCs w:val="28"/>
              </w:rPr>
              <w:t>0</w:t>
            </w:r>
            <w:r>
              <w:rPr>
                <w:sz w:val="24"/>
                <w:szCs w:val="28"/>
              </w:rPr>
              <w:t>m</w:t>
            </w:r>
            <w:r>
              <w:rPr>
                <w:sz w:val="24"/>
                <w:szCs w:val="28"/>
                <w:vertAlign w:val="superscript"/>
              </w:rPr>
              <w:t>3</w:t>
            </w:r>
            <w:r>
              <w:rPr>
                <w:sz w:val="24"/>
                <w:szCs w:val="28"/>
              </w:rPr>
              <w:t>/a</w:t>
            </w:r>
            <w:r>
              <w:rPr>
                <w:rFonts w:hint="eastAsia"/>
                <w:sz w:val="24"/>
                <w:szCs w:val="28"/>
              </w:rPr>
              <w:t>、氨吸收塔废水</w:t>
            </w:r>
            <w:r>
              <w:rPr>
                <w:sz w:val="24"/>
                <w:szCs w:val="28"/>
              </w:rPr>
              <w:t>6m</w:t>
            </w:r>
            <w:r>
              <w:rPr>
                <w:sz w:val="24"/>
                <w:szCs w:val="28"/>
                <w:vertAlign w:val="superscript"/>
              </w:rPr>
              <w:t>3</w:t>
            </w:r>
            <w:r>
              <w:rPr>
                <w:sz w:val="24"/>
                <w:szCs w:val="28"/>
              </w:rPr>
              <w:t>/a</w:t>
            </w:r>
            <w:r>
              <w:rPr>
                <w:rFonts w:hint="eastAsia"/>
                <w:sz w:val="24"/>
                <w:szCs w:val="28"/>
              </w:rPr>
              <w:t>、生活污水360</w:t>
            </w:r>
            <w:r>
              <w:rPr>
                <w:sz w:val="24"/>
                <w:szCs w:val="28"/>
              </w:rPr>
              <w:t>m</w:t>
            </w:r>
            <w:r>
              <w:rPr>
                <w:sz w:val="24"/>
                <w:szCs w:val="28"/>
                <w:vertAlign w:val="superscript"/>
              </w:rPr>
              <w:t>3</w:t>
            </w:r>
            <w:r>
              <w:rPr>
                <w:sz w:val="24"/>
                <w:szCs w:val="28"/>
              </w:rPr>
              <w:t>/a</w:t>
            </w:r>
            <w:r>
              <w:rPr>
                <w:rFonts w:hint="eastAsia"/>
                <w:sz w:val="24"/>
                <w:szCs w:val="28"/>
              </w:rPr>
              <w:t>、磨料水射流机废水48</w:t>
            </w:r>
            <w:r>
              <w:rPr>
                <w:sz w:val="24"/>
                <w:szCs w:val="28"/>
              </w:rPr>
              <w:t>m</w:t>
            </w:r>
            <w:r>
              <w:rPr>
                <w:sz w:val="24"/>
                <w:szCs w:val="28"/>
                <w:vertAlign w:val="superscript"/>
              </w:rPr>
              <w:t>3</w:t>
            </w:r>
            <w:r>
              <w:rPr>
                <w:sz w:val="24"/>
                <w:szCs w:val="28"/>
              </w:rPr>
              <w:t>/a</w:t>
            </w:r>
            <w:r>
              <w:rPr>
                <w:rFonts w:hint="eastAsia"/>
                <w:sz w:val="24"/>
                <w:szCs w:val="28"/>
              </w:rPr>
              <w:t>、超声波清洗废水</w:t>
            </w:r>
            <w:r>
              <w:rPr>
                <w:sz w:val="24"/>
                <w:szCs w:val="28"/>
              </w:rPr>
              <w:t>6</w:t>
            </w:r>
            <w:r>
              <w:rPr>
                <w:rFonts w:hint="eastAsia"/>
                <w:sz w:val="24"/>
                <w:szCs w:val="28"/>
              </w:rPr>
              <w:t>0</w:t>
            </w:r>
            <w:r>
              <w:rPr>
                <w:sz w:val="24"/>
                <w:szCs w:val="28"/>
              </w:rPr>
              <w:t>m</w:t>
            </w:r>
            <w:r>
              <w:rPr>
                <w:sz w:val="24"/>
                <w:szCs w:val="28"/>
                <w:vertAlign w:val="superscript"/>
              </w:rPr>
              <w:t>3</w:t>
            </w:r>
            <w:r>
              <w:rPr>
                <w:sz w:val="24"/>
                <w:szCs w:val="28"/>
              </w:rPr>
              <w:t>/a</w:t>
            </w:r>
            <w:r>
              <w:rPr>
                <w:rFonts w:hint="eastAsia"/>
                <w:sz w:val="24"/>
                <w:szCs w:val="28"/>
              </w:rPr>
              <w:t>、气密试验废水800</w:t>
            </w:r>
            <w:r>
              <w:rPr>
                <w:sz w:val="24"/>
                <w:szCs w:val="28"/>
              </w:rPr>
              <w:t>m</w:t>
            </w:r>
            <w:r>
              <w:rPr>
                <w:sz w:val="24"/>
                <w:szCs w:val="28"/>
                <w:vertAlign w:val="superscript"/>
              </w:rPr>
              <w:t>3</w:t>
            </w:r>
            <w:r>
              <w:rPr>
                <w:sz w:val="24"/>
                <w:szCs w:val="28"/>
              </w:rPr>
              <w:t>/a，进入厂区综合废水处理设施（格栅渠-隔油池-调节池-混凝反应池-沉淀池1-水解酸化池-接触氧化池-沉淀池2-沉淀池3-清水池）处理后经厂区总排口排入小尚庄污水处理厂，根据在建工程环评报告水质分析，外排废水水质为pH</w:t>
            </w:r>
            <w:r>
              <w:rPr>
                <w:rFonts w:hint="eastAsia"/>
                <w:sz w:val="24"/>
                <w:szCs w:val="28"/>
              </w:rPr>
              <w:t xml:space="preserve"> </w:t>
            </w:r>
            <w:r>
              <w:rPr>
                <w:sz w:val="24"/>
                <w:szCs w:val="28"/>
              </w:rPr>
              <w:t>7.5、COD 74mg/L、SS 15mg/L、NH</w:t>
            </w:r>
            <w:r>
              <w:rPr>
                <w:sz w:val="24"/>
                <w:szCs w:val="28"/>
                <w:vertAlign w:val="subscript"/>
              </w:rPr>
              <w:t>3</w:t>
            </w:r>
            <w:r>
              <w:rPr>
                <w:sz w:val="24"/>
                <w:szCs w:val="28"/>
              </w:rPr>
              <w:t>-N 20.3mg/L、TN 27.8mg/L、TP 0.87mg/L、石油类0.48mg/L、总铜0.05L、总锌0.05L、总氰化物0.004L，满足小尚庄污水处理厂pH 6~9、COD≤350mg/L、SS≤250mg/L、NH</w:t>
            </w:r>
            <w:r>
              <w:rPr>
                <w:sz w:val="24"/>
                <w:szCs w:val="28"/>
                <w:vertAlign w:val="subscript"/>
              </w:rPr>
              <w:t>3</w:t>
            </w:r>
            <w:r>
              <w:rPr>
                <w:sz w:val="24"/>
                <w:szCs w:val="28"/>
              </w:rPr>
              <w:t>-N≤30mg/L、TP≤3mg/L、TN≤40mg/L的收水标准和《污水综合排放标准》（GB8978-1996）表4二级COD 150mg/L、SS 150mg/L、NH</w:t>
            </w:r>
            <w:r>
              <w:rPr>
                <w:sz w:val="24"/>
                <w:szCs w:val="28"/>
                <w:vertAlign w:val="subscript"/>
              </w:rPr>
              <w:t>3</w:t>
            </w:r>
            <w:r>
              <w:rPr>
                <w:sz w:val="24"/>
                <w:szCs w:val="28"/>
              </w:rPr>
              <w:t>-N 25mg/L、TP 1.0mg/L的标准要求</w:t>
            </w:r>
            <w:r>
              <w:rPr>
                <w:rFonts w:hint="eastAsia"/>
                <w:sz w:val="24"/>
                <w:szCs w:val="28"/>
              </w:rPr>
              <w:t>，石油类、总铜、总锌、总氰化物排放浓度均能满足《电镀污染物排放标准》（</w:t>
            </w:r>
            <w:r>
              <w:rPr>
                <w:sz w:val="24"/>
                <w:szCs w:val="28"/>
              </w:rPr>
              <w:t>GB21900-2008）表2企业废水总排放口石油类3.0mg/L、总铜0.5mg/L、总锌1.5mg/L、总氰化物0.3mg/L的限值要求。</w:t>
            </w:r>
          </w:p>
          <w:p w14:paraId="520AB448">
            <w:pPr>
              <w:spacing w:line="460" w:lineRule="exact"/>
              <w:ind w:firstLine="480" w:firstLineChars="200"/>
              <w:rPr>
                <w:sz w:val="24"/>
              </w:rPr>
            </w:pPr>
            <w:r>
              <w:rPr>
                <w:rFonts w:hint="eastAsia"/>
                <w:sz w:val="24"/>
              </w:rPr>
              <w:t>根据环评报告及批复可知，在建工程外排</w:t>
            </w:r>
            <w:r>
              <w:rPr>
                <w:sz w:val="24"/>
              </w:rPr>
              <w:t>废水经</w:t>
            </w:r>
            <w:r>
              <w:rPr>
                <w:rFonts w:hint="eastAsia"/>
                <w:sz w:val="24"/>
              </w:rPr>
              <w:t>小尚庄污水处理厂</w:t>
            </w:r>
            <w:r>
              <w:rPr>
                <w:sz w:val="24"/>
              </w:rPr>
              <w:t>处理后废水污染物排</w:t>
            </w:r>
            <w:r>
              <w:rPr>
                <w:rFonts w:hint="eastAsia"/>
                <w:sz w:val="24"/>
              </w:rPr>
              <w:t>入环境</w:t>
            </w:r>
            <w:r>
              <w:rPr>
                <w:sz w:val="24"/>
              </w:rPr>
              <w:t xml:space="preserve">总量：COD </w:t>
            </w:r>
            <w:r>
              <w:rPr>
                <w:rFonts w:hint="eastAsia"/>
                <w:sz w:val="24"/>
              </w:rPr>
              <w:t>0.056</w:t>
            </w:r>
            <w:r>
              <w:rPr>
                <w:sz w:val="24"/>
              </w:rPr>
              <w:t>4t/a、NH</w:t>
            </w:r>
            <w:r>
              <w:rPr>
                <w:sz w:val="24"/>
                <w:vertAlign w:val="subscript"/>
              </w:rPr>
              <w:t>3</w:t>
            </w:r>
            <w:r>
              <w:rPr>
                <w:sz w:val="24"/>
              </w:rPr>
              <w:t>-N 0.</w:t>
            </w:r>
            <w:r>
              <w:rPr>
                <w:rFonts w:hint="eastAsia"/>
                <w:sz w:val="24"/>
              </w:rPr>
              <w:t>001</w:t>
            </w:r>
            <w:r>
              <w:rPr>
                <w:sz w:val="24"/>
              </w:rPr>
              <w:t>0t/a、TP 0.0</w:t>
            </w:r>
            <w:r>
              <w:rPr>
                <w:rFonts w:hint="eastAsia"/>
                <w:sz w:val="24"/>
              </w:rPr>
              <w:t>005</w:t>
            </w:r>
            <w:r>
              <w:rPr>
                <w:sz w:val="24"/>
              </w:rPr>
              <w:t>t/a、TN 0.</w:t>
            </w:r>
            <w:r>
              <w:rPr>
                <w:rFonts w:hint="eastAsia"/>
                <w:sz w:val="24"/>
              </w:rPr>
              <w:t>0069</w:t>
            </w:r>
            <w:r>
              <w:rPr>
                <w:sz w:val="24"/>
              </w:rPr>
              <w:t>t/a</w:t>
            </w:r>
            <w:r>
              <w:rPr>
                <w:rFonts w:hint="eastAsia"/>
                <w:sz w:val="24"/>
              </w:rPr>
              <w:t>。</w:t>
            </w:r>
          </w:p>
          <w:p w14:paraId="520AB449">
            <w:pPr>
              <w:spacing w:line="460" w:lineRule="exact"/>
              <w:ind w:firstLine="482" w:firstLineChars="200"/>
              <w:rPr>
                <w:b/>
                <w:sz w:val="24"/>
              </w:rPr>
            </w:pPr>
            <w:r>
              <w:rPr>
                <w:rFonts w:hint="eastAsia"/>
                <w:b/>
                <w:sz w:val="24"/>
              </w:rPr>
              <w:t>（Ⅲ）废水排放总量</w:t>
            </w:r>
          </w:p>
          <w:p w14:paraId="520AB44A">
            <w:pPr>
              <w:adjustRightInd w:val="0"/>
              <w:snapToGrid w:val="0"/>
              <w:spacing w:line="460" w:lineRule="exact"/>
              <w:ind w:firstLine="480" w:firstLineChars="200"/>
              <w:textAlignment w:val="baseline"/>
              <w:rPr>
                <w:kern w:val="0"/>
                <w:sz w:val="24"/>
              </w:rPr>
            </w:pPr>
            <w:r>
              <w:rPr>
                <w:rFonts w:hint="eastAsia"/>
                <w:kern w:val="0"/>
                <w:sz w:val="24"/>
              </w:rPr>
              <w:t>建设路厂区现有工程满负荷运行时废水污染物最大实际排放总量及许可排放总量情况见下表：</w:t>
            </w:r>
          </w:p>
          <w:p w14:paraId="520AB44B">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21</w:t>
            </w:r>
            <w:r>
              <w:rPr>
                <w:rFonts w:eastAsia="黑体"/>
                <w:sz w:val="24"/>
              </w:rPr>
              <w:t xml:space="preserve">         </w:t>
            </w:r>
            <w:r>
              <w:rPr>
                <w:rFonts w:hint="eastAsia" w:eastAsia="黑体"/>
                <w:sz w:val="24"/>
              </w:rPr>
              <w:t xml:space="preserve"> 建设路厂区</w:t>
            </w:r>
            <w:r>
              <w:rPr>
                <w:rFonts w:eastAsia="黑体"/>
                <w:sz w:val="24"/>
              </w:rPr>
              <w:t>现有工程废水污染物排放情况</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317"/>
              <w:gridCol w:w="1559"/>
              <w:gridCol w:w="2125"/>
              <w:gridCol w:w="1703"/>
              <w:gridCol w:w="1365"/>
            </w:tblGrid>
            <w:tr w14:paraId="520AB44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6" w:type="pct"/>
                  <w:vMerge w:val="restart"/>
                  <w:vAlign w:val="center"/>
                </w:tcPr>
                <w:p w14:paraId="520AB44C">
                  <w:pPr>
                    <w:jc w:val="center"/>
                    <w:rPr>
                      <w:b/>
                      <w:szCs w:val="20"/>
                    </w:rPr>
                  </w:pPr>
                  <w:r>
                    <w:rPr>
                      <w:b/>
                      <w:szCs w:val="20"/>
                    </w:rPr>
                    <w:t>污染物</w:t>
                  </w:r>
                </w:p>
              </w:tc>
              <w:tc>
                <w:tcPr>
                  <w:tcW w:w="3338" w:type="pct"/>
                  <w:gridSpan w:val="3"/>
                  <w:vAlign w:val="center"/>
                </w:tcPr>
                <w:p w14:paraId="520AB44D">
                  <w:pPr>
                    <w:jc w:val="center"/>
                    <w:rPr>
                      <w:b/>
                      <w:szCs w:val="20"/>
                    </w:rPr>
                  </w:pPr>
                  <w:r>
                    <w:rPr>
                      <w:rFonts w:hint="eastAsia"/>
                      <w:b/>
                      <w:szCs w:val="20"/>
                    </w:rPr>
                    <w:t>已建工程</w:t>
                  </w:r>
                </w:p>
              </w:tc>
              <w:tc>
                <w:tcPr>
                  <w:tcW w:w="846" w:type="pct"/>
                  <w:vMerge w:val="restart"/>
                  <w:vAlign w:val="center"/>
                </w:tcPr>
                <w:p w14:paraId="520AB44E">
                  <w:pPr>
                    <w:jc w:val="center"/>
                    <w:rPr>
                      <w:b/>
                      <w:szCs w:val="20"/>
                    </w:rPr>
                  </w:pPr>
                  <w:r>
                    <w:rPr>
                      <w:rFonts w:hint="eastAsia"/>
                      <w:b/>
                      <w:szCs w:val="20"/>
                    </w:rPr>
                    <w:t>在建工程环评批复量(t/a</w:t>
                  </w:r>
                  <w:r>
                    <w:rPr>
                      <w:b/>
                      <w:szCs w:val="20"/>
                    </w:rPr>
                    <w:t>)</w:t>
                  </w:r>
                  <w:r>
                    <w:rPr>
                      <w:rFonts w:hint="eastAsia"/>
                      <w:b/>
                      <w:szCs w:val="20"/>
                    </w:rPr>
                    <w:t>（排环境）</w:t>
                  </w:r>
                </w:p>
              </w:tc>
            </w:tr>
            <w:tr w14:paraId="520AB45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6" w:type="pct"/>
                  <w:vMerge w:val="continue"/>
                  <w:vAlign w:val="center"/>
                </w:tcPr>
                <w:p w14:paraId="520AB450">
                  <w:pPr>
                    <w:jc w:val="center"/>
                    <w:rPr>
                      <w:b/>
                      <w:szCs w:val="20"/>
                    </w:rPr>
                  </w:pPr>
                </w:p>
              </w:tc>
              <w:tc>
                <w:tcPr>
                  <w:tcW w:w="966" w:type="pct"/>
                  <w:vAlign w:val="center"/>
                </w:tcPr>
                <w:p w14:paraId="520AB451">
                  <w:pPr>
                    <w:jc w:val="center"/>
                    <w:rPr>
                      <w:b/>
                      <w:szCs w:val="20"/>
                    </w:rPr>
                  </w:pPr>
                  <w:r>
                    <w:rPr>
                      <w:b/>
                      <w:szCs w:val="20"/>
                    </w:rPr>
                    <w:t>排放浓度</w:t>
                  </w:r>
                  <w:r>
                    <w:rPr>
                      <w:rFonts w:hint="eastAsia"/>
                      <w:b/>
                      <w:szCs w:val="20"/>
                    </w:rPr>
                    <w:t>(</w:t>
                  </w:r>
                  <w:r>
                    <w:rPr>
                      <w:b/>
                      <w:szCs w:val="20"/>
                    </w:rPr>
                    <w:t>mg/</w:t>
                  </w:r>
                  <w:r>
                    <w:rPr>
                      <w:rFonts w:hint="eastAsia"/>
                      <w:b/>
                      <w:szCs w:val="20"/>
                    </w:rPr>
                    <w:t>L</w:t>
                  </w:r>
                  <w:r>
                    <w:rPr>
                      <w:b/>
                      <w:szCs w:val="20"/>
                    </w:rPr>
                    <w:t>)</w:t>
                  </w:r>
                </w:p>
              </w:tc>
              <w:tc>
                <w:tcPr>
                  <w:tcW w:w="1317" w:type="pct"/>
                  <w:vAlign w:val="center"/>
                </w:tcPr>
                <w:p w14:paraId="520AB452">
                  <w:pPr>
                    <w:jc w:val="center"/>
                    <w:rPr>
                      <w:b/>
                      <w:szCs w:val="20"/>
                    </w:rPr>
                  </w:pPr>
                  <w:r>
                    <w:rPr>
                      <w:b/>
                      <w:szCs w:val="20"/>
                    </w:rPr>
                    <w:t>满负荷实际排放量</w:t>
                  </w:r>
                  <w:r>
                    <w:rPr>
                      <w:rFonts w:hint="eastAsia"/>
                      <w:b/>
                      <w:szCs w:val="20"/>
                    </w:rPr>
                    <w:t>(t/a</w:t>
                  </w:r>
                  <w:r>
                    <w:rPr>
                      <w:b/>
                      <w:szCs w:val="20"/>
                    </w:rPr>
                    <w:t>)</w:t>
                  </w:r>
                </w:p>
              </w:tc>
              <w:tc>
                <w:tcPr>
                  <w:tcW w:w="1055" w:type="pct"/>
                  <w:vAlign w:val="center"/>
                </w:tcPr>
                <w:p w14:paraId="520AB453">
                  <w:pPr>
                    <w:jc w:val="center"/>
                    <w:rPr>
                      <w:b/>
                      <w:szCs w:val="20"/>
                    </w:rPr>
                  </w:pPr>
                  <w:r>
                    <w:rPr>
                      <w:rFonts w:hint="eastAsia"/>
                      <w:b/>
                      <w:szCs w:val="20"/>
                    </w:rPr>
                    <w:t>许可</w:t>
                  </w:r>
                  <w:r>
                    <w:rPr>
                      <w:b/>
                      <w:szCs w:val="20"/>
                    </w:rPr>
                    <w:t>排放量</w:t>
                  </w:r>
                  <w:r>
                    <w:rPr>
                      <w:rFonts w:hint="eastAsia"/>
                      <w:b/>
                      <w:szCs w:val="20"/>
                    </w:rPr>
                    <w:t>(t/a</w:t>
                  </w:r>
                  <w:r>
                    <w:rPr>
                      <w:b/>
                      <w:szCs w:val="20"/>
                    </w:rPr>
                    <w:t xml:space="preserve">) </w:t>
                  </w:r>
                </w:p>
              </w:tc>
              <w:tc>
                <w:tcPr>
                  <w:tcW w:w="846" w:type="pct"/>
                  <w:vMerge w:val="continue"/>
                  <w:vAlign w:val="center"/>
                </w:tcPr>
                <w:p w14:paraId="520AB454">
                  <w:pPr>
                    <w:jc w:val="center"/>
                    <w:rPr>
                      <w:b/>
                      <w:szCs w:val="20"/>
                    </w:rPr>
                  </w:pPr>
                </w:p>
              </w:tc>
            </w:tr>
            <w:tr w14:paraId="520AB45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6" w:type="pct"/>
                  <w:vAlign w:val="center"/>
                </w:tcPr>
                <w:p w14:paraId="520AB456">
                  <w:pPr>
                    <w:snapToGrid w:val="0"/>
                    <w:jc w:val="center"/>
                    <w:rPr>
                      <w:szCs w:val="21"/>
                    </w:rPr>
                  </w:pPr>
                  <w:r>
                    <w:rPr>
                      <w:rFonts w:hint="eastAsia"/>
                      <w:szCs w:val="21"/>
                    </w:rPr>
                    <w:t>废水量(m</w:t>
                  </w:r>
                  <w:r>
                    <w:rPr>
                      <w:rFonts w:hint="eastAsia"/>
                      <w:szCs w:val="21"/>
                      <w:vertAlign w:val="superscript"/>
                    </w:rPr>
                    <w:t>3</w:t>
                  </w:r>
                  <w:r>
                    <w:rPr>
                      <w:rFonts w:hint="eastAsia"/>
                      <w:szCs w:val="21"/>
                    </w:rPr>
                    <w:t>/a)</w:t>
                  </w:r>
                </w:p>
              </w:tc>
              <w:tc>
                <w:tcPr>
                  <w:tcW w:w="966" w:type="pct"/>
                  <w:vAlign w:val="center"/>
                </w:tcPr>
                <w:p w14:paraId="520AB457">
                  <w:pPr>
                    <w:snapToGrid w:val="0"/>
                    <w:jc w:val="center"/>
                    <w:rPr>
                      <w:szCs w:val="21"/>
                    </w:rPr>
                  </w:pPr>
                  <w:r>
                    <w:rPr>
                      <w:rFonts w:hint="eastAsia"/>
                    </w:rPr>
                    <w:t>/</w:t>
                  </w:r>
                </w:p>
              </w:tc>
              <w:tc>
                <w:tcPr>
                  <w:tcW w:w="1317" w:type="pct"/>
                  <w:vAlign w:val="center"/>
                </w:tcPr>
                <w:p w14:paraId="520AB458">
                  <w:pPr>
                    <w:snapToGrid w:val="0"/>
                    <w:jc w:val="center"/>
                    <w:rPr>
                      <w:szCs w:val="21"/>
                    </w:rPr>
                  </w:pPr>
                  <w:r>
                    <w:rPr>
                      <w:rFonts w:hint="eastAsia"/>
                      <w:szCs w:val="21"/>
                    </w:rPr>
                    <w:t>231982.8</w:t>
                  </w:r>
                </w:p>
              </w:tc>
              <w:tc>
                <w:tcPr>
                  <w:tcW w:w="1055" w:type="pct"/>
                  <w:vAlign w:val="center"/>
                </w:tcPr>
                <w:p w14:paraId="520AB459">
                  <w:pPr>
                    <w:jc w:val="center"/>
                    <w:rPr>
                      <w:szCs w:val="21"/>
                    </w:rPr>
                  </w:pPr>
                  <w:r>
                    <w:rPr>
                      <w:rFonts w:hint="eastAsia"/>
                      <w:szCs w:val="21"/>
                    </w:rPr>
                    <w:t>28800</w:t>
                  </w:r>
                  <w:r>
                    <w:rPr>
                      <w:szCs w:val="21"/>
                    </w:rPr>
                    <w:t>2.5</w:t>
                  </w:r>
                </w:p>
              </w:tc>
              <w:tc>
                <w:tcPr>
                  <w:tcW w:w="846" w:type="pct"/>
                  <w:vAlign w:val="center"/>
                </w:tcPr>
                <w:p w14:paraId="520AB45A">
                  <w:pPr>
                    <w:jc w:val="center"/>
                    <w:rPr>
                      <w:szCs w:val="21"/>
                    </w:rPr>
                  </w:pPr>
                  <w:r>
                    <w:rPr>
                      <w:szCs w:val="21"/>
                    </w:rPr>
                    <w:t>1334</w:t>
                  </w:r>
                </w:p>
              </w:tc>
            </w:tr>
            <w:tr w14:paraId="520AB46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6" w:type="pct"/>
                  <w:vAlign w:val="center"/>
                </w:tcPr>
                <w:p w14:paraId="520AB45C">
                  <w:pPr>
                    <w:snapToGrid w:val="0"/>
                    <w:jc w:val="center"/>
                    <w:rPr>
                      <w:szCs w:val="21"/>
                    </w:rPr>
                  </w:pPr>
                  <w:r>
                    <w:rPr>
                      <w:szCs w:val="21"/>
                    </w:rPr>
                    <w:t>COD</w:t>
                  </w:r>
                </w:p>
              </w:tc>
              <w:tc>
                <w:tcPr>
                  <w:tcW w:w="966" w:type="pct"/>
                  <w:vAlign w:val="center"/>
                </w:tcPr>
                <w:p w14:paraId="520AB45D">
                  <w:pPr>
                    <w:snapToGrid w:val="0"/>
                    <w:jc w:val="center"/>
                  </w:pPr>
                  <w:r>
                    <w:rPr>
                      <w:rFonts w:hint="eastAsia"/>
                    </w:rPr>
                    <w:t>50</w:t>
                  </w:r>
                </w:p>
              </w:tc>
              <w:tc>
                <w:tcPr>
                  <w:tcW w:w="1317" w:type="pct"/>
                  <w:vAlign w:val="center"/>
                </w:tcPr>
                <w:p w14:paraId="520AB45E">
                  <w:pPr>
                    <w:snapToGrid w:val="0"/>
                    <w:jc w:val="center"/>
                    <w:rPr>
                      <w:szCs w:val="21"/>
                    </w:rPr>
                  </w:pPr>
                  <w:r>
                    <w:rPr>
                      <w:rFonts w:hint="eastAsia"/>
                      <w:szCs w:val="21"/>
                    </w:rPr>
                    <w:t>11.5991</w:t>
                  </w:r>
                </w:p>
              </w:tc>
              <w:tc>
                <w:tcPr>
                  <w:tcW w:w="1055" w:type="pct"/>
                  <w:vAlign w:val="center"/>
                </w:tcPr>
                <w:p w14:paraId="520AB45F">
                  <w:pPr>
                    <w:jc w:val="center"/>
                    <w:rPr>
                      <w:szCs w:val="21"/>
                    </w:rPr>
                  </w:pPr>
                  <w:r>
                    <w:rPr>
                      <w:rFonts w:hint="eastAsia"/>
                    </w:rPr>
                    <w:t>14.4</w:t>
                  </w:r>
                  <w:r>
                    <w:t>0012</w:t>
                  </w:r>
                </w:p>
              </w:tc>
              <w:tc>
                <w:tcPr>
                  <w:tcW w:w="846" w:type="pct"/>
                  <w:vAlign w:val="center"/>
                </w:tcPr>
                <w:p w14:paraId="520AB460">
                  <w:pPr>
                    <w:jc w:val="center"/>
                    <w:rPr>
                      <w:szCs w:val="21"/>
                    </w:rPr>
                  </w:pPr>
                  <w:r>
                    <w:rPr>
                      <w:szCs w:val="21"/>
                    </w:rPr>
                    <w:t>0.0</w:t>
                  </w:r>
                  <w:r>
                    <w:rPr>
                      <w:rFonts w:hint="eastAsia"/>
                      <w:szCs w:val="21"/>
                    </w:rPr>
                    <w:t>56</w:t>
                  </w:r>
                  <w:r>
                    <w:rPr>
                      <w:szCs w:val="21"/>
                    </w:rPr>
                    <w:t>4</w:t>
                  </w:r>
                </w:p>
              </w:tc>
            </w:tr>
            <w:tr w14:paraId="520AB46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6" w:type="pct"/>
                  <w:vAlign w:val="center"/>
                </w:tcPr>
                <w:p w14:paraId="520AB462">
                  <w:pPr>
                    <w:snapToGrid w:val="0"/>
                    <w:jc w:val="center"/>
                    <w:rPr>
                      <w:szCs w:val="21"/>
                    </w:rPr>
                  </w:pPr>
                  <w:r>
                    <w:rPr>
                      <w:szCs w:val="21"/>
                    </w:rPr>
                    <w:t>NH</w:t>
                  </w:r>
                  <w:r>
                    <w:rPr>
                      <w:szCs w:val="21"/>
                      <w:vertAlign w:val="subscript"/>
                    </w:rPr>
                    <w:t>3</w:t>
                  </w:r>
                  <w:r>
                    <w:rPr>
                      <w:szCs w:val="21"/>
                    </w:rPr>
                    <w:t>-N</w:t>
                  </w:r>
                </w:p>
              </w:tc>
              <w:tc>
                <w:tcPr>
                  <w:tcW w:w="966" w:type="pct"/>
                  <w:vAlign w:val="center"/>
                </w:tcPr>
                <w:p w14:paraId="520AB463">
                  <w:pPr>
                    <w:snapToGrid w:val="0"/>
                    <w:jc w:val="center"/>
                    <w:rPr>
                      <w:szCs w:val="21"/>
                    </w:rPr>
                  </w:pPr>
                  <w:r>
                    <w:rPr>
                      <w:rFonts w:hint="eastAsia"/>
                      <w:szCs w:val="21"/>
                    </w:rPr>
                    <w:t>5</w:t>
                  </w:r>
                </w:p>
              </w:tc>
              <w:tc>
                <w:tcPr>
                  <w:tcW w:w="1317" w:type="pct"/>
                  <w:vAlign w:val="center"/>
                </w:tcPr>
                <w:p w14:paraId="520AB464">
                  <w:pPr>
                    <w:snapToGrid w:val="0"/>
                    <w:jc w:val="center"/>
                    <w:rPr>
                      <w:szCs w:val="21"/>
                    </w:rPr>
                  </w:pPr>
                  <w:r>
                    <w:rPr>
                      <w:rFonts w:hint="eastAsia"/>
                      <w:szCs w:val="21"/>
                    </w:rPr>
                    <w:t>1.1599</w:t>
                  </w:r>
                </w:p>
              </w:tc>
              <w:tc>
                <w:tcPr>
                  <w:tcW w:w="1055" w:type="pct"/>
                  <w:vAlign w:val="center"/>
                </w:tcPr>
                <w:p w14:paraId="520AB465">
                  <w:pPr>
                    <w:jc w:val="center"/>
                    <w:rPr>
                      <w:b/>
                      <w:bCs/>
                      <w:szCs w:val="21"/>
                    </w:rPr>
                  </w:pPr>
                  <w:r>
                    <w:rPr>
                      <w:rFonts w:hint="eastAsia"/>
                    </w:rPr>
                    <w:t>1.44</w:t>
                  </w:r>
                  <w:r>
                    <w:t>001</w:t>
                  </w:r>
                </w:p>
              </w:tc>
              <w:tc>
                <w:tcPr>
                  <w:tcW w:w="846" w:type="pct"/>
                  <w:vAlign w:val="center"/>
                </w:tcPr>
                <w:p w14:paraId="520AB466">
                  <w:pPr>
                    <w:jc w:val="center"/>
                    <w:rPr>
                      <w:szCs w:val="21"/>
                    </w:rPr>
                  </w:pPr>
                  <w:r>
                    <w:rPr>
                      <w:szCs w:val="21"/>
                    </w:rPr>
                    <w:t>0.00</w:t>
                  </w:r>
                  <w:r>
                    <w:rPr>
                      <w:rFonts w:hint="eastAsia"/>
                      <w:szCs w:val="21"/>
                    </w:rPr>
                    <w:t>10</w:t>
                  </w:r>
                </w:p>
              </w:tc>
            </w:tr>
            <w:tr w14:paraId="520AB46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6" w:type="pct"/>
                  <w:vAlign w:val="center"/>
                </w:tcPr>
                <w:p w14:paraId="520AB468">
                  <w:pPr>
                    <w:snapToGrid w:val="0"/>
                    <w:jc w:val="center"/>
                    <w:rPr>
                      <w:szCs w:val="21"/>
                    </w:rPr>
                  </w:pPr>
                  <w:r>
                    <w:rPr>
                      <w:szCs w:val="21"/>
                    </w:rPr>
                    <w:t>TP</w:t>
                  </w:r>
                </w:p>
              </w:tc>
              <w:tc>
                <w:tcPr>
                  <w:tcW w:w="966" w:type="pct"/>
                  <w:vAlign w:val="center"/>
                </w:tcPr>
                <w:p w14:paraId="520AB469">
                  <w:pPr>
                    <w:snapToGrid w:val="0"/>
                    <w:jc w:val="center"/>
                    <w:rPr>
                      <w:szCs w:val="21"/>
                    </w:rPr>
                  </w:pPr>
                  <w:r>
                    <w:t>0.5</w:t>
                  </w:r>
                </w:p>
              </w:tc>
              <w:tc>
                <w:tcPr>
                  <w:tcW w:w="1317" w:type="pct"/>
                  <w:vAlign w:val="center"/>
                </w:tcPr>
                <w:p w14:paraId="520AB46A">
                  <w:pPr>
                    <w:snapToGrid w:val="0"/>
                    <w:jc w:val="center"/>
                    <w:rPr>
                      <w:szCs w:val="21"/>
                    </w:rPr>
                  </w:pPr>
                  <w:r>
                    <w:rPr>
                      <w:rFonts w:hint="eastAsia"/>
                      <w:szCs w:val="21"/>
                    </w:rPr>
                    <w:t>0.1160</w:t>
                  </w:r>
                </w:p>
              </w:tc>
              <w:tc>
                <w:tcPr>
                  <w:tcW w:w="1055" w:type="pct"/>
                  <w:vAlign w:val="center"/>
                </w:tcPr>
                <w:p w14:paraId="520AB46B">
                  <w:pPr>
                    <w:jc w:val="center"/>
                    <w:rPr>
                      <w:szCs w:val="21"/>
                    </w:rPr>
                  </w:pPr>
                  <w:r>
                    <w:rPr>
                      <w:rFonts w:hint="eastAsia"/>
                    </w:rPr>
                    <w:t>0.144</w:t>
                  </w:r>
                  <w:r>
                    <w:t>001</w:t>
                  </w:r>
                </w:p>
              </w:tc>
              <w:tc>
                <w:tcPr>
                  <w:tcW w:w="846" w:type="pct"/>
                  <w:vAlign w:val="center"/>
                </w:tcPr>
                <w:p w14:paraId="520AB46C">
                  <w:pPr>
                    <w:jc w:val="center"/>
                    <w:rPr>
                      <w:szCs w:val="21"/>
                    </w:rPr>
                  </w:pPr>
                  <w:r>
                    <w:rPr>
                      <w:szCs w:val="21"/>
                    </w:rPr>
                    <w:t>0.000</w:t>
                  </w:r>
                  <w:r>
                    <w:rPr>
                      <w:rFonts w:hint="eastAsia"/>
                      <w:szCs w:val="21"/>
                    </w:rPr>
                    <w:t>5</w:t>
                  </w:r>
                </w:p>
              </w:tc>
            </w:tr>
            <w:tr w14:paraId="520AB47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6" w:type="pct"/>
                  <w:vAlign w:val="center"/>
                </w:tcPr>
                <w:p w14:paraId="520AB46E">
                  <w:pPr>
                    <w:snapToGrid w:val="0"/>
                    <w:jc w:val="center"/>
                    <w:rPr>
                      <w:szCs w:val="21"/>
                    </w:rPr>
                  </w:pPr>
                  <w:r>
                    <w:rPr>
                      <w:szCs w:val="21"/>
                    </w:rPr>
                    <w:t>TN</w:t>
                  </w:r>
                </w:p>
              </w:tc>
              <w:tc>
                <w:tcPr>
                  <w:tcW w:w="966" w:type="pct"/>
                  <w:vAlign w:val="center"/>
                </w:tcPr>
                <w:p w14:paraId="520AB46F">
                  <w:pPr>
                    <w:snapToGrid w:val="0"/>
                    <w:jc w:val="center"/>
                    <w:rPr>
                      <w:szCs w:val="21"/>
                    </w:rPr>
                  </w:pPr>
                  <w:r>
                    <w:rPr>
                      <w:rFonts w:hint="eastAsia"/>
                      <w:szCs w:val="21"/>
                    </w:rPr>
                    <w:t>1</w:t>
                  </w:r>
                  <w:r>
                    <w:rPr>
                      <w:szCs w:val="21"/>
                    </w:rPr>
                    <w:t>5</w:t>
                  </w:r>
                </w:p>
              </w:tc>
              <w:tc>
                <w:tcPr>
                  <w:tcW w:w="1317" w:type="pct"/>
                  <w:vAlign w:val="center"/>
                </w:tcPr>
                <w:p w14:paraId="520AB470">
                  <w:pPr>
                    <w:snapToGrid w:val="0"/>
                    <w:jc w:val="center"/>
                    <w:rPr>
                      <w:szCs w:val="21"/>
                    </w:rPr>
                  </w:pPr>
                  <w:r>
                    <w:rPr>
                      <w:rFonts w:hint="eastAsia"/>
                      <w:szCs w:val="21"/>
                    </w:rPr>
                    <w:t>3.4797</w:t>
                  </w:r>
                </w:p>
              </w:tc>
              <w:tc>
                <w:tcPr>
                  <w:tcW w:w="1055" w:type="pct"/>
                  <w:vAlign w:val="center"/>
                </w:tcPr>
                <w:p w14:paraId="520AB471">
                  <w:pPr>
                    <w:jc w:val="center"/>
                    <w:rPr>
                      <w:szCs w:val="21"/>
                    </w:rPr>
                  </w:pPr>
                  <w:r>
                    <w:rPr>
                      <w:rFonts w:hint="eastAsia"/>
                    </w:rPr>
                    <w:t>4.32</w:t>
                  </w:r>
                  <w:r>
                    <w:t>004</w:t>
                  </w:r>
                </w:p>
              </w:tc>
              <w:tc>
                <w:tcPr>
                  <w:tcW w:w="846" w:type="pct"/>
                  <w:vAlign w:val="center"/>
                </w:tcPr>
                <w:p w14:paraId="520AB472">
                  <w:pPr>
                    <w:jc w:val="center"/>
                    <w:rPr>
                      <w:szCs w:val="21"/>
                    </w:rPr>
                  </w:pPr>
                  <w:r>
                    <w:rPr>
                      <w:szCs w:val="21"/>
                    </w:rPr>
                    <w:t>0.00</w:t>
                  </w:r>
                  <w:r>
                    <w:rPr>
                      <w:rFonts w:hint="eastAsia"/>
                      <w:szCs w:val="21"/>
                    </w:rPr>
                    <w:t>69</w:t>
                  </w:r>
                </w:p>
              </w:tc>
            </w:tr>
          </w:tbl>
          <w:p w14:paraId="520AB474">
            <w:pPr>
              <w:spacing w:line="460" w:lineRule="exact"/>
              <w:ind w:firstLine="420" w:firstLineChars="200"/>
              <w:rPr>
                <w:rFonts w:hint="eastAsia" w:ascii="宋体" w:hAnsi="宋体"/>
                <w:bCs/>
                <w:szCs w:val="21"/>
                <w:highlight w:val="yellow"/>
              </w:rPr>
            </w:pPr>
          </w:p>
          <w:p w14:paraId="520AB475">
            <w:pPr>
              <w:spacing w:line="460" w:lineRule="exact"/>
              <w:ind w:firstLine="420" w:firstLineChars="200"/>
              <w:rPr>
                <w:rFonts w:hint="eastAsia" w:ascii="宋体" w:hAnsi="宋体"/>
                <w:bCs/>
                <w:szCs w:val="21"/>
                <w:highlight w:val="yellow"/>
              </w:rPr>
            </w:pPr>
          </w:p>
          <w:p w14:paraId="109EC699">
            <w:pPr>
              <w:spacing w:line="460" w:lineRule="exact"/>
              <w:ind w:firstLine="420" w:firstLineChars="200"/>
              <w:rPr>
                <w:rFonts w:hint="eastAsia" w:ascii="宋体" w:hAnsi="宋体"/>
                <w:bCs/>
                <w:szCs w:val="21"/>
                <w:highlight w:val="yellow"/>
              </w:rPr>
            </w:pPr>
          </w:p>
          <w:p w14:paraId="412553F5">
            <w:pPr>
              <w:spacing w:line="460" w:lineRule="exact"/>
              <w:ind w:firstLine="420" w:firstLineChars="200"/>
              <w:rPr>
                <w:rFonts w:hint="eastAsia" w:ascii="宋体" w:hAnsi="宋体"/>
                <w:bCs/>
                <w:szCs w:val="21"/>
                <w:highlight w:val="yellow"/>
              </w:rPr>
            </w:pPr>
          </w:p>
          <w:p w14:paraId="769CE83C">
            <w:pPr>
              <w:spacing w:line="460" w:lineRule="exact"/>
              <w:ind w:firstLine="420" w:firstLineChars="200"/>
              <w:rPr>
                <w:rFonts w:hint="eastAsia" w:ascii="宋体" w:hAnsi="宋体"/>
                <w:bCs/>
                <w:szCs w:val="21"/>
                <w:highlight w:val="yellow"/>
              </w:rPr>
            </w:pPr>
          </w:p>
          <w:p w14:paraId="520AB476">
            <w:pPr>
              <w:spacing w:line="460" w:lineRule="exact"/>
              <w:ind w:firstLine="420" w:firstLineChars="200"/>
              <w:rPr>
                <w:rFonts w:hint="eastAsia" w:ascii="宋体" w:hAnsi="宋体"/>
                <w:bCs/>
                <w:szCs w:val="21"/>
                <w:highlight w:val="yellow"/>
              </w:rPr>
            </w:pPr>
          </w:p>
          <w:p w14:paraId="43BD96EA">
            <w:pPr>
              <w:spacing w:line="460" w:lineRule="exact"/>
              <w:ind w:firstLine="420" w:firstLineChars="200"/>
              <w:rPr>
                <w:rFonts w:hint="eastAsia" w:ascii="宋体" w:hAnsi="宋体"/>
                <w:bCs/>
                <w:szCs w:val="21"/>
                <w:highlight w:val="yellow"/>
              </w:rPr>
            </w:pPr>
          </w:p>
          <w:p w14:paraId="273DFD49">
            <w:pPr>
              <w:spacing w:line="460" w:lineRule="exact"/>
              <w:ind w:firstLine="420" w:firstLineChars="200"/>
              <w:rPr>
                <w:rFonts w:hint="eastAsia" w:ascii="宋体" w:hAnsi="宋体"/>
                <w:bCs/>
                <w:szCs w:val="21"/>
                <w:highlight w:val="yellow"/>
              </w:rPr>
            </w:pPr>
          </w:p>
          <w:p w14:paraId="4EA03F94">
            <w:pPr>
              <w:spacing w:line="460" w:lineRule="exact"/>
              <w:ind w:firstLine="420" w:firstLineChars="200"/>
              <w:rPr>
                <w:rFonts w:hint="eastAsia" w:ascii="宋体" w:hAnsi="宋体"/>
                <w:bCs/>
                <w:szCs w:val="21"/>
                <w:highlight w:val="yellow"/>
              </w:rPr>
            </w:pPr>
          </w:p>
          <w:p w14:paraId="37FF2E2B">
            <w:pPr>
              <w:spacing w:line="460" w:lineRule="exact"/>
              <w:ind w:firstLine="420" w:firstLineChars="200"/>
              <w:rPr>
                <w:rFonts w:hint="eastAsia" w:ascii="宋体" w:hAnsi="宋体"/>
                <w:bCs/>
                <w:szCs w:val="21"/>
                <w:highlight w:val="yellow"/>
              </w:rPr>
            </w:pPr>
          </w:p>
          <w:p w14:paraId="7A0FFA81">
            <w:pPr>
              <w:spacing w:line="460" w:lineRule="exact"/>
              <w:ind w:firstLine="420" w:firstLineChars="200"/>
              <w:rPr>
                <w:rFonts w:hint="eastAsia" w:ascii="宋体" w:hAnsi="宋体"/>
                <w:bCs/>
                <w:szCs w:val="21"/>
                <w:highlight w:val="yellow"/>
              </w:rPr>
            </w:pPr>
          </w:p>
          <w:p w14:paraId="6AD4458F">
            <w:pPr>
              <w:spacing w:line="460" w:lineRule="exact"/>
              <w:ind w:firstLine="420" w:firstLineChars="200"/>
              <w:rPr>
                <w:rFonts w:hint="eastAsia" w:ascii="宋体" w:hAnsi="宋体"/>
                <w:bCs/>
                <w:szCs w:val="21"/>
                <w:highlight w:val="yellow"/>
              </w:rPr>
            </w:pPr>
          </w:p>
          <w:p w14:paraId="05071E8E">
            <w:pPr>
              <w:spacing w:line="460" w:lineRule="exact"/>
              <w:ind w:firstLine="420" w:firstLineChars="200"/>
              <w:rPr>
                <w:rFonts w:hint="eastAsia" w:ascii="宋体" w:hAnsi="宋体"/>
                <w:bCs/>
                <w:szCs w:val="21"/>
                <w:highlight w:val="yellow"/>
              </w:rPr>
            </w:pPr>
          </w:p>
          <w:p w14:paraId="164C4129">
            <w:pPr>
              <w:spacing w:line="460" w:lineRule="exact"/>
              <w:ind w:firstLine="420" w:firstLineChars="200"/>
              <w:rPr>
                <w:rFonts w:hint="eastAsia" w:ascii="宋体" w:hAnsi="宋体"/>
                <w:bCs/>
                <w:szCs w:val="21"/>
                <w:highlight w:val="yellow"/>
              </w:rPr>
            </w:pPr>
          </w:p>
          <w:p w14:paraId="0CD66D0C">
            <w:pPr>
              <w:spacing w:line="460" w:lineRule="exact"/>
              <w:ind w:firstLine="420" w:firstLineChars="200"/>
              <w:rPr>
                <w:rFonts w:hint="eastAsia" w:ascii="宋体" w:hAnsi="宋体"/>
                <w:bCs/>
                <w:szCs w:val="21"/>
                <w:highlight w:val="yellow"/>
              </w:rPr>
            </w:pPr>
          </w:p>
          <w:p w14:paraId="520AB477">
            <w:pPr>
              <w:spacing w:line="460" w:lineRule="exact"/>
              <w:ind w:firstLine="420" w:firstLineChars="200"/>
              <w:rPr>
                <w:rFonts w:hint="eastAsia" w:ascii="宋体" w:hAnsi="宋体"/>
                <w:bCs/>
                <w:szCs w:val="21"/>
                <w:highlight w:val="yellow"/>
              </w:rPr>
            </w:pPr>
          </w:p>
        </w:tc>
      </w:tr>
    </w:tbl>
    <w:p w14:paraId="520AB479">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sectPr>
          <w:pgSz w:w="11906" w:h="16838"/>
          <w:pgMar w:top="1701" w:right="1531" w:bottom="1701" w:left="1531" w:header="851" w:footer="851" w:gutter="0"/>
          <w:cols w:space="720" w:num="1"/>
          <w:docGrid w:linePitch="312" w:charSpace="0"/>
        </w:sectPr>
      </w:pP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6"/>
        <w:gridCol w:w="12936"/>
      </w:tblGrid>
      <w:tr w14:paraId="520AB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04" w:type="dxa"/>
            <w:vAlign w:val="center"/>
          </w:tcPr>
          <w:p w14:paraId="520AB47A">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pPr>
            <w:r>
              <w:rPr>
                <w:rFonts w:hint="eastAsia" w:cs="宋体"/>
                <w:bCs/>
                <w:sz w:val="21"/>
                <w:szCs w:val="21"/>
              </w:rPr>
              <w:t>与项目有关的原有环境污染问题</w:t>
            </w:r>
          </w:p>
        </w:tc>
        <w:tc>
          <w:tcPr>
            <w:tcW w:w="12722" w:type="dxa"/>
            <w:vAlign w:val="center"/>
          </w:tcPr>
          <w:p w14:paraId="520AB47B">
            <w:pPr>
              <w:adjustRightInd w:val="0"/>
              <w:snapToGrid w:val="0"/>
              <w:spacing w:line="460" w:lineRule="exact"/>
              <w:ind w:firstLine="482" w:firstLineChars="200"/>
              <w:rPr>
                <w:b/>
                <w:sz w:val="24"/>
              </w:rPr>
            </w:pPr>
            <w:r>
              <w:rPr>
                <w:rFonts w:hint="eastAsia"/>
                <w:b/>
                <w:sz w:val="24"/>
              </w:rPr>
              <w:t>（2）废气</w:t>
            </w:r>
          </w:p>
          <w:p w14:paraId="520AB47C">
            <w:pPr>
              <w:spacing w:line="460" w:lineRule="exact"/>
              <w:ind w:firstLine="482" w:firstLineChars="200"/>
              <w:jc w:val="left"/>
              <w:rPr>
                <w:b/>
                <w:sz w:val="24"/>
              </w:rPr>
            </w:pPr>
            <w:r>
              <w:rPr>
                <w:rFonts w:hint="eastAsia" w:ascii="宋体" w:hAnsi="宋体"/>
                <w:b/>
                <w:sz w:val="24"/>
              </w:rPr>
              <w:t>①</w:t>
            </w:r>
            <w:r>
              <w:rPr>
                <w:rFonts w:hint="eastAsia"/>
                <w:b/>
                <w:sz w:val="24"/>
              </w:rPr>
              <w:t>废气种类及治理措施</w:t>
            </w:r>
          </w:p>
          <w:p w14:paraId="520AB47D">
            <w:pPr>
              <w:spacing w:line="460" w:lineRule="exact"/>
              <w:ind w:firstLine="480" w:firstLineChars="200"/>
              <w:rPr>
                <w:bCs/>
                <w:sz w:val="24"/>
              </w:rPr>
            </w:pPr>
            <w:r>
              <w:rPr>
                <w:rFonts w:hint="eastAsia"/>
                <w:bCs/>
                <w:sz w:val="24"/>
              </w:rPr>
              <w:t>建设路厂区具体产污环节、治理措施情况详见下表。</w:t>
            </w:r>
          </w:p>
          <w:p w14:paraId="520AB47E">
            <w:pPr>
              <w:spacing w:line="460" w:lineRule="exact"/>
              <w:ind w:firstLine="480" w:firstLineChars="200"/>
              <w:jc w:val="left"/>
              <w:rPr>
                <w:rFonts w:eastAsia="黑体"/>
                <w:sz w:val="24"/>
              </w:rPr>
            </w:pPr>
            <w:r>
              <w:rPr>
                <w:rFonts w:eastAsia="黑体"/>
                <w:sz w:val="24"/>
              </w:rPr>
              <w:t>表</w:t>
            </w:r>
            <w:r>
              <w:rPr>
                <w:rFonts w:hint="eastAsia" w:eastAsia="黑体"/>
                <w:sz w:val="24"/>
              </w:rPr>
              <w:t>22</w:t>
            </w:r>
            <w:r>
              <w:rPr>
                <w:rFonts w:eastAsia="黑体"/>
                <w:sz w:val="24"/>
              </w:rPr>
              <w:t xml:space="preserve">                     建设路厂区</w:t>
            </w:r>
            <w:r>
              <w:rPr>
                <w:rFonts w:hint="eastAsia" w:eastAsia="黑体"/>
                <w:sz w:val="24"/>
              </w:rPr>
              <w:t>现有</w:t>
            </w:r>
            <w:r>
              <w:rPr>
                <w:rFonts w:eastAsia="黑体"/>
                <w:sz w:val="24"/>
              </w:rPr>
              <w:t>工程废气产污环节及治理措施一览表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1626"/>
              <w:gridCol w:w="1875"/>
              <w:gridCol w:w="1875"/>
              <w:gridCol w:w="6344"/>
              <w:gridCol w:w="1000"/>
            </w:tblGrid>
            <w:tr w14:paraId="520AB48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443" w:type="dxa"/>
                  <w:gridSpan w:val="2"/>
                  <w:vAlign w:val="center"/>
                </w:tcPr>
                <w:p w14:paraId="520AB47F">
                  <w:pPr>
                    <w:jc w:val="center"/>
                    <w:rPr>
                      <w:b/>
                      <w:szCs w:val="21"/>
                    </w:rPr>
                  </w:pPr>
                  <w:r>
                    <w:rPr>
                      <w:b/>
                      <w:szCs w:val="21"/>
                    </w:rPr>
                    <w:t>产污环节</w:t>
                  </w:r>
                </w:p>
              </w:tc>
              <w:tc>
                <w:tcPr>
                  <w:tcW w:w="1843" w:type="dxa"/>
                  <w:vAlign w:val="center"/>
                </w:tcPr>
                <w:p w14:paraId="520AB480">
                  <w:pPr>
                    <w:jc w:val="center"/>
                    <w:rPr>
                      <w:b/>
                      <w:szCs w:val="21"/>
                    </w:rPr>
                  </w:pPr>
                  <w:r>
                    <w:rPr>
                      <w:b/>
                      <w:szCs w:val="21"/>
                    </w:rPr>
                    <w:t>污染物</w:t>
                  </w:r>
                </w:p>
              </w:tc>
              <w:tc>
                <w:tcPr>
                  <w:tcW w:w="6237" w:type="dxa"/>
                  <w:vAlign w:val="center"/>
                </w:tcPr>
                <w:p w14:paraId="520AB481">
                  <w:pPr>
                    <w:jc w:val="center"/>
                    <w:rPr>
                      <w:b/>
                      <w:szCs w:val="21"/>
                    </w:rPr>
                  </w:pPr>
                  <w:r>
                    <w:rPr>
                      <w:rFonts w:hint="eastAsia"/>
                      <w:b/>
                      <w:szCs w:val="21"/>
                    </w:rPr>
                    <w:t>实际建设治理措施</w:t>
                  </w:r>
                </w:p>
              </w:tc>
              <w:tc>
                <w:tcPr>
                  <w:tcW w:w="983" w:type="dxa"/>
                  <w:vAlign w:val="center"/>
                </w:tcPr>
                <w:p w14:paraId="520AB482">
                  <w:pPr>
                    <w:jc w:val="center"/>
                    <w:rPr>
                      <w:b/>
                      <w:szCs w:val="21"/>
                    </w:rPr>
                  </w:pPr>
                  <w:r>
                    <w:rPr>
                      <w:rFonts w:hint="eastAsia"/>
                      <w:b/>
                      <w:szCs w:val="21"/>
                    </w:rPr>
                    <w:t>备注</w:t>
                  </w:r>
                </w:p>
              </w:tc>
            </w:tr>
            <w:tr w14:paraId="520AB48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84">
                  <w:pPr>
                    <w:jc w:val="center"/>
                    <w:rPr>
                      <w:rFonts w:hint="eastAsia" w:ascii="宋体" w:hAnsi="宋体" w:cs="宋体"/>
                      <w:szCs w:val="21"/>
                    </w:rPr>
                  </w:pPr>
                  <w:r>
                    <w:rPr>
                      <w:szCs w:val="21"/>
                    </w:rPr>
                    <w:t>铝酸洗自动化生产线</w:t>
                  </w:r>
                </w:p>
              </w:tc>
              <w:tc>
                <w:tcPr>
                  <w:tcW w:w="1843" w:type="dxa"/>
                  <w:vAlign w:val="center"/>
                </w:tcPr>
                <w:p w14:paraId="520AB485">
                  <w:pPr>
                    <w:jc w:val="center"/>
                    <w:rPr>
                      <w:szCs w:val="21"/>
                    </w:rPr>
                  </w:pPr>
                  <w:r>
                    <w:rPr>
                      <w:szCs w:val="21"/>
                    </w:rPr>
                    <w:t>浸酸槽、碱腐蚀槽</w:t>
                  </w:r>
                </w:p>
              </w:tc>
              <w:tc>
                <w:tcPr>
                  <w:tcW w:w="1843" w:type="dxa"/>
                  <w:vAlign w:val="center"/>
                </w:tcPr>
                <w:p w14:paraId="520AB486">
                  <w:pPr>
                    <w:jc w:val="center"/>
                    <w:rPr>
                      <w:szCs w:val="21"/>
                    </w:rPr>
                  </w:pPr>
                  <w:r>
                    <w:rPr>
                      <w:rFonts w:hint="eastAsia"/>
                      <w:szCs w:val="21"/>
                    </w:rPr>
                    <w:t>氮氧化物、碱雾</w:t>
                  </w:r>
                </w:p>
              </w:tc>
              <w:tc>
                <w:tcPr>
                  <w:tcW w:w="6237" w:type="dxa"/>
                  <w:vAlign w:val="center"/>
                </w:tcPr>
                <w:p w14:paraId="520AB487">
                  <w:pPr>
                    <w:jc w:val="center"/>
                    <w:rPr>
                      <w:bCs/>
                    </w:rPr>
                  </w:pPr>
                  <w:r>
                    <w:rPr>
                      <w:bCs/>
                    </w:rPr>
                    <w:t>酸雾吸收塔</w:t>
                  </w:r>
                  <w:r>
                    <w:rPr>
                      <w:rFonts w:hint="eastAsia"/>
                      <w:bCs/>
                    </w:rPr>
                    <w:t>TA001+26.2m排气筒DA001</w:t>
                  </w:r>
                </w:p>
              </w:tc>
              <w:tc>
                <w:tcPr>
                  <w:tcW w:w="983" w:type="dxa"/>
                  <w:vAlign w:val="center"/>
                </w:tcPr>
                <w:p w14:paraId="520AB488">
                  <w:pPr>
                    <w:jc w:val="center"/>
                    <w:rPr>
                      <w:bCs/>
                    </w:rPr>
                  </w:pPr>
                  <w:r>
                    <w:rPr>
                      <w:rFonts w:hint="eastAsia"/>
                      <w:bCs/>
                    </w:rPr>
                    <w:t>/</w:t>
                  </w:r>
                </w:p>
              </w:tc>
            </w:tr>
            <w:tr w14:paraId="520AB48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8A">
                  <w:pPr>
                    <w:jc w:val="center"/>
                    <w:rPr>
                      <w:szCs w:val="21"/>
                    </w:rPr>
                  </w:pPr>
                  <w:r>
                    <w:rPr>
                      <w:rFonts w:hAnsi="宋体"/>
                      <w:szCs w:val="21"/>
                    </w:rPr>
                    <w:t>铜及铜合金酸洗</w:t>
                  </w:r>
                  <w:r>
                    <w:rPr>
                      <w:rFonts w:hint="eastAsia" w:hAnsi="宋体"/>
                      <w:szCs w:val="21"/>
                    </w:rPr>
                    <w:t>、</w:t>
                  </w:r>
                  <w:r>
                    <w:rPr>
                      <w:rFonts w:hAnsi="宋体"/>
                      <w:szCs w:val="21"/>
                    </w:rPr>
                    <w:t>钝化生产线</w:t>
                  </w:r>
                </w:p>
              </w:tc>
              <w:tc>
                <w:tcPr>
                  <w:tcW w:w="1843" w:type="dxa"/>
                  <w:vAlign w:val="center"/>
                </w:tcPr>
                <w:p w14:paraId="520AB48B">
                  <w:pPr>
                    <w:jc w:val="center"/>
                    <w:rPr>
                      <w:szCs w:val="21"/>
                    </w:rPr>
                  </w:pPr>
                  <w:r>
                    <w:rPr>
                      <w:rFonts w:hint="eastAsia"/>
                      <w:szCs w:val="21"/>
                    </w:rPr>
                    <w:t>酸洗槽</w:t>
                  </w:r>
                  <w:r>
                    <w:rPr>
                      <w:szCs w:val="21"/>
                    </w:rPr>
                    <w:t>、出光槽、钝化槽</w:t>
                  </w:r>
                </w:p>
              </w:tc>
              <w:tc>
                <w:tcPr>
                  <w:tcW w:w="1843" w:type="dxa"/>
                  <w:vAlign w:val="center"/>
                </w:tcPr>
                <w:p w14:paraId="520AB48C">
                  <w:pPr>
                    <w:jc w:val="center"/>
                    <w:rPr>
                      <w:szCs w:val="21"/>
                    </w:rPr>
                  </w:pPr>
                  <w:r>
                    <w:rPr>
                      <w:rFonts w:hint="eastAsia"/>
                      <w:szCs w:val="21"/>
                    </w:rPr>
                    <w:t>氯化氢、铬酸雾、硫酸雾</w:t>
                  </w:r>
                </w:p>
              </w:tc>
              <w:tc>
                <w:tcPr>
                  <w:tcW w:w="6237" w:type="dxa"/>
                  <w:vAlign w:val="center"/>
                </w:tcPr>
                <w:p w14:paraId="520AB48D">
                  <w:pPr>
                    <w:jc w:val="center"/>
                    <w:rPr>
                      <w:bCs/>
                    </w:rPr>
                  </w:pPr>
                  <w:r>
                    <w:rPr>
                      <w:bCs/>
                    </w:rPr>
                    <w:t>酸雾吸收塔</w:t>
                  </w:r>
                  <w:r>
                    <w:rPr>
                      <w:rFonts w:hint="eastAsia"/>
                      <w:bCs/>
                    </w:rPr>
                    <w:t>TA002+26.2m排气筒DA002</w:t>
                  </w:r>
                </w:p>
              </w:tc>
              <w:tc>
                <w:tcPr>
                  <w:tcW w:w="983" w:type="dxa"/>
                  <w:vAlign w:val="center"/>
                </w:tcPr>
                <w:p w14:paraId="520AB48E">
                  <w:pPr>
                    <w:jc w:val="center"/>
                    <w:rPr>
                      <w:bCs/>
                    </w:rPr>
                  </w:pPr>
                  <w:r>
                    <w:rPr>
                      <w:rFonts w:hint="eastAsia"/>
                      <w:bCs/>
                    </w:rPr>
                    <w:t>/</w:t>
                  </w:r>
                </w:p>
              </w:tc>
            </w:tr>
            <w:tr w14:paraId="520AB49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90">
                  <w:pPr>
                    <w:jc w:val="center"/>
                    <w:rPr>
                      <w:rFonts w:hint="eastAsia" w:hAnsi="宋体"/>
                      <w:szCs w:val="21"/>
                    </w:rPr>
                  </w:pPr>
                  <w:r>
                    <w:rPr>
                      <w:szCs w:val="21"/>
                    </w:rPr>
                    <w:t>铝材硬质阳极化</w:t>
                  </w:r>
                  <w:r>
                    <w:rPr>
                      <w:rFonts w:hint="eastAsia"/>
                      <w:szCs w:val="21"/>
                    </w:rPr>
                    <w:t>、</w:t>
                  </w:r>
                  <w:r>
                    <w:rPr>
                      <w:szCs w:val="21"/>
                    </w:rPr>
                    <w:t>硫酸阳极化</w:t>
                  </w:r>
                  <w:r>
                    <w:rPr>
                      <w:rFonts w:hint="eastAsia"/>
                      <w:szCs w:val="21"/>
                    </w:rPr>
                    <w:t>、</w:t>
                  </w:r>
                  <w:r>
                    <w:rPr>
                      <w:szCs w:val="21"/>
                    </w:rPr>
                    <w:t>铬酸阳极化生产线</w:t>
                  </w:r>
                </w:p>
              </w:tc>
              <w:tc>
                <w:tcPr>
                  <w:tcW w:w="1843" w:type="dxa"/>
                  <w:vAlign w:val="center"/>
                </w:tcPr>
                <w:p w14:paraId="520AB491">
                  <w:pPr>
                    <w:jc w:val="center"/>
                    <w:rPr>
                      <w:szCs w:val="21"/>
                    </w:rPr>
                  </w:pPr>
                  <w:r>
                    <w:rPr>
                      <w:rFonts w:hint="eastAsia"/>
                      <w:szCs w:val="21"/>
                    </w:rPr>
                    <w:t>碱洗槽、出光槽、阳极氧化槽、化学氧化槽</w:t>
                  </w:r>
                </w:p>
              </w:tc>
              <w:tc>
                <w:tcPr>
                  <w:tcW w:w="1843" w:type="dxa"/>
                  <w:vAlign w:val="center"/>
                </w:tcPr>
                <w:p w14:paraId="520AB492">
                  <w:pPr>
                    <w:jc w:val="center"/>
                    <w:rPr>
                      <w:szCs w:val="21"/>
                    </w:rPr>
                  </w:pPr>
                  <w:r>
                    <w:rPr>
                      <w:bCs/>
                    </w:rPr>
                    <w:t>铬酸雾</w:t>
                  </w:r>
                  <w:r>
                    <w:rPr>
                      <w:rFonts w:hint="eastAsia"/>
                      <w:bCs/>
                    </w:rPr>
                    <w:t>、氮氧化物、硫酸雾、</w:t>
                  </w:r>
                  <w:r>
                    <w:rPr>
                      <w:bCs/>
                    </w:rPr>
                    <w:t>碱雾</w:t>
                  </w:r>
                </w:p>
              </w:tc>
              <w:tc>
                <w:tcPr>
                  <w:tcW w:w="6237" w:type="dxa"/>
                  <w:vAlign w:val="center"/>
                </w:tcPr>
                <w:p w14:paraId="520AB493">
                  <w:pPr>
                    <w:jc w:val="center"/>
                    <w:rPr>
                      <w:bCs/>
                    </w:rPr>
                  </w:pPr>
                  <w:r>
                    <w:rPr>
                      <w:bCs/>
                    </w:rPr>
                    <w:t>酸雾吸收塔</w:t>
                  </w:r>
                  <w:r>
                    <w:rPr>
                      <w:rFonts w:hint="eastAsia"/>
                      <w:bCs/>
                    </w:rPr>
                    <w:t>TA003+26.2m排气筒DA003</w:t>
                  </w:r>
                </w:p>
              </w:tc>
              <w:tc>
                <w:tcPr>
                  <w:tcW w:w="983" w:type="dxa"/>
                  <w:vAlign w:val="center"/>
                </w:tcPr>
                <w:p w14:paraId="520AB494">
                  <w:pPr>
                    <w:jc w:val="center"/>
                    <w:rPr>
                      <w:bCs/>
                    </w:rPr>
                  </w:pPr>
                  <w:r>
                    <w:rPr>
                      <w:rFonts w:hint="eastAsia"/>
                      <w:bCs/>
                    </w:rPr>
                    <w:t>/</w:t>
                  </w:r>
                </w:p>
              </w:tc>
            </w:tr>
            <w:tr w14:paraId="520AB49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Merge w:val="restart"/>
                  <w:vAlign w:val="center"/>
                </w:tcPr>
                <w:p w14:paraId="520AB496">
                  <w:pPr>
                    <w:jc w:val="center"/>
                    <w:rPr>
                      <w:rFonts w:hint="eastAsia" w:hAnsi="宋体"/>
                      <w:szCs w:val="21"/>
                    </w:rPr>
                  </w:pPr>
                  <w:r>
                    <w:rPr>
                      <w:rFonts w:hint="eastAsia" w:hAnsi="宋体"/>
                      <w:szCs w:val="21"/>
                    </w:rPr>
                    <w:t>氰化镀铜锌镉生产线</w:t>
                  </w:r>
                </w:p>
              </w:tc>
              <w:tc>
                <w:tcPr>
                  <w:tcW w:w="1843" w:type="dxa"/>
                  <w:vAlign w:val="center"/>
                </w:tcPr>
                <w:p w14:paraId="520AB497">
                  <w:pPr>
                    <w:jc w:val="center"/>
                    <w:rPr>
                      <w:szCs w:val="21"/>
                    </w:rPr>
                  </w:pPr>
                  <w:r>
                    <w:rPr>
                      <w:rFonts w:hint="eastAsia" w:hAnsi="宋体"/>
                      <w:szCs w:val="21"/>
                    </w:rPr>
                    <w:t>浸蚀槽、锌镉出光槽、镀镉（铬）槽</w:t>
                  </w:r>
                </w:p>
              </w:tc>
              <w:tc>
                <w:tcPr>
                  <w:tcW w:w="1843" w:type="dxa"/>
                  <w:vAlign w:val="center"/>
                </w:tcPr>
                <w:p w14:paraId="520AB498">
                  <w:pPr>
                    <w:jc w:val="center"/>
                    <w:rPr>
                      <w:szCs w:val="21"/>
                    </w:rPr>
                  </w:pPr>
                  <w:r>
                    <w:rPr>
                      <w:rFonts w:hint="eastAsia"/>
                      <w:szCs w:val="21"/>
                    </w:rPr>
                    <w:t>氯化氢、铬酸雾、硫酸雾、氮氧化物、氰化氢</w:t>
                  </w:r>
                </w:p>
              </w:tc>
              <w:tc>
                <w:tcPr>
                  <w:tcW w:w="6237" w:type="dxa"/>
                  <w:vAlign w:val="center"/>
                </w:tcPr>
                <w:p w14:paraId="520AB499">
                  <w:pPr>
                    <w:jc w:val="center"/>
                    <w:rPr>
                      <w:szCs w:val="21"/>
                    </w:rPr>
                  </w:pPr>
                  <w:r>
                    <w:rPr>
                      <w:szCs w:val="21"/>
                    </w:rPr>
                    <w:t>酸雾吸收塔</w:t>
                  </w:r>
                  <w:r>
                    <w:rPr>
                      <w:rFonts w:hint="eastAsia"/>
                      <w:bCs/>
                    </w:rPr>
                    <w:t>TA004+26.2m排气筒DA004</w:t>
                  </w:r>
                </w:p>
              </w:tc>
              <w:tc>
                <w:tcPr>
                  <w:tcW w:w="983" w:type="dxa"/>
                  <w:vAlign w:val="center"/>
                </w:tcPr>
                <w:p w14:paraId="520AB49A">
                  <w:pPr>
                    <w:jc w:val="center"/>
                    <w:rPr>
                      <w:bCs/>
                    </w:rPr>
                  </w:pPr>
                  <w:r>
                    <w:rPr>
                      <w:rFonts w:hint="eastAsia"/>
                      <w:bCs/>
                    </w:rPr>
                    <w:t>/</w:t>
                  </w:r>
                </w:p>
              </w:tc>
            </w:tr>
            <w:tr w14:paraId="520AB4A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Merge w:val="continue"/>
                  <w:vAlign w:val="center"/>
                </w:tcPr>
                <w:p w14:paraId="520AB49C">
                  <w:pPr>
                    <w:jc w:val="center"/>
                    <w:rPr>
                      <w:rFonts w:hint="eastAsia" w:hAnsi="宋体"/>
                      <w:szCs w:val="21"/>
                    </w:rPr>
                  </w:pPr>
                </w:p>
              </w:tc>
              <w:tc>
                <w:tcPr>
                  <w:tcW w:w="1843" w:type="dxa"/>
                  <w:vAlign w:val="center"/>
                </w:tcPr>
                <w:p w14:paraId="520AB49D">
                  <w:pPr>
                    <w:jc w:val="center"/>
                    <w:rPr>
                      <w:szCs w:val="21"/>
                    </w:rPr>
                  </w:pPr>
                  <w:r>
                    <w:rPr>
                      <w:rFonts w:hint="eastAsia"/>
                      <w:szCs w:val="21"/>
                    </w:rPr>
                    <w:t>镀底铜槽、退铬槽、</w:t>
                  </w:r>
                  <w:r>
                    <w:rPr>
                      <w:rFonts w:hint="eastAsia" w:hAnsi="宋体"/>
                      <w:szCs w:val="21"/>
                    </w:rPr>
                    <w:t>镀锌（镍）槽</w:t>
                  </w:r>
                </w:p>
              </w:tc>
              <w:tc>
                <w:tcPr>
                  <w:tcW w:w="1843" w:type="dxa"/>
                  <w:vAlign w:val="center"/>
                </w:tcPr>
                <w:p w14:paraId="520AB49E">
                  <w:pPr>
                    <w:jc w:val="center"/>
                    <w:rPr>
                      <w:szCs w:val="21"/>
                    </w:rPr>
                  </w:pPr>
                  <w:r>
                    <w:rPr>
                      <w:rFonts w:hint="eastAsia"/>
                      <w:szCs w:val="21"/>
                    </w:rPr>
                    <w:t>氰化氢、碱雾</w:t>
                  </w:r>
                </w:p>
              </w:tc>
              <w:tc>
                <w:tcPr>
                  <w:tcW w:w="6237" w:type="dxa"/>
                  <w:vAlign w:val="center"/>
                </w:tcPr>
                <w:p w14:paraId="520AB49F">
                  <w:pPr>
                    <w:jc w:val="center"/>
                    <w:rPr>
                      <w:szCs w:val="21"/>
                    </w:rPr>
                  </w:pPr>
                  <w:r>
                    <w:rPr>
                      <w:rFonts w:hint="eastAsia"/>
                      <w:szCs w:val="21"/>
                    </w:rPr>
                    <w:t>含氰废气</w:t>
                  </w:r>
                  <w:r>
                    <w:rPr>
                      <w:szCs w:val="21"/>
                    </w:rPr>
                    <w:t>吸收塔</w:t>
                  </w:r>
                  <w:r>
                    <w:rPr>
                      <w:rFonts w:hint="eastAsia"/>
                      <w:bCs/>
                    </w:rPr>
                    <w:t>TA005+26.8m排气筒DA005</w:t>
                  </w:r>
                </w:p>
              </w:tc>
              <w:tc>
                <w:tcPr>
                  <w:tcW w:w="983" w:type="dxa"/>
                  <w:vAlign w:val="center"/>
                </w:tcPr>
                <w:p w14:paraId="520AB4A0">
                  <w:pPr>
                    <w:jc w:val="center"/>
                    <w:rPr>
                      <w:bCs/>
                    </w:rPr>
                  </w:pPr>
                  <w:r>
                    <w:rPr>
                      <w:rFonts w:hint="eastAsia"/>
                      <w:bCs/>
                    </w:rPr>
                    <w:t>/</w:t>
                  </w:r>
                </w:p>
              </w:tc>
            </w:tr>
            <w:tr w14:paraId="520AB4A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A2">
                  <w:pPr>
                    <w:adjustRightInd w:val="0"/>
                    <w:snapToGrid w:val="0"/>
                    <w:jc w:val="center"/>
                    <w:rPr>
                      <w:rFonts w:hint="eastAsia" w:ascii="宋体" w:hAnsi="宋体" w:cs="宋体"/>
                      <w:szCs w:val="21"/>
                    </w:rPr>
                  </w:pPr>
                  <w:r>
                    <w:rPr>
                      <w:rFonts w:hint="eastAsia" w:hAnsi="宋体"/>
                      <w:szCs w:val="21"/>
                    </w:rPr>
                    <w:t>不锈钢钝化、电抛光生产线</w:t>
                  </w:r>
                </w:p>
              </w:tc>
              <w:tc>
                <w:tcPr>
                  <w:tcW w:w="1843" w:type="dxa"/>
                  <w:vAlign w:val="center"/>
                </w:tcPr>
                <w:p w14:paraId="520AB4A3">
                  <w:pPr>
                    <w:adjustRightInd w:val="0"/>
                    <w:snapToGrid w:val="0"/>
                    <w:jc w:val="center"/>
                    <w:rPr>
                      <w:rFonts w:hint="eastAsia" w:ascii="宋体" w:hAnsi="宋体" w:cs="宋体"/>
                      <w:szCs w:val="21"/>
                    </w:rPr>
                  </w:pPr>
                  <w:r>
                    <w:rPr>
                      <w:rFonts w:hint="eastAsia" w:hAnsi="宋体"/>
                      <w:szCs w:val="21"/>
                    </w:rPr>
                    <w:t>浸蚀槽、发蓝槽、钝化槽</w:t>
                  </w:r>
                </w:p>
              </w:tc>
              <w:tc>
                <w:tcPr>
                  <w:tcW w:w="1843" w:type="dxa"/>
                  <w:vAlign w:val="center"/>
                </w:tcPr>
                <w:p w14:paraId="520AB4A4">
                  <w:pPr>
                    <w:jc w:val="center"/>
                    <w:rPr>
                      <w:szCs w:val="21"/>
                    </w:rPr>
                  </w:pPr>
                  <w:r>
                    <w:rPr>
                      <w:rFonts w:hint="eastAsia"/>
                      <w:szCs w:val="21"/>
                    </w:rPr>
                    <w:t>氯化氢、碱雾、铬酸雾</w:t>
                  </w:r>
                </w:p>
              </w:tc>
              <w:tc>
                <w:tcPr>
                  <w:tcW w:w="6237" w:type="dxa"/>
                  <w:vAlign w:val="center"/>
                </w:tcPr>
                <w:p w14:paraId="520AB4A5">
                  <w:pPr>
                    <w:jc w:val="center"/>
                    <w:rPr>
                      <w:bCs/>
                    </w:rPr>
                  </w:pPr>
                  <w:r>
                    <w:rPr>
                      <w:bCs/>
                    </w:rPr>
                    <w:t>酸雾吸收塔</w:t>
                  </w:r>
                  <w:r>
                    <w:rPr>
                      <w:rFonts w:hint="eastAsia"/>
                      <w:bCs/>
                    </w:rPr>
                    <w:t>TA006+26.2m排气筒DA006</w:t>
                  </w:r>
                </w:p>
              </w:tc>
              <w:tc>
                <w:tcPr>
                  <w:tcW w:w="983" w:type="dxa"/>
                  <w:vAlign w:val="center"/>
                </w:tcPr>
                <w:p w14:paraId="520AB4A6">
                  <w:pPr>
                    <w:jc w:val="center"/>
                    <w:rPr>
                      <w:bCs/>
                    </w:rPr>
                  </w:pPr>
                  <w:r>
                    <w:rPr>
                      <w:rFonts w:hint="eastAsia"/>
                      <w:bCs/>
                    </w:rPr>
                    <w:t>/</w:t>
                  </w:r>
                </w:p>
              </w:tc>
            </w:tr>
            <w:tr w14:paraId="520AB4A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A8">
                  <w:pPr>
                    <w:adjustRightInd w:val="0"/>
                    <w:snapToGrid w:val="0"/>
                    <w:jc w:val="center"/>
                    <w:rPr>
                      <w:rFonts w:hint="eastAsia" w:ascii="宋体" w:hAnsi="宋体" w:cs="宋体"/>
                      <w:szCs w:val="21"/>
                    </w:rPr>
                  </w:pPr>
                  <w:r>
                    <w:rPr>
                      <w:rFonts w:hint="eastAsia" w:ascii="宋体" w:hAnsi="宋体" w:cs="宋体"/>
                      <w:szCs w:val="21"/>
                    </w:rPr>
                    <w:t>不锈钢钝化、电抛光生产线（铝清洗生产线）</w:t>
                  </w:r>
                </w:p>
              </w:tc>
              <w:tc>
                <w:tcPr>
                  <w:tcW w:w="1843" w:type="dxa"/>
                  <w:vAlign w:val="center"/>
                </w:tcPr>
                <w:p w14:paraId="520AB4A9">
                  <w:pPr>
                    <w:adjustRightInd w:val="0"/>
                    <w:snapToGrid w:val="0"/>
                    <w:jc w:val="center"/>
                    <w:rPr>
                      <w:rFonts w:hint="eastAsia" w:ascii="宋体" w:hAnsi="宋体" w:cs="宋体"/>
                      <w:szCs w:val="21"/>
                    </w:rPr>
                  </w:pPr>
                  <w:r>
                    <w:rPr>
                      <w:rFonts w:hint="eastAsia" w:hAnsi="宋体"/>
                      <w:szCs w:val="21"/>
                    </w:rPr>
                    <w:t>除油槽、</w:t>
                  </w:r>
                  <w:r>
                    <w:rPr>
                      <w:rFonts w:hAnsi="宋体"/>
                      <w:szCs w:val="21"/>
                    </w:rPr>
                    <w:t>碱腐蚀槽</w:t>
                  </w:r>
                  <w:r>
                    <w:rPr>
                      <w:rFonts w:hint="eastAsia" w:hAnsi="宋体"/>
                      <w:szCs w:val="21"/>
                    </w:rPr>
                    <w:t>、钝化槽</w:t>
                  </w:r>
                </w:p>
              </w:tc>
              <w:tc>
                <w:tcPr>
                  <w:tcW w:w="1843" w:type="dxa"/>
                  <w:vAlign w:val="center"/>
                </w:tcPr>
                <w:p w14:paraId="520AB4AA">
                  <w:pPr>
                    <w:adjustRightInd w:val="0"/>
                    <w:snapToGrid w:val="0"/>
                    <w:jc w:val="center"/>
                    <w:rPr>
                      <w:rFonts w:hint="eastAsia" w:ascii="宋体" w:hAnsi="宋体" w:cs="宋体"/>
                      <w:szCs w:val="21"/>
                    </w:rPr>
                  </w:pPr>
                  <w:r>
                    <w:rPr>
                      <w:rFonts w:hint="eastAsia" w:hAnsi="宋体"/>
                      <w:szCs w:val="21"/>
                    </w:rPr>
                    <w:t>碱雾、铬酸雾、氮氧化物</w:t>
                  </w:r>
                </w:p>
              </w:tc>
              <w:tc>
                <w:tcPr>
                  <w:tcW w:w="6237" w:type="dxa"/>
                  <w:vAlign w:val="center"/>
                </w:tcPr>
                <w:p w14:paraId="520AB4AB">
                  <w:pPr>
                    <w:jc w:val="center"/>
                    <w:rPr>
                      <w:bCs/>
                    </w:rPr>
                  </w:pPr>
                  <w:r>
                    <w:rPr>
                      <w:bCs/>
                    </w:rPr>
                    <w:t>酸雾吸收塔</w:t>
                  </w:r>
                  <w:r>
                    <w:rPr>
                      <w:rFonts w:hint="eastAsia"/>
                      <w:bCs/>
                    </w:rPr>
                    <w:t>TA007+26.2m排气筒DA007</w:t>
                  </w:r>
                </w:p>
              </w:tc>
              <w:tc>
                <w:tcPr>
                  <w:tcW w:w="983" w:type="dxa"/>
                  <w:vAlign w:val="center"/>
                </w:tcPr>
                <w:p w14:paraId="520AB4AC">
                  <w:pPr>
                    <w:jc w:val="center"/>
                    <w:rPr>
                      <w:bCs/>
                    </w:rPr>
                  </w:pPr>
                  <w:r>
                    <w:rPr>
                      <w:rFonts w:hint="eastAsia"/>
                      <w:bCs/>
                    </w:rPr>
                    <w:t>/</w:t>
                  </w:r>
                </w:p>
              </w:tc>
            </w:tr>
            <w:tr w14:paraId="520AB4B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AE">
                  <w:pPr>
                    <w:adjustRightInd w:val="0"/>
                    <w:snapToGrid w:val="0"/>
                    <w:jc w:val="center"/>
                    <w:rPr>
                      <w:rFonts w:hint="eastAsia" w:ascii="宋体" w:hAnsi="宋体" w:cs="宋体"/>
                      <w:szCs w:val="21"/>
                    </w:rPr>
                  </w:pPr>
                  <w:r>
                    <w:rPr>
                      <w:rFonts w:hint="eastAsia" w:ascii="宋体" w:hAnsi="宋体" w:cs="宋体"/>
                      <w:szCs w:val="21"/>
                    </w:rPr>
                    <w:t>铝材化学钝化、化学氧化生产线</w:t>
                  </w:r>
                </w:p>
              </w:tc>
              <w:tc>
                <w:tcPr>
                  <w:tcW w:w="1843" w:type="dxa"/>
                  <w:vAlign w:val="center"/>
                </w:tcPr>
                <w:p w14:paraId="520AB4AF">
                  <w:pPr>
                    <w:adjustRightInd w:val="0"/>
                    <w:snapToGrid w:val="0"/>
                    <w:jc w:val="center"/>
                    <w:rPr>
                      <w:rFonts w:hint="eastAsia" w:ascii="宋体" w:hAnsi="宋体" w:cs="宋体"/>
                      <w:szCs w:val="21"/>
                    </w:rPr>
                  </w:pPr>
                  <w:r>
                    <w:rPr>
                      <w:rFonts w:hint="eastAsia" w:hAnsi="宋体"/>
                      <w:szCs w:val="21"/>
                    </w:rPr>
                    <w:t>除油槽、腐蚀槽、氧化槽、钝化槽</w:t>
                  </w:r>
                </w:p>
              </w:tc>
              <w:tc>
                <w:tcPr>
                  <w:tcW w:w="1843" w:type="dxa"/>
                  <w:vAlign w:val="center"/>
                </w:tcPr>
                <w:p w14:paraId="520AB4B0">
                  <w:pPr>
                    <w:adjustRightInd w:val="0"/>
                    <w:snapToGrid w:val="0"/>
                    <w:jc w:val="center"/>
                    <w:rPr>
                      <w:rFonts w:hint="eastAsia" w:ascii="宋体" w:hAnsi="宋体" w:cs="宋体"/>
                      <w:szCs w:val="21"/>
                    </w:rPr>
                  </w:pPr>
                  <w:r>
                    <w:rPr>
                      <w:rFonts w:hint="eastAsia" w:hAnsi="宋体"/>
                      <w:szCs w:val="21"/>
                    </w:rPr>
                    <w:t>碱雾、</w:t>
                  </w:r>
                  <w:r>
                    <w:rPr>
                      <w:szCs w:val="21"/>
                    </w:rPr>
                    <w:t>铬</w:t>
                  </w:r>
                  <w:r>
                    <w:rPr>
                      <w:rFonts w:hint="eastAsia" w:hAnsi="宋体"/>
                      <w:szCs w:val="21"/>
                    </w:rPr>
                    <w:t>酸雾</w:t>
                  </w:r>
                </w:p>
              </w:tc>
              <w:tc>
                <w:tcPr>
                  <w:tcW w:w="6237" w:type="dxa"/>
                  <w:vAlign w:val="center"/>
                </w:tcPr>
                <w:p w14:paraId="520AB4B1">
                  <w:pPr>
                    <w:jc w:val="center"/>
                    <w:rPr>
                      <w:bCs/>
                    </w:rPr>
                  </w:pPr>
                  <w:r>
                    <w:rPr>
                      <w:bCs/>
                    </w:rPr>
                    <w:t>酸雾吸收塔</w:t>
                  </w:r>
                  <w:r>
                    <w:rPr>
                      <w:rFonts w:hint="eastAsia"/>
                      <w:bCs/>
                    </w:rPr>
                    <w:t>TA008+15m排气筒DA008</w:t>
                  </w:r>
                </w:p>
              </w:tc>
              <w:tc>
                <w:tcPr>
                  <w:tcW w:w="983" w:type="dxa"/>
                  <w:vAlign w:val="center"/>
                </w:tcPr>
                <w:p w14:paraId="520AB4B2">
                  <w:pPr>
                    <w:jc w:val="center"/>
                    <w:rPr>
                      <w:bCs/>
                    </w:rPr>
                  </w:pPr>
                  <w:r>
                    <w:rPr>
                      <w:rFonts w:hint="eastAsia"/>
                      <w:bCs/>
                    </w:rPr>
                    <w:t>/</w:t>
                  </w:r>
                </w:p>
              </w:tc>
            </w:tr>
            <w:tr w14:paraId="520AB4B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443" w:type="dxa"/>
                  <w:gridSpan w:val="2"/>
                  <w:vAlign w:val="center"/>
                </w:tcPr>
                <w:p w14:paraId="520AB4B4">
                  <w:pPr>
                    <w:adjustRightInd w:val="0"/>
                    <w:snapToGrid w:val="0"/>
                    <w:jc w:val="center"/>
                    <w:rPr>
                      <w:rFonts w:hint="eastAsia" w:hAnsi="宋体"/>
                      <w:szCs w:val="21"/>
                    </w:rPr>
                  </w:pPr>
                  <w:r>
                    <w:rPr>
                      <w:rFonts w:hint="eastAsia" w:hAnsi="宋体"/>
                      <w:szCs w:val="21"/>
                    </w:rPr>
                    <w:t>106厂房钛合金生产线</w:t>
                  </w:r>
                </w:p>
              </w:tc>
              <w:tc>
                <w:tcPr>
                  <w:tcW w:w="1843" w:type="dxa"/>
                  <w:vAlign w:val="center"/>
                </w:tcPr>
                <w:p w14:paraId="520AB4B5">
                  <w:pPr>
                    <w:adjustRightInd w:val="0"/>
                    <w:snapToGrid w:val="0"/>
                    <w:jc w:val="center"/>
                    <w:rPr>
                      <w:rFonts w:hint="eastAsia" w:hAnsi="宋体"/>
                      <w:szCs w:val="21"/>
                    </w:rPr>
                  </w:pPr>
                  <w:r>
                    <w:rPr>
                      <w:rFonts w:hint="eastAsia" w:hAnsi="宋体"/>
                      <w:szCs w:val="21"/>
                    </w:rPr>
                    <w:t>/</w:t>
                  </w:r>
                </w:p>
              </w:tc>
              <w:tc>
                <w:tcPr>
                  <w:tcW w:w="6237" w:type="dxa"/>
                  <w:vAlign w:val="center"/>
                </w:tcPr>
                <w:p w14:paraId="520AB4B6">
                  <w:pPr>
                    <w:jc w:val="center"/>
                    <w:rPr>
                      <w:bCs/>
                    </w:rPr>
                  </w:pPr>
                  <w:r>
                    <w:rPr>
                      <w:rFonts w:hint="eastAsia"/>
                      <w:bCs/>
                    </w:rPr>
                    <w:t>酸雾吸收塔TA009+15m排气筒DA009</w:t>
                  </w:r>
                </w:p>
              </w:tc>
              <w:tc>
                <w:tcPr>
                  <w:tcW w:w="983" w:type="dxa"/>
                  <w:vAlign w:val="center"/>
                </w:tcPr>
                <w:p w14:paraId="520AB4B7">
                  <w:pPr>
                    <w:jc w:val="center"/>
                    <w:rPr>
                      <w:bCs/>
                    </w:rPr>
                  </w:pPr>
                  <w:r>
                    <w:rPr>
                      <w:rFonts w:hint="eastAsia"/>
                      <w:bCs/>
                    </w:rPr>
                    <w:t>使用柠檬酸，弱酸不产废气</w:t>
                  </w:r>
                </w:p>
              </w:tc>
            </w:tr>
            <w:tr w14:paraId="520AB4B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B9">
                  <w:pPr>
                    <w:adjustRightInd w:val="0"/>
                    <w:snapToGrid w:val="0"/>
                    <w:jc w:val="center"/>
                    <w:rPr>
                      <w:rFonts w:hint="eastAsia" w:ascii="宋体" w:hAnsi="宋体" w:cs="宋体"/>
                      <w:szCs w:val="21"/>
                    </w:rPr>
                  </w:pPr>
                  <w:r>
                    <w:rPr>
                      <w:rFonts w:hint="eastAsia"/>
                      <w:szCs w:val="21"/>
                    </w:rPr>
                    <w:t>电镀生产线</w:t>
                  </w:r>
                </w:p>
              </w:tc>
              <w:tc>
                <w:tcPr>
                  <w:tcW w:w="1843" w:type="dxa"/>
                  <w:vAlign w:val="center"/>
                </w:tcPr>
                <w:p w14:paraId="520AB4BA">
                  <w:pPr>
                    <w:adjustRightInd w:val="0"/>
                    <w:snapToGrid w:val="0"/>
                    <w:jc w:val="center"/>
                    <w:rPr>
                      <w:rFonts w:hint="eastAsia" w:ascii="宋体" w:hAnsi="宋体" w:cs="宋体"/>
                      <w:szCs w:val="21"/>
                    </w:rPr>
                  </w:pPr>
                  <w:r>
                    <w:rPr>
                      <w:rFonts w:hint="eastAsia"/>
                      <w:szCs w:val="21"/>
                    </w:rPr>
                    <w:t>污水处理站</w:t>
                  </w:r>
                </w:p>
              </w:tc>
              <w:tc>
                <w:tcPr>
                  <w:tcW w:w="1843" w:type="dxa"/>
                  <w:vAlign w:val="center"/>
                </w:tcPr>
                <w:p w14:paraId="520AB4BB">
                  <w:pPr>
                    <w:adjustRightInd w:val="0"/>
                    <w:snapToGrid w:val="0"/>
                    <w:jc w:val="center"/>
                    <w:rPr>
                      <w:rFonts w:hint="eastAsia" w:ascii="宋体" w:hAnsi="宋体" w:cs="宋体"/>
                      <w:szCs w:val="21"/>
                    </w:rPr>
                  </w:pPr>
                  <w:r>
                    <w:rPr>
                      <w:rFonts w:hint="eastAsia"/>
                      <w:szCs w:val="21"/>
                    </w:rPr>
                    <w:t>硫酸雾、铬酸雾、氯化氢、</w:t>
                  </w:r>
                  <w:r>
                    <w:rPr>
                      <w:kern w:val="0"/>
                      <w:szCs w:val="21"/>
                    </w:rPr>
                    <w:t>氰化氢</w:t>
                  </w:r>
                  <w:r>
                    <w:rPr>
                      <w:rFonts w:hint="eastAsia"/>
                      <w:kern w:val="0"/>
                      <w:szCs w:val="21"/>
                    </w:rPr>
                    <w:t>、氮氧化物</w:t>
                  </w:r>
                </w:p>
              </w:tc>
              <w:tc>
                <w:tcPr>
                  <w:tcW w:w="6237" w:type="dxa"/>
                  <w:vAlign w:val="center"/>
                </w:tcPr>
                <w:p w14:paraId="520AB4BC">
                  <w:pPr>
                    <w:jc w:val="center"/>
                    <w:rPr>
                      <w:kern w:val="44"/>
                      <w:szCs w:val="21"/>
                    </w:rPr>
                  </w:pPr>
                  <w:r>
                    <w:rPr>
                      <w:rFonts w:hint="eastAsia"/>
                    </w:rPr>
                    <w:t>碱喷淋塔T</w:t>
                  </w:r>
                  <w:r>
                    <w:t>A01</w:t>
                  </w:r>
                  <w:r>
                    <w:rPr>
                      <w:rFonts w:hint="eastAsia"/>
                    </w:rPr>
                    <w:t>0+</w:t>
                  </w:r>
                  <w:r>
                    <w:t>15</w:t>
                  </w:r>
                  <w:r>
                    <w:rPr>
                      <w:rFonts w:hint="eastAsia"/>
                    </w:rPr>
                    <w:t>m高排气筒D</w:t>
                  </w:r>
                  <w:r>
                    <w:t>A01</w:t>
                  </w:r>
                  <w:r>
                    <w:rPr>
                      <w:rFonts w:hint="eastAsia"/>
                    </w:rPr>
                    <w:t>0</w:t>
                  </w:r>
                </w:p>
              </w:tc>
              <w:tc>
                <w:tcPr>
                  <w:tcW w:w="983" w:type="dxa"/>
                  <w:vAlign w:val="center"/>
                </w:tcPr>
                <w:p w14:paraId="520AB4BD">
                  <w:pPr>
                    <w:jc w:val="center"/>
                  </w:pPr>
                  <w:r>
                    <w:rPr>
                      <w:rFonts w:hint="eastAsia"/>
                      <w:bCs/>
                    </w:rPr>
                    <w:t>/</w:t>
                  </w:r>
                </w:p>
              </w:tc>
            </w:tr>
            <w:tr w14:paraId="520AB4C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BF">
                  <w:pPr>
                    <w:adjustRightInd w:val="0"/>
                    <w:snapToGrid w:val="0"/>
                    <w:jc w:val="center"/>
                    <w:rPr>
                      <w:rFonts w:hint="eastAsia" w:ascii="宋体" w:hAnsi="宋体" w:cs="宋体"/>
                      <w:szCs w:val="21"/>
                    </w:rPr>
                  </w:pPr>
                  <w:r>
                    <w:rPr>
                      <w:rFonts w:hint="eastAsia" w:ascii="宋体" w:hAnsi="宋体" w:cs="宋体"/>
                      <w:szCs w:val="21"/>
                    </w:rPr>
                    <w:t>喷涂生产线</w:t>
                  </w:r>
                </w:p>
              </w:tc>
              <w:tc>
                <w:tcPr>
                  <w:tcW w:w="1843" w:type="dxa"/>
                  <w:vAlign w:val="center"/>
                </w:tcPr>
                <w:p w14:paraId="520AB4C0">
                  <w:pPr>
                    <w:adjustRightInd w:val="0"/>
                    <w:snapToGrid w:val="0"/>
                    <w:jc w:val="center"/>
                    <w:rPr>
                      <w:rFonts w:hint="eastAsia" w:ascii="宋体" w:hAnsi="宋体" w:cs="宋体"/>
                      <w:szCs w:val="21"/>
                    </w:rPr>
                  </w:pPr>
                  <w:r>
                    <w:rPr>
                      <w:rFonts w:hint="eastAsia" w:ascii="宋体" w:hAnsi="宋体" w:cs="宋体"/>
                      <w:szCs w:val="21"/>
                    </w:rPr>
                    <w:t>调漆、喷漆、流平、烘干</w:t>
                  </w:r>
                </w:p>
              </w:tc>
              <w:tc>
                <w:tcPr>
                  <w:tcW w:w="1843" w:type="dxa"/>
                  <w:vAlign w:val="center"/>
                </w:tcPr>
                <w:p w14:paraId="520AB4C1">
                  <w:pPr>
                    <w:adjustRightInd w:val="0"/>
                    <w:snapToGrid w:val="0"/>
                    <w:jc w:val="center"/>
                    <w:rPr>
                      <w:rFonts w:hint="eastAsia" w:ascii="宋体" w:hAnsi="宋体" w:cs="宋体"/>
                      <w:szCs w:val="21"/>
                    </w:rPr>
                  </w:pPr>
                  <w:r>
                    <w:rPr>
                      <w:rFonts w:hint="eastAsia" w:ascii="宋体" w:hAnsi="宋体" w:cs="宋体"/>
                      <w:szCs w:val="21"/>
                    </w:rPr>
                    <w:t>颗粒物、苯、甲苯、二甲苯、非甲烷总烃</w:t>
                  </w:r>
                </w:p>
              </w:tc>
              <w:tc>
                <w:tcPr>
                  <w:tcW w:w="6237" w:type="dxa"/>
                  <w:vAlign w:val="center"/>
                </w:tcPr>
                <w:p w14:paraId="520AB4C2">
                  <w:pPr>
                    <w:jc w:val="center"/>
                    <w:rPr>
                      <w:rFonts w:hint="eastAsia" w:ascii="宋体" w:hAnsi="宋体" w:cs="宋体"/>
                      <w:kern w:val="44"/>
                      <w:szCs w:val="21"/>
                    </w:rPr>
                  </w:pPr>
                  <w:r>
                    <w:rPr>
                      <w:kern w:val="44"/>
                      <w:szCs w:val="21"/>
                    </w:rPr>
                    <w:t>封闭负压收集+瓦楞纸过滤棉+滤芯+沸石转轮-催化燃烧装置TA0</w:t>
                  </w:r>
                  <w:r>
                    <w:rPr>
                      <w:rFonts w:hint="eastAsia"/>
                      <w:kern w:val="44"/>
                      <w:szCs w:val="21"/>
                    </w:rPr>
                    <w:t>11</w:t>
                  </w:r>
                  <w:r>
                    <w:rPr>
                      <w:kern w:val="44"/>
                      <w:szCs w:val="21"/>
                    </w:rPr>
                    <w:t>+</w:t>
                  </w:r>
                  <w:r>
                    <w:t>15m排气筒DA0</w:t>
                  </w:r>
                  <w:r>
                    <w:rPr>
                      <w:rFonts w:hint="eastAsia"/>
                    </w:rPr>
                    <w:t>11</w:t>
                  </w:r>
                </w:p>
              </w:tc>
              <w:tc>
                <w:tcPr>
                  <w:tcW w:w="983" w:type="dxa"/>
                  <w:vAlign w:val="center"/>
                </w:tcPr>
                <w:p w14:paraId="520AB4C3">
                  <w:pPr>
                    <w:jc w:val="center"/>
                    <w:rPr>
                      <w:rFonts w:hint="eastAsia" w:ascii="宋体" w:hAnsi="宋体" w:cs="宋体"/>
                      <w:kern w:val="44"/>
                      <w:szCs w:val="21"/>
                    </w:rPr>
                  </w:pPr>
                  <w:r>
                    <w:t>/</w:t>
                  </w:r>
                </w:p>
              </w:tc>
            </w:tr>
            <w:tr w14:paraId="520AB4C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C5">
                  <w:pPr>
                    <w:jc w:val="center"/>
                    <w:rPr>
                      <w:rFonts w:hint="eastAsia" w:hAnsi="宋体"/>
                      <w:szCs w:val="21"/>
                    </w:rPr>
                  </w:pPr>
                  <w:r>
                    <w:rPr>
                      <w:rFonts w:hint="eastAsia" w:hAnsi="宋体"/>
                      <w:szCs w:val="21"/>
                    </w:rPr>
                    <w:t>表面</w:t>
                  </w:r>
                  <w:r>
                    <w:rPr>
                      <w:rFonts w:hAnsi="宋体"/>
                      <w:szCs w:val="21"/>
                    </w:rPr>
                    <w:t>热处理</w:t>
                  </w:r>
                  <w:r>
                    <w:rPr>
                      <w:rFonts w:hint="eastAsia" w:hAnsi="宋体"/>
                      <w:szCs w:val="21"/>
                    </w:rPr>
                    <w:t>生产线101#厂房</w:t>
                  </w:r>
                </w:p>
              </w:tc>
              <w:tc>
                <w:tcPr>
                  <w:tcW w:w="1843" w:type="dxa"/>
                  <w:vAlign w:val="center"/>
                </w:tcPr>
                <w:p w14:paraId="520AB4C6">
                  <w:pPr>
                    <w:jc w:val="center"/>
                    <w:rPr>
                      <w:szCs w:val="21"/>
                    </w:rPr>
                  </w:pPr>
                  <w:r>
                    <w:rPr>
                      <w:rFonts w:hint="eastAsia"/>
                      <w:szCs w:val="21"/>
                    </w:rPr>
                    <w:t>淬火（油淬）</w:t>
                  </w:r>
                </w:p>
              </w:tc>
              <w:tc>
                <w:tcPr>
                  <w:tcW w:w="1843" w:type="dxa"/>
                  <w:vAlign w:val="center"/>
                </w:tcPr>
                <w:p w14:paraId="520AB4C7">
                  <w:pPr>
                    <w:jc w:val="center"/>
                    <w:rPr>
                      <w:szCs w:val="21"/>
                    </w:rPr>
                  </w:pPr>
                  <w:r>
                    <w:rPr>
                      <w:rFonts w:hint="eastAsia"/>
                      <w:szCs w:val="21"/>
                    </w:rPr>
                    <w:t>非甲烷总烃</w:t>
                  </w:r>
                </w:p>
              </w:tc>
              <w:tc>
                <w:tcPr>
                  <w:tcW w:w="6237" w:type="dxa"/>
                  <w:vAlign w:val="center"/>
                </w:tcPr>
                <w:p w14:paraId="520AB4C8">
                  <w:pPr>
                    <w:jc w:val="center"/>
                    <w:rPr>
                      <w:kern w:val="44"/>
                      <w:szCs w:val="21"/>
                    </w:rPr>
                  </w:pPr>
                  <w:r>
                    <w:rPr>
                      <w:kern w:val="44"/>
                      <w:szCs w:val="21"/>
                    </w:rPr>
                    <w:t>集气罩+干式过滤+静电除油装置+UV光催化氧化装置+活性炭吸附装置TA01</w:t>
                  </w:r>
                  <w:r>
                    <w:rPr>
                      <w:rFonts w:hint="eastAsia"/>
                      <w:kern w:val="44"/>
                      <w:szCs w:val="21"/>
                    </w:rPr>
                    <w:t>2</w:t>
                  </w:r>
                  <w:r>
                    <w:rPr>
                      <w:kern w:val="44"/>
                      <w:szCs w:val="21"/>
                    </w:rPr>
                    <w:t>+</w:t>
                  </w:r>
                  <w:r>
                    <w:t>15m排气筒</w:t>
                  </w:r>
                  <w:r>
                    <w:rPr>
                      <w:rFonts w:hint="eastAsia"/>
                    </w:rPr>
                    <w:t>DA012</w:t>
                  </w:r>
                </w:p>
              </w:tc>
              <w:tc>
                <w:tcPr>
                  <w:tcW w:w="983" w:type="dxa"/>
                  <w:vAlign w:val="center"/>
                </w:tcPr>
                <w:p w14:paraId="520AB4C9">
                  <w:pPr>
                    <w:jc w:val="center"/>
                    <w:rPr>
                      <w:kern w:val="44"/>
                      <w:szCs w:val="21"/>
                    </w:rPr>
                  </w:pPr>
                  <w:r>
                    <w:rPr>
                      <w:rFonts w:hint="eastAsia"/>
                      <w:kern w:val="44"/>
                      <w:szCs w:val="21"/>
                    </w:rPr>
                    <w:t>/</w:t>
                  </w:r>
                </w:p>
              </w:tc>
            </w:tr>
            <w:tr w14:paraId="520AB4D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Merge w:val="restart"/>
                  <w:vAlign w:val="center"/>
                </w:tcPr>
                <w:p w14:paraId="520AB4CB">
                  <w:pPr>
                    <w:jc w:val="center"/>
                    <w:rPr>
                      <w:rFonts w:hint="eastAsia" w:hAnsi="宋体"/>
                      <w:szCs w:val="21"/>
                    </w:rPr>
                  </w:pPr>
                  <w:r>
                    <w:rPr>
                      <w:szCs w:val="22"/>
                    </w:rPr>
                    <w:t>101</w:t>
                  </w:r>
                  <w:r>
                    <w:rPr>
                      <w:rFonts w:hint="eastAsia"/>
                      <w:szCs w:val="22"/>
                    </w:rPr>
                    <w:t>#</w:t>
                  </w:r>
                  <w:r>
                    <w:rPr>
                      <w:rFonts w:hint="eastAsia"/>
                      <w:szCs w:val="21"/>
                    </w:rPr>
                    <w:t>厂房</w:t>
                  </w:r>
                </w:p>
              </w:tc>
              <w:tc>
                <w:tcPr>
                  <w:tcW w:w="1843" w:type="dxa"/>
                  <w:vAlign w:val="center"/>
                </w:tcPr>
                <w:p w14:paraId="520AB4CC">
                  <w:pPr>
                    <w:jc w:val="center"/>
                    <w:rPr>
                      <w:szCs w:val="21"/>
                    </w:rPr>
                  </w:pPr>
                  <w:r>
                    <w:rPr>
                      <w:rFonts w:hint="eastAsia"/>
                      <w:szCs w:val="21"/>
                    </w:rPr>
                    <w:t>吹砂设备</w:t>
                  </w:r>
                </w:p>
              </w:tc>
              <w:tc>
                <w:tcPr>
                  <w:tcW w:w="1843" w:type="dxa"/>
                  <w:vAlign w:val="center"/>
                </w:tcPr>
                <w:p w14:paraId="520AB4CD">
                  <w:pPr>
                    <w:jc w:val="center"/>
                    <w:rPr>
                      <w:szCs w:val="21"/>
                    </w:rPr>
                  </w:pPr>
                  <w:r>
                    <w:rPr>
                      <w:szCs w:val="21"/>
                    </w:rPr>
                    <w:t>颗粒物</w:t>
                  </w:r>
                </w:p>
              </w:tc>
              <w:tc>
                <w:tcPr>
                  <w:tcW w:w="6237" w:type="dxa"/>
                  <w:vAlign w:val="center"/>
                </w:tcPr>
                <w:p w14:paraId="520AB4CE">
                  <w:pPr>
                    <w:jc w:val="center"/>
                    <w:rPr>
                      <w:kern w:val="44"/>
                      <w:szCs w:val="21"/>
                    </w:rPr>
                  </w:pPr>
                  <w:r>
                    <w:rPr>
                      <w:szCs w:val="20"/>
                    </w:rPr>
                    <w:t>密闭管道+袋式除尘器+水喷淋</w:t>
                  </w:r>
                  <w:r>
                    <w:rPr>
                      <w:szCs w:val="21"/>
                    </w:rPr>
                    <w:t>TA0</w:t>
                  </w:r>
                  <w:r>
                    <w:rPr>
                      <w:rFonts w:hint="eastAsia"/>
                      <w:szCs w:val="21"/>
                    </w:rPr>
                    <w:t>13</w:t>
                  </w:r>
                  <w:r>
                    <w:rPr>
                      <w:szCs w:val="20"/>
                    </w:rPr>
                    <w:t>+15m高排气筒DA0</w:t>
                  </w:r>
                  <w:r>
                    <w:rPr>
                      <w:rFonts w:hint="eastAsia"/>
                      <w:szCs w:val="20"/>
                    </w:rPr>
                    <w:t>13</w:t>
                  </w:r>
                </w:p>
              </w:tc>
              <w:tc>
                <w:tcPr>
                  <w:tcW w:w="983" w:type="dxa"/>
                  <w:vAlign w:val="center"/>
                </w:tcPr>
                <w:p w14:paraId="520AB4CF">
                  <w:pPr>
                    <w:jc w:val="center"/>
                    <w:rPr>
                      <w:kern w:val="44"/>
                      <w:szCs w:val="21"/>
                    </w:rPr>
                  </w:pPr>
                  <w:r>
                    <w:rPr>
                      <w:rFonts w:hint="eastAsia"/>
                      <w:kern w:val="44"/>
                      <w:szCs w:val="21"/>
                    </w:rPr>
                    <w:t>在建工程未投产</w:t>
                  </w:r>
                </w:p>
              </w:tc>
            </w:tr>
            <w:tr w14:paraId="520AB4D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Merge w:val="continue"/>
                  <w:vAlign w:val="center"/>
                </w:tcPr>
                <w:p w14:paraId="520AB4D1">
                  <w:pPr>
                    <w:jc w:val="center"/>
                    <w:rPr>
                      <w:rFonts w:hint="eastAsia" w:hAnsi="宋体"/>
                      <w:szCs w:val="21"/>
                    </w:rPr>
                  </w:pPr>
                </w:p>
              </w:tc>
              <w:tc>
                <w:tcPr>
                  <w:tcW w:w="1843" w:type="dxa"/>
                  <w:vAlign w:val="center"/>
                </w:tcPr>
                <w:p w14:paraId="520AB4D2">
                  <w:pPr>
                    <w:jc w:val="center"/>
                    <w:rPr>
                      <w:szCs w:val="21"/>
                    </w:rPr>
                  </w:pPr>
                  <w:r>
                    <w:rPr>
                      <w:rFonts w:hint="eastAsia"/>
                      <w:szCs w:val="21"/>
                    </w:rPr>
                    <w:t>汽油清洗、油类间</w:t>
                  </w:r>
                </w:p>
              </w:tc>
              <w:tc>
                <w:tcPr>
                  <w:tcW w:w="1843" w:type="dxa"/>
                  <w:vAlign w:val="center"/>
                </w:tcPr>
                <w:p w14:paraId="520AB4D3">
                  <w:pPr>
                    <w:jc w:val="center"/>
                    <w:rPr>
                      <w:szCs w:val="21"/>
                    </w:rPr>
                  </w:pPr>
                  <w:r>
                    <w:rPr>
                      <w:rFonts w:hint="eastAsia"/>
                      <w:szCs w:val="21"/>
                    </w:rPr>
                    <w:t>非甲烷总烃</w:t>
                  </w:r>
                </w:p>
              </w:tc>
              <w:tc>
                <w:tcPr>
                  <w:tcW w:w="6237" w:type="dxa"/>
                  <w:vAlign w:val="center"/>
                </w:tcPr>
                <w:p w14:paraId="520AB4D4">
                  <w:pPr>
                    <w:jc w:val="center"/>
                    <w:rPr>
                      <w:kern w:val="44"/>
                      <w:szCs w:val="21"/>
                    </w:rPr>
                  </w:pPr>
                  <w:r>
                    <w:rPr>
                      <w:rFonts w:hint="eastAsia"/>
                    </w:rPr>
                    <w:t>密闭间收集+干式过滤+活性炭吸脱附-催化燃烧装置T</w:t>
                  </w:r>
                  <w:r>
                    <w:t>A01</w:t>
                  </w:r>
                  <w:r>
                    <w:rPr>
                      <w:rFonts w:hint="eastAsia"/>
                    </w:rPr>
                    <w:t>4+</w:t>
                  </w:r>
                  <w:r>
                    <w:t>15</w:t>
                  </w:r>
                  <w:r>
                    <w:rPr>
                      <w:rFonts w:hint="eastAsia"/>
                    </w:rPr>
                    <w:t>m高排气筒D</w:t>
                  </w:r>
                  <w:r>
                    <w:t>A01</w:t>
                  </w:r>
                  <w:r>
                    <w:rPr>
                      <w:rFonts w:hint="eastAsia"/>
                    </w:rPr>
                    <w:t>4</w:t>
                  </w:r>
                </w:p>
              </w:tc>
              <w:tc>
                <w:tcPr>
                  <w:tcW w:w="983" w:type="dxa"/>
                  <w:vAlign w:val="center"/>
                </w:tcPr>
                <w:p w14:paraId="520AB4D5">
                  <w:pPr>
                    <w:jc w:val="center"/>
                    <w:rPr>
                      <w:kern w:val="44"/>
                      <w:szCs w:val="21"/>
                    </w:rPr>
                  </w:pPr>
                  <w:r>
                    <w:rPr>
                      <w:rFonts w:hint="eastAsia"/>
                      <w:kern w:val="44"/>
                      <w:szCs w:val="21"/>
                    </w:rPr>
                    <w:t>/</w:t>
                  </w:r>
                </w:p>
              </w:tc>
            </w:tr>
            <w:tr w14:paraId="520AB4D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D7">
                  <w:pPr>
                    <w:jc w:val="center"/>
                    <w:rPr>
                      <w:rFonts w:hint="eastAsia" w:hAnsi="宋体"/>
                      <w:szCs w:val="21"/>
                    </w:rPr>
                  </w:pPr>
                  <w:r>
                    <w:rPr>
                      <w:rFonts w:hint="eastAsia"/>
                      <w:szCs w:val="21"/>
                    </w:rPr>
                    <w:t>1</w:t>
                  </w:r>
                  <w:r>
                    <w:rPr>
                      <w:szCs w:val="21"/>
                    </w:rPr>
                    <w:t>205</w:t>
                  </w:r>
                  <w:r>
                    <w:rPr>
                      <w:rFonts w:hint="eastAsia"/>
                      <w:szCs w:val="21"/>
                    </w:rPr>
                    <w:t>#厂房机加工</w:t>
                  </w:r>
                </w:p>
              </w:tc>
              <w:tc>
                <w:tcPr>
                  <w:tcW w:w="1843" w:type="dxa"/>
                  <w:vAlign w:val="center"/>
                </w:tcPr>
                <w:p w14:paraId="520AB4D8">
                  <w:pPr>
                    <w:jc w:val="center"/>
                    <w:rPr>
                      <w:szCs w:val="21"/>
                    </w:rPr>
                  </w:pPr>
                  <w:r>
                    <w:rPr>
                      <w:szCs w:val="21"/>
                    </w:rPr>
                    <w:t>焊接</w:t>
                  </w:r>
                </w:p>
              </w:tc>
              <w:tc>
                <w:tcPr>
                  <w:tcW w:w="1843" w:type="dxa"/>
                  <w:vAlign w:val="center"/>
                </w:tcPr>
                <w:p w14:paraId="520AB4D9">
                  <w:pPr>
                    <w:jc w:val="center"/>
                    <w:rPr>
                      <w:szCs w:val="21"/>
                    </w:rPr>
                  </w:pPr>
                  <w:r>
                    <w:rPr>
                      <w:szCs w:val="21"/>
                    </w:rPr>
                    <w:t>颗粒物</w:t>
                  </w:r>
                </w:p>
              </w:tc>
              <w:tc>
                <w:tcPr>
                  <w:tcW w:w="6237" w:type="dxa"/>
                  <w:vAlign w:val="center"/>
                </w:tcPr>
                <w:p w14:paraId="520AB4DA">
                  <w:pPr>
                    <w:jc w:val="center"/>
                    <w:rPr>
                      <w:kern w:val="44"/>
                      <w:szCs w:val="21"/>
                    </w:rPr>
                  </w:pPr>
                  <w:r>
                    <w:rPr>
                      <w:rFonts w:hint="eastAsia"/>
                    </w:rPr>
                    <w:t>集气罩+袋式除尘器T</w:t>
                  </w:r>
                  <w:r>
                    <w:t>A01</w:t>
                  </w:r>
                  <w:r>
                    <w:rPr>
                      <w:rFonts w:hint="eastAsia"/>
                    </w:rPr>
                    <w:t>5+</w:t>
                  </w:r>
                  <w:r>
                    <w:t>18.5</w:t>
                  </w:r>
                  <w:r>
                    <w:rPr>
                      <w:rFonts w:hint="eastAsia"/>
                    </w:rPr>
                    <w:t>m高排气筒D</w:t>
                  </w:r>
                  <w:r>
                    <w:t>A01</w:t>
                  </w:r>
                  <w:r>
                    <w:rPr>
                      <w:rFonts w:hint="eastAsia"/>
                    </w:rPr>
                    <w:t>5</w:t>
                  </w:r>
                </w:p>
              </w:tc>
              <w:tc>
                <w:tcPr>
                  <w:tcW w:w="983" w:type="dxa"/>
                  <w:vAlign w:val="center"/>
                </w:tcPr>
                <w:p w14:paraId="520AB4DB">
                  <w:pPr>
                    <w:jc w:val="center"/>
                    <w:rPr>
                      <w:kern w:val="44"/>
                      <w:szCs w:val="21"/>
                    </w:rPr>
                  </w:pPr>
                  <w:r>
                    <w:rPr>
                      <w:rFonts w:hint="eastAsia"/>
                      <w:kern w:val="44"/>
                      <w:szCs w:val="21"/>
                    </w:rPr>
                    <w:t>/</w:t>
                  </w:r>
                </w:p>
              </w:tc>
            </w:tr>
            <w:tr w14:paraId="520AB4E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DD">
                  <w:pPr>
                    <w:jc w:val="center"/>
                    <w:rPr>
                      <w:szCs w:val="21"/>
                    </w:rPr>
                  </w:pPr>
                  <w:r>
                    <w:rPr>
                      <w:rFonts w:hint="eastAsia"/>
                      <w:szCs w:val="21"/>
                    </w:rPr>
                    <w:t>1</w:t>
                  </w:r>
                  <w:r>
                    <w:rPr>
                      <w:szCs w:val="21"/>
                    </w:rPr>
                    <w:t>48</w:t>
                  </w:r>
                  <w:r>
                    <w:rPr>
                      <w:rFonts w:hint="eastAsia"/>
                      <w:szCs w:val="21"/>
                    </w:rPr>
                    <w:t>#热处理</w:t>
                  </w:r>
                </w:p>
              </w:tc>
              <w:tc>
                <w:tcPr>
                  <w:tcW w:w="1843" w:type="dxa"/>
                  <w:vAlign w:val="center"/>
                </w:tcPr>
                <w:p w14:paraId="520AB4DE">
                  <w:pPr>
                    <w:jc w:val="center"/>
                    <w:rPr>
                      <w:szCs w:val="21"/>
                    </w:rPr>
                  </w:pPr>
                  <w:r>
                    <w:rPr>
                      <w:rFonts w:hint="eastAsia"/>
                      <w:szCs w:val="21"/>
                    </w:rPr>
                    <w:t>钎焊</w:t>
                  </w:r>
                </w:p>
              </w:tc>
              <w:tc>
                <w:tcPr>
                  <w:tcW w:w="1843" w:type="dxa"/>
                  <w:vAlign w:val="center"/>
                </w:tcPr>
                <w:p w14:paraId="520AB4DF">
                  <w:pPr>
                    <w:jc w:val="center"/>
                    <w:rPr>
                      <w:szCs w:val="21"/>
                    </w:rPr>
                  </w:pPr>
                  <w:r>
                    <w:rPr>
                      <w:rFonts w:hint="eastAsia"/>
                      <w:szCs w:val="21"/>
                    </w:rPr>
                    <w:t>颗粒物</w:t>
                  </w:r>
                </w:p>
              </w:tc>
              <w:tc>
                <w:tcPr>
                  <w:tcW w:w="6237" w:type="dxa"/>
                  <w:vAlign w:val="center"/>
                </w:tcPr>
                <w:p w14:paraId="520AB4E0">
                  <w:pPr>
                    <w:jc w:val="center"/>
                  </w:pPr>
                  <w:r>
                    <w:rPr>
                      <w:rFonts w:hint="eastAsia"/>
                      <w:kern w:val="44"/>
                      <w:szCs w:val="21"/>
                    </w:rPr>
                    <w:t>管道收集+</w:t>
                  </w:r>
                  <w:r>
                    <w:rPr>
                      <w:rFonts w:hint="eastAsia"/>
                    </w:rPr>
                    <w:t>袋式除尘器T</w:t>
                  </w:r>
                  <w:r>
                    <w:t>A01</w:t>
                  </w:r>
                  <w:r>
                    <w:rPr>
                      <w:rFonts w:hint="eastAsia"/>
                    </w:rPr>
                    <w:t>6+</w:t>
                  </w:r>
                  <w:r>
                    <w:t>21.5</w:t>
                  </w:r>
                  <w:r>
                    <w:rPr>
                      <w:rFonts w:hint="eastAsia"/>
                    </w:rPr>
                    <w:t>m高排气筒D</w:t>
                  </w:r>
                  <w:r>
                    <w:t>A01</w:t>
                  </w:r>
                  <w:r>
                    <w:rPr>
                      <w:rFonts w:hint="eastAsia"/>
                    </w:rPr>
                    <w:t>6</w:t>
                  </w:r>
                </w:p>
              </w:tc>
              <w:tc>
                <w:tcPr>
                  <w:tcW w:w="983" w:type="dxa"/>
                  <w:vAlign w:val="center"/>
                </w:tcPr>
                <w:p w14:paraId="520AB4E1">
                  <w:pPr>
                    <w:jc w:val="center"/>
                    <w:rPr>
                      <w:kern w:val="44"/>
                      <w:szCs w:val="21"/>
                    </w:rPr>
                  </w:pPr>
                  <w:r>
                    <w:rPr>
                      <w:rFonts w:hint="eastAsia"/>
                      <w:kern w:val="44"/>
                      <w:szCs w:val="21"/>
                    </w:rPr>
                    <w:t>/</w:t>
                  </w:r>
                </w:p>
              </w:tc>
            </w:tr>
            <w:tr w14:paraId="520AB4E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E3">
                  <w:pPr>
                    <w:jc w:val="center"/>
                    <w:rPr>
                      <w:szCs w:val="21"/>
                    </w:rPr>
                  </w:pPr>
                  <w:r>
                    <w:rPr>
                      <w:szCs w:val="21"/>
                    </w:rPr>
                    <w:t>168</w:t>
                  </w:r>
                  <w:r>
                    <w:rPr>
                      <w:rFonts w:hint="eastAsia"/>
                      <w:szCs w:val="21"/>
                    </w:rPr>
                    <w:t>#厂房</w:t>
                  </w:r>
                </w:p>
              </w:tc>
              <w:tc>
                <w:tcPr>
                  <w:tcW w:w="1843" w:type="dxa"/>
                  <w:vAlign w:val="center"/>
                </w:tcPr>
                <w:p w14:paraId="520AB4E4">
                  <w:pPr>
                    <w:jc w:val="center"/>
                    <w:rPr>
                      <w:szCs w:val="21"/>
                    </w:rPr>
                  </w:pPr>
                  <w:r>
                    <w:rPr>
                      <w:rFonts w:hint="eastAsia"/>
                      <w:szCs w:val="21"/>
                    </w:rPr>
                    <w:t>油类试验间</w:t>
                  </w:r>
                </w:p>
              </w:tc>
              <w:tc>
                <w:tcPr>
                  <w:tcW w:w="1843" w:type="dxa"/>
                  <w:vAlign w:val="center"/>
                </w:tcPr>
                <w:p w14:paraId="520AB4E5">
                  <w:pPr>
                    <w:jc w:val="center"/>
                    <w:rPr>
                      <w:szCs w:val="21"/>
                    </w:rPr>
                  </w:pPr>
                  <w:r>
                    <w:rPr>
                      <w:rFonts w:hint="eastAsia"/>
                      <w:szCs w:val="21"/>
                    </w:rPr>
                    <w:t>非甲烷总烃</w:t>
                  </w:r>
                </w:p>
              </w:tc>
              <w:tc>
                <w:tcPr>
                  <w:tcW w:w="6237" w:type="dxa"/>
                  <w:vAlign w:val="center"/>
                </w:tcPr>
                <w:p w14:paraId="520AB4E6">
                  <w:pPr>
                    <w:jc w:val="center"/>
                  </w:pPr>
                  <w:r>
                    <w:rPr>
                      <w:rFonts w:hint="eastAsia"/>
                    </w:rPr>
                    <w:t>密闭间收集+干式过滤+活性炭吸脱附-催化燃烧装置T</w:t>
                  </w:r>
                  <w:r>
                    <w:t>A01</w:t>
                  </w:r>
                  <w:r>
                    <w:rPr>
                      <w:rFonts w:hint="eastAsia"/>
                    </w:rPr>
                    <w:t>7+</w:t>
                  </w:r>
                  <w:r>
                    <w:t>15</w:t>
                  </w:r>
                  <w:r>
                    <w:rPr>
                      <w:rFonts w:hint="eastAsia"/>
                    </w:rPr>
                    <w:t>m高排气筒D</w:t>
                  </w:r>
                  <w:r>
                    <w:t>A01</w:t>
                  </w:r>
                  <w:r>
                    <w:rPr>
                      <w:rFonts w:hint="eastAsia"/>
                    </w:rPr>
                    <w:t>7</w:t>
                  </w:r>
                </w:p>
              </w:tc>
              <w:tc>
                <w:tcPr>
                  <w:tcW w:w="983" w:type="dxa"/>
                  <w:vAlign w:val="center"/>
                </w:tcPr>
                <w:p w14:paraId="520AB4E7">
                  <w:pPr>
                    <w:jc w:val="center"/>
                    <w:rPr>
                      <w:kern w:val="44"/>
                      <w:szCs w:val="21"/>
                    </w:rPr>
                  </w:pPr>
                  <w:r>
                    <w:rPr>
                      <w:rFonts w:hint="eastAsia"/>
                      <w:kern w:val="44"/>
                      <w:szCs w:val="21"/>
                    </w:rPr>
                    <w:t>已建成投产，在建工程存在依托</w:t>
                  </w:r>
                </w:p>
              </w:tc>
            </w:tr>
            <w:tr w14:paraId="520AB4E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4E9">
                  <w:pPr>
                    <w:jc w:val="center"/>
                    <w:rPr>
                      <w:rFonts w:hint="eastAsia" w:hAnsi="宋体"/>
                      <w:szCs w:val="21"/>
                    </w:rPr>
                  </w:pPr>
                  <w:r>
                    <w:rPr>
                      <w:szCs w:val="21"/>
                    </w:rPr>
                    <w:t>106</w:t>
                  </w:r>
                  <w:r>
                    <w:rPr>
                      <w:rFonts w:hint="eastAsia"/>
                      <w:szCs w:val="21"/>
                    </w:rPr>
                    <w:t>#厂房西北角</w:t>
                  </w:r>
                </w:p>
              </w:tc>
              <w:tc>
                <w:tcPr>
                  <w:tcW w:w="1843" w:type="dxa"/>
                  <w:vAlign w:val="center"/>
                </w:tcPr>
                <w:p w14:paraId="520AB4EA">
                  <w:pPr>
                    <w:jc w:val="center"/>
                    <w:rPr>
                      <w:szCs w:val="21"/>
                    </w:rPr>
                  </w:pPr>
                  <w:r>
                    <w:rPr>
                      <w:rFonts w:hint="eastAsia"/>
                      <w:szCs w:val="21"/>
                    </w:rPr>
                    <w:t>汽油清洗间</w:t>
                  </w:r>
                </w:p>
              </w:tc>
              <w:tc>
                <w:tcPr>
                  <w:tcW w:w="1843" w:type="dxa"/>
                  <w:vAlign w:val="center"/>
                </w:tcPr>
                <w:p w14:paraId="520AB4EB">
                  <w:pPr>
                    <w:jc w:val="center"/>
                    <w:rPr>
                      <w:szCs w:val="21"/>
                    </w:rPr>
                  </w:pPr>
                  <w:r>
                    <w:rPr>
                      <w:rFonts w:hint="eastAsia"/>
                      <w:szCs w:val="21"/>
                    </w:rPr>
                    <w:t>非甲烷总烃</w:t>
                  </w:r>
                </w:p>
              </w:tc>
              <w:tc>
                <w:tcPr>
                  <w:tcW w:w="6237" w:type="dxa"/>
                  <w:vAlign w:val="center"/>
                </w:tcPr>
                <w:p w14:paraId="520AB4EC">
                  <w:pPr>
                    <w:jc w:val="center"/>
                    <w:rPr>
                      <w:kern w:val="44"/>
                      <w:szCs w:val="21"/>
                    </w:rPr>
                  </w:pPr>
                  <w:r>
                    <w:rPr>
                      <w:rFonts w:hint="eastAsia"/>
                    </w:rPr>
                    <w:t>密闭间收集+干式过滤+活性炭吸脱附-催化燃烧装置T</w:t>
                  </w:r>
                  <w:r>
                    <w:t>A01</w:t>
                  </w:r>
                  <w:r>
                    <w:rPr>
                      <w:rFonts w:hint="eastAsia"/>
                    </w:rPr>
                    <w:t>8+1</w:t>
                  </w:r>
                  <w:r>
                    <w:t>5</w:t>
                  </w:r>
                  <w:r>
                    <w:rPr>
                      <w:rFonts w:hint="eastAsia"/>
                    </w:rPr>
                    <w:t>m高排气筒D</w:t>
                  </w:r>
                  <w:r>
                    <w:t>A01</w:t>
                  </w:r>
                  <w:r>
                    <w:rPr>
                      <w:rFonts w:hint="eastAsia"/>
                    </w:rPr>
                    <w:t>8</w:t>
                  </w:r>
                </w:p>
              </w:tc>
              <w:tc>
                <w:tcPr>
                  <w:tcW w:w="983" w:type="dxa"/>
                  <w:vAlign w:val="center"/>
                </w:tcPr>
                <w:p w14:paraId="520AB4ED">
                  <w:pPr>
                    <w:jc w:val="center"/>
                    <w:rPr>
                      <w:kern w:val="44"/>
                      <w:szCs w:val="21"/>
                    </w:rPr>
                  </w:pPr>
                  <w:r>
                    <w:rPr>
                      <w:rFonts w:hint="eastAsia"/>
                      <w:kern w:val="44"/>
                      <w:szCs w:val="21"/>
                    </w:rPr>
                    <w:t>/</w:t>
                  </w:r>
                </w:p>
              </w:tc>
            </w:tr>
            <w:tr w14:paraId="520AB4F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Merge w:val="restart"/>
                  <w:vAlign w:val="center"/>
                </w:tcPr>
                <w:p w14:paraId="520AB4EF">
                  <w:pPr>
                    <w:jc w:val="center"/>
                    <w:rPr>
                      <w:szCs w:val="21"/>
                    </w:rPr>
                  </w:pPr>
                  <w:r>
                    <w:rPr>
                      <w:rFonts w:hint="eastAsia"/>
                      <w:szCs w:val="22"/>
                    </w:rPr>
                    <w:t>105</w:t>
                  </w:r>
                  <w:r>
                    <w:rPr>
                      <w:rFonts w:hint="eastAsia"/>
                      <w:szCs w:val="21"/>
                    </w:rPr>
                    <w:t>#厂房</w:t>
                  </w:r>
                </w:p>
              </w:tc>
              <w:tc>
                <w:tcPr>
                  <w:tcW w:w="1843" w:type="dxa"/>
                  <w:vAlign w:val="center"/>
                </w:tcPr>
                <w:p w14:paraId="520AB4F0">
                  <w:pPr>
                    <w:jc w:val="center"/>
                    <w:rPr>
                      <w:szCs w:val="21"/>
                    </w:rPr>
                  </w:pPr>
                  <w:r>
                    <w:rPr>
                      <w:rFonts w:hint="eastAsia"/>
                      <w:szCs w:val="21"/>
                    </w:rPr>
                    <w:t>吹砂设备</w:t>
                  </w:r>
                </w:p>
              </w:tc>
              <w:tc>
                <w:tcPr>
                  <w:tcW w:w="1843" w:type="dxa"/>
                  <w:vAlign w:val="center"/>
                </w:tcPr>
                <w:p w14:paraId="520AB4F1">
                  <w:pPr>
                    <w:jc w:val="center"/>
                    <w:rPr>
                      <w:szCs w:val="21"/>
                    </w:rPr>
                  </w:pPr>
                  <w:r>
                    <w:rPr>
                      <w:szCs w:val="21"/>
                    </w:rPr>
                    <w:t>颗粒物</w:t>
                  </w:r>
                </w:p>
              </w:tc>
              <w:tc>
                <w:tcPr>
                  <w:tcW w:w="6237" w:type="dxa"/>
                  <w:vAlign w:val="center"/>
                </w:tcPr>
                <w:p w14:paraId="520AB4F2">
                  <w:pPr>
                    <w:jc w:val="center"/>
                  </w:pPr>
                  <w:r>
                    <w:rPr>
                      <w:szCs w:val="20"/>
                    </w:rPr>
                    <w:t>密闭管道+袋式除尘器+水喷淋</w:t>
                  </w:r>
                  <w:r>
                    <w:rPr>
                      <w:szCs w:val="21"/>
                    </w:rPr>
                    <w:t>TA0</w:t>
                  </w:r>
                  <w:r>
                    <w:rPr>
                      <w:rFonts w:hint="eastAsia"/>
                      <w:szCs w:val="21"/>
                    </w:rPr>
                    <w:t>19</w:t>
                  </w:r>
                  <w:r>
                    <w:rPr>
                      <w:szCs w:val="20"/>
                    </w:rPr>
                    <w:t>+15m高排气筒DA0</w:t>
                  </w:r>
                  <w:r>
                    <w:rPr>
                      <w:rFonts w:hint="eastAsia"/>
                      <w:szCs w:val="20"/>
                    </w:rPr>
                    <w:t>19</w:t>
                  </w:r>
                </w:p>
              </w:tc>
              <w:tc>
                <w:tcPr>
                  <w:tcW w:w="983" w:type="dxa"/>
                  <w:vMerge w:val="restart"/>
                  <w:vAlign w:val="center"/>
                </w:tcPr>
                <w:p w14:paraId="520AB4F3">
                  <w:pPr>
                    <w:jc w:val="center"/>
                    <w:rPr>
                      <w:kern w:val="44"/>
                      <w:szCs w:val="21"/>
                    </w:rPr>
                  </w:pPr>
                  <w:r>
                    <w:rPr>
                      <w:rFonts w:hint="eastAsia"/>
                      <w:kern w:val="44"/>
                      <w:szCs w:val="21"/>
                    </w:rPr>
                    <w:t>在建工程未投产</w:t>
                  </w:r>
                </w:p>
              </w:tc>
            </w:tr>
            <w:tr w14:paraId="520AB4F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Merge w:val="continue"/>
                  <w:vAlign w:val="center"/>
                </w:tcPr>
                <w:p w14:paraId="520AB4F5">
                  <w:pPr>
                    <w:jc w:val="center"/>
                    <w:rPr>
                      <w:szCs w:val="21"/>
                    </w:rPr>
                  </w:pPr>
                </w:p>
              </w:tc>
              <w:tc>
                <w:tcPr>
                  <w:tcW w:w="1843" w:type="dxa"/>
                  <w:vAlign w:val="center"/>
                </w:tcPr>
                <w:p w14:paraId="520AB4F6">
                  <w:pPr>
                    <w:jc w:val="center"/>
                    <w:rPr>
                      <w:szCs w:val="21"/>
                    </w:rPr>
                  </w:pPr>
                  <w:r>
                    <w:rPr>
                      <w:rFonts w:hint="eastAsia"/>
                      <w:szCs w:val="22"/>
                    </w:rPr>
                    <w:t>淬火油槽</w:t>
                  </w:r>
                </w:p>
              </w:tc>
              <w:tc>
                <w:tcPr>
                  <w:tcW w:w="1843" w:type="dxa"/>
                  <w:vAlign w:val="center"/>
                </w:tcPr>
                <w:p w14:paraId="520AB4F7">
                  <w:pPr>
                    <w:jc w:val="center"/>
                    <w:rPr>
                      <w:szCs w:val="21"/>
                    </w:rPr>
                  </w:pPr>
                  <w:r>
                    <w:rPr>
                      <w:szCs w:val="21"/>
                    </w:rPr>
                    <w:t>非甲烷总烃</w:t>
                  </w:r>
                </w:p>
              </w:tc>
              <w:tc>
                <w:tcPr>
                  <w:tcW w:w="6237" w:type="dxa"/>
                  <w:vAlign w:val="center"/>
                </w:tcPr>
                <w:p w14:paraId="520AB4F8">
                  <w:pPr>
                    <w:jc w:val="center"/>
                  </w:pPr>
                  <w:r>
                    <w:rPr>
                      <w:szCs w:val="20"/>
                    </w:rPr>
                    <w:t>侧吸集气罩+静电除油+UV光催化氧化+活性炭吸附</w:t>
                  </w:r>
                  <w:r>
                    <w:rPr>
                      <w:szCs w:val="21"/>
                    </w:rPr>
                    <w:t>TA02</w:t>
                  </w:r>
                  <w:r>
                    <w:rPr>
                      <w:rFonts w:hint="eastAsia"/>
                      <w:szCs w:val="21"/>
                    </w:rPr>
                    <w:t>0</w:t>
                  </w:r>
                  <w:r>
                    <w:rPr>
                      <w:szCs w:val="20"/>
                    </w:rPr>
                    <w:t>+15m高排气筒DA02</w:t>
                  </w:r>
                  <w:r>
                    <w:rPr>
                      <w:rFonts w:hint="eastAsia"/>
                      <w:szCs w:val="20"/>
                    </w:rPr>
                    <w:t>0</w:t>
                  </w:r>
                </w:p>
              </w:tc>
              <w:tc>
                <w:tcPr>
                  <w:tcW w:w="983" w:type="dxa"/>
                  <w:vMerge w:val="continue"/>
                  <w:vAlign w:val="center"/>
                </w:tcPr>
                <w:p w14:paraId="520AB4F9">
                  <w:pPr>
                    <w:jc w:val="center"/>
                    <w:rPr>
                      <w:kern w:val="44"/>
                      <w:szCs w:val="21"/>
                    </w:rPr>
                  </w:pPr>
                </w:p>
              </w:tc>
            </w:tr>
            <w:tr w14:paraId="520AB50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Merge w:val="continue"/>
                  <w:vAlign w:val="center"/>
                </w:tcPr>
                <w:p w14:paraId="520AB4FB">
                  <w:pPr>
                    <w:jc w:val="center"/>
                    <w:rPr>
                      <w:szCs w:val="21"/>
                    </w:rPr>
                  </w:pPr>
                </w:p>
              </w:tc>
              <w:tc>
                <w:tcPr>
                  <w:tcW w:w="1843" w:type="dxa"/>
                  <w:vAlign w:val="center"/>
                </w:tcPr>
                <w:p w14:paraId="520AB4FC">
                  <w:pPr>
                    <w:jc w:val="center"/>
                    <w:rPr>
                      <w:szCs w:val="21"/>
                    </w:rPr>
                  </w:pPr>
                  <w:r>
                    <w:rPr>
                      <w:rFonts w:hint="eastAsia"/>
                      <w:szCs w:val="22"/>
                    </w:rPr>
                    <w:t>离子渗氮炉</w:t>
                  </w:r>
                </w:p>
              </w:tc>
              <w:tc>
                <w:tcPr>
                  <w:tcW w:w="1843" w:type="dxa"/>
                  <w:vAlign w:val="center"/>
                </w:tcPr>
                <w:p w14:paraId="520AB4FD">
                  <w:pPr>
                    <w:jc w:val="center"/>
                    <w:rPr>
                      <w:szCs w:val="21"/>
                    </w:rPr>
                  </w:pPr>
                  <w:r>
                    <w:rPr>
                      <w:rFonts w:hint="eastAsia"/>
                      <w:szCs w:val="21"/>
                    </w:rPr>
                    <w:t>氨</w:t>
                  </w:r>
                </w:p>
              </w:tc>
              <w:tc>
                <w:tcPr>
                  <w:tcW w:w="6237" w:type="dxa"/>
                  <w:vAlign w:val="center"/>
                </w:tcPr>
                <w:p w14:paraId="520AB4FE">
                  <w:pPr>
                    <w:jc w:val="center"/>
                  </w:pPr>
                  <w:r>
                    <w:rPr>
                      <w:szCs w:val="20"/>
                    </w:rPr>
                    <w:t>密闭管道+氨吸收塔（水喷淋塔）</w:t>
                  </w:r>
                  <w:r>
                    <w:rPr>
                      <w:szCs w:val="21"/>
                    </w:rPr>
                    <w:t>TA0</w:t>
                  </w:r>
                  <w:r>
                    <w:rPr>
                      <w:rFonts w:hint="eastAsia"/>
                      <w:szCs w:val="21"/>
                    </w:rPr>
                    <w:t>21</w:t>
                  </w:r>
                  <w:r>
                    <w:rPr>
                      <w:szCs w:val="20"/>
                    </w:rPr>
                    <w:t>+15m高排气筒DA0</w:t>
                  </w:r>
                  <w:r>
                    <w:rPr>
                      <w:rFonts w:hint="eastAsia"/>
                      <w:szCs w:val="20"/>
                    </w:rPr>
                    <w:t>21</w:t>
                  </w:r>
                </w:p>
              </w:tc>
              <w:tc>
                <w:tcPr>
                  <w:tcW w:w="983" w:type="dxa"/>
                  <w:vMerge w:val="continue"/>
                  <w:vAlign w:val="center"/>
                </w:tcPr>
                <w:p w14:paraId="520AB4FF">
                  <w:pPr>
                    <w:jc w:val="center"/>
                    <w:rPr>
                      <w:kern w:val="44"/>
                      <w:szCs w:val="21"/>
                    </w:rPr>
                  </w:pPr>
                </w:p>
              </w:tc>
            </w:tr>
            <w:tr w14:paraId="520AB50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443" w:type="dxa"/>
                  <w:gridSpan w:val="2"/>
                  <w:vAlign w:val="center"/>
                </w:tcPr>
                <w:p w14:paraId="520AB501">
                  <w:pPr>
                    <w:jc w:val="center"/>
                    <w:rPr>
                      <w:szCs w:val="21"/>
                    </w:rPr>
                  </w:pPr>
                  <w:r>
                    <w:rPr>
                      <w:rFonts w:hint="eastAsia"/>
                      <w:szCs w:val="21"/>
                    </w:rPr>
                    <w:t>危废贮存库（内含7间危废贮存间）</w:t>
                  </w:r>
                </w:p>
              </w:tc>
              <w:tc>
                <w:tcPr>
                  <w:tcW w:w="1843" w:type="dxa"/>
                  <w:vAlign w:val="center"/>
                </w:tcPr>
                <w:p w14:paraId="520AB502">
                  <w:pPr>
                    <w:jc w:val="center"/>
                    <w:rPr>
                      <w:szCs w:val="21"/>
                    </w:rPr>
                  </w:pPr>
                  <w:r>
                    <w:rPr>
                      <w:rFonts w:hint="eastAsia"/>
                      <w:szCs w:val="21"/>
                    </w:rPr>
                    <w:t>非甲烷总烃</w:t>
                  </w:r>
                </w:p>
              </w:tc>
              <w:tc>
                <w:tcPr>
                  <w:tcW w:w="6237" w:type="dxa"/>
                  <w:vAlign w:val="center"/>
                </w:tcPr>
                <w:p w14:paraId="520AB503">
                  <w:pPr>
                    <w:jc w:val="center"/>
                  </w:pPr>
                  <w:r>
                    <w:rPr>
                      <w:rFonts w:hint="eastAsia"/>
                    </w:rPr>
                    <w:t>密闭间收集+干式过滤+活性炭吸脱附-催化燃烧装置T</w:t>
                  </w:r>
                  <w:r>
                    <w:t>A0</w:t>
                  </w:r>
                  <w:r>
                    <w:rPr>
                      <w:rFonts w:hint="eastAsia"/>
                    </w:rPr>
                    <w:t>22+</w:t>
                  </w:r>
                  <w:r>
                    <w:t>15</w:t>
                  </w:r>
                  <w:r>
                    <w:rPr>
                      <w:rFonts w:hint="eastAsia"/>
                    </w:rPr>
                    <w:t>m高排气筒D</w:t>
                  </w:r>
                  <w:r>
                    <w:t>A0</w:t>
                  </w:r>
                  <w:r>
                    <w:rPr>
                      <w:rFonts w:hint="eastAsia"/>
                    </w:rPr>
                    <w:t>22</w:t>
                  </w:r>
                </w:p>
              </w:tc>
              <w:tc>
                <w:tcPr>
                  <w:tcW w:w="983" w:type="dxa"/>
                  <w:vAlign w:val="center"/>
                </w:tcPr>
                <w:p w14:paraId="520AB504">
                  <w:pPr>
                    <w:jc w:val="center"/>
                    <w:rPr>
                      <w:kern w:val="44"/>
                      <w:szCs w:val="21"/>
                    </w:rPr>
                  </w:pPr>
                  <w:r>
                    <w:rPr>
                      <w:rFonts w:hint="eastAsia"/>
                      <w:kern w:val="44"/>
                      <w:szCs w:val="21"/>
                    </w:rPr>
                    <w:t>/</w:t>
                  </w:r>
                </w:p>
              </w:tc>
            </w:tr>
            <w:tr w14:paraId="520AB50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506">
                  <w:pPr>
                    <w:jc w:val="center"/>
                    <w:rPr>
                      <w:szCs w:val="21"/>
                    </w:rPr>
                  </w:pPr>
                  <w:r>
                    <w:rPr>
                      <w:rFonts w:hint="eastAsia"/>
                      <w:szCs w:val="21"/>
                    </w:rPr>
                    <w:t>1</w:t>
                  </w:r>
                  <w:r>
                    <w:rPr>
                      <w:szCs w:val="21"/>
                    </w:rPr>
                    <w:t>53</w:t>
                  </w:r>
                  <w:r>
                    <w:rPr>
                      <w:rFonts w:hint="eastAsia"/>
                      <w:szCs w:val="21"/>
                    </w:rPr>
                    <w:t>#厂房民机部</w:t>
                  </w:r>
                </w:p>
              </w:tc>
              <w:tc>
                <w:tcPr>
                  <w:tcW w:w="1843" w:type="dxa"/>
                  <w:vAlign w:val="center"/>
                </w:tcPr>
                <w:p w14:paraId="520AB507">
                  <w:pPr>
                    <w:jc w:val="center"/>
                    <w:rPr>
                      <w:szCs w:val="21"/>
                    </w:rPr>
                  </w:pPr>
                  <w:r>
                    <w:rPr>
                      <w:rFonts w:hint="eastAsia"/>
                      <w:szCs w:val="21"/>
                    </w:rPr>
                    <w:t>钎焊、焊接</w:t>
                  </w:r>
                </w:p>
              </w:tc>
              <w:tc>
                <w:tcPr>
                  <w:tcW w:w="1843" w:type="dxa"/>
                  <w:vAlign w:val="center"/>
                </w:tcPr>
                <w:p w14:paraId="520AB508">
                  <w:pPr>
                    <w:jc w:val="center"/>
                    <w:rPr>
                      <w:szCs w:val="21"/>
                    </w:rPr>
                  </w:pPr>
                  <w:r>
                    <w:rPr>
                      <w:rFonts w:hint="eastAsia"/>
                      <w:szCs w:val="21"/>
                    </w:rPr>
                    <w:t>颗粒物</w:t>
                  </w:r>
                </w:p>
              </w:tc>
              <w:tc>
                <w:tcPr>
                  <w:tcW w:w="6237" w:type="dxa"/>
                  <w:vAlign w:val="center"/>
                </w:tcPr>
                <w:p w14:paraId="520AB509">
                  <w:pPr>
                    <w:jc w:val="center"/>
                  </w:pPr>
                  <w:r>
                    <w:rPr>
                      <w:rFonts w:hint="eastAsia"/>
                      <w:szCs w:val="21"/>
                    </w:rPr>
                    <w:t>脉冲滤筒除尘器</w:t>
                  </w:r>
                  <w:r>
                    <w:rPr>
                      <w:szCs w:val="21"/>
                    </w:rPr>
                    <w:t>+</w:t>
                  </w:r>
                  <w:r>
                    <w:rPr>
                      <w:rFonts w:hint="eastAsia"/>
                      <w:szCs w:val="21"/>
                    </w:rPr>
                    <w:t>活性炭吸附T</w:t>
                  </w:r>
                  <w:r>
                    <w:rPr>
                      <w:szCs w:val="21"/>
                    </w:rPr>
                    <w:t>A023</w:t>
                  </w:r>
                  <w:r>
                    <w:rPr>
                      <w:rFonts w:hint="eastAsia"/>
                      <w:szCs w:val="21"/>
                    </w:rPr>
                    <w:t>+15m高排气筒DA02</w:t>
                  </w:r>
                  <w:r>
                    <w:rPr>
                      <w:szCs w:val="21"/>
                    </w:rPr>
                    <w:t>3</w:t>
                  </w:r>
                </w:p>
              </w:tc>
              <w:tc>
                <w:tcPr>
                  <w:tcW w:w="983" w:type="dxa"/>
                  <w:vAlign w:val="center"/>
                </w:tcPr>
                <w:p w14:paraId="520AB50A">
                  <w:pPr>
                    <w:jc w:val="center"/>
                    <w:rPr>
                      <w:kern w:val="44"/>
                      <w:szCs w:val="21"/>
                    </w:rPr>
                  </w:pPr>
                  <w:r>
                    <w:rPr>
                      <w:rFonts w:hint="eastAsia"/>
                      <w:szCs w:val="21"/>
                    </w:rPr>
                    <w:t>环评登记表内容，</w:t>
                  </w:r>
                  <w:r>
                    <w:rPr>
                      <w:rFonts w:hint="eastAsia"/>
                      <w:kern w:val="44"/>
                      <w:szCs w:val="21"/>
                    </w:rPr>
                    <w:t>在建工程未投产</w:t>
                  </w:r>
                </w:p>
              </w:tc>
            </w:tr>
            <w:tr w14:paraId="520AB51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50C">
                  <w:pPr>
                    <w:jc w:val="center"/>
                    <w:rPr>
                      <w:szCs w:val="21"/>
                    </w:rPr>
                  </w:pPr>
                  <w:r>
                    <w:rPr>
                      <w:rFonts w:hint="eastAsia"/>
                      <w:szCs w:val="21"/>
                    </w:rPr>
                    <w:t>153#厂房防务部</w:t>
                  </w:r>
                </w:p>
              </w:tc>
              <w:tc>
                <w:tcPr>
                  <w:tcW w:w="1843" w:type="dxa"/>
                  <w:vAlign w:val="center"/>
                </w:tcPr>
                <w:p w14:paraId="520AB50D">
                  <w:pPr>
                    <w:jc w:val="center"/>
                    <w:rPr>
                      <w:szCs w:val="21"/>
                    </w:rPr>
                  </w:pPr>
                  <w:r>
                    <w:rPr>
                      <w:rFonts w:hint="eastAsia"/>
                      <w:szCs w:val="21"/>
                    </w:rPr>
                    <w:t>钎焊、电子束焊、印刷机（刷焊料）</w:t>
                  </w:r>
                </w:p>
              </w:tc>
              <w:tc>
                <w:tcPr>
                  <w:tcW w:w="1843" w:type="dxa"/>
                  <w:vAlign w:val="center"/>
                </w:tcPr>
                <w:p w14:paraId="520AB50E">
                  <w:pPr>
                    <w:jc w:val="center"/>
                    <w:rPr>
                      <w:szCs w:val="21"/>
                    </w:rPr>
                  </w:pPr>
                  <w:r>
                    <w:rPr>
                      <w:rFonts w:hint="eastAsia"/>
                      <w:szCs w:val="21"/>
                    </w:rPr>
                    <w:t>颗粒物</w:t>
                  </w:r>
                </w:p>
              </w:tc>
              <w:tc>
                <w:tcPr>
                  <w:tcW w:w="6237" w:type="dxa"/>
                  <w:vAlign w:val="center"/>
                </w:tcPr>
                <w:p w14:paraId="520AB50F">
                  <w:pPr>
                    <w:jc w:val="center"/>
                  </w:pPr>
                  <w:r>
                    <w:rPr>
                      <w:rFonts w:hint="eastAsia"/>
                      <w:szCs w:val="21"/>
                    </w:rPr>
                    <w:t>脉冲袋式除尘器+活性炭吸附TA02</w:t>
                  </w:r>
                  <w:r>
                    <w:rPr>
                      <w:szCs w:val="21"/>
                    </w:rPr>
                    <w:t>4</w:t>
                  </w:r>
                  <w:r>
                    <w:rPr>
                      <w:rFonts w:hint="eastAsia"/>
                      <w:szCs w:val="21"/>
                    </w:rPr>
                    <w:t>+15m高排气筒DA02</w:t>
                  </w:r>
                  <w:r>
                    <w:rPr>
                      <w:szCs w:val="21"/>
                    </w:rPr>
                    <w:t>4</w:t>
                  </w:r>
                </w:p>
              </w:tc>
              <w:tc>
                <w:tcPr>
                  <w:tcW w:w="983" w:type="dxa"/>
                  <w:vAlign w:val="center"/>
                </w:tcPr>
                <w:p w14:paraId="520AB510">
                  <w:pPr>
                    <w:jc w:val="center"/>
                    <w:rPr>
                      <w:kern w:val="44"/>
                      <w:szCs w:val="21"/>
                    </w:rPr>
                  </w:pPr>
                  <w:r>
                    <w:rPr>
                      <w:rFonts w:hint="eastAsia"/>
                      <w:kern w:val="44"/>
                      <w:szCs w:val="21"/>
                    </w:rPr>
                    <w:t>在建工程未投产</w:t>
                  </w:r>
                </w:p>
              </w:tc>
            </w:tr>
            <w:tr w14:paraId="520AB51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512">
                  <w:pPr>
                    <w:jc w:val="center"/>
                    <w:rPr>
                      <w:szCs w:val="21"/>
                    </w:rPr>
                  </w:pPr>
                  <w:r>
                    <w:rPr>
                      <w:rFonts w:hint="eastAsia"/>
                      <w:szCs w:val="21"/>
                    </w:rPr>
                    <w:t>1</w:t>
                  </w:r>
                  <w:r>
                    <w:rPr>
                      <w:szCs w:val="21"/>
                    </w:rPr>
                    <w:t>01</w:t>
                  </w:r>
                  <w:r>
                    <w:rPr>
                      <w:rFonts w:hint="eastAsia"/>
                      <w:szCs w:val="21"/>
                    </w:rPr>
                    <w:t>#厂房</w:t>
                  </w:r>
                </w:p>
              </w:tc>
              <w:tc>
                <w:tcPr>
                  <w:tcW w:w="1843" w:type="dxa"/>
                  <w:vAlign w:val="center"/>
                </w:tcPr>
                <w:p w14:paraId="520AB513">
                  <w:pPr>
                    <w:jc w:val="center"/>
                    <w:rPr>
                      <w:szCs w:val="21"/>
                    </w:rPr>
                  </w:pPr>
                  <w:r>
                    <w:rPr>
                      <w:rFonts w:hint="eastAsia"/>
                      <w:szCs w:val="21"/>
                    </w:rPr>
                    <w:t>油类试验台1</w:t>
                  </w:r>
                  <w:r>
                    <w:rPr>
                      <w:szCs w:val="21"/>
                    </w:rPr>
                    <w:t>#</w:t>
                  </w:r>
                </w:p>
              </w:tc>
              <w:tc>
                <w:tcPr>
                  <w:tcW w:w="1843" w:type="dxa"/>
                  <w:vAlign w:val="center"/>
                </w:tcPr>
                <w:p w14:paraId="520AB514">
                  <w:pPr>
                    <w:jc w:val="center"/>
                    <w:rPr>
                      <w:szCs w:val="21"/>
                    </w:rPr>
                  </w:pPr>
                  <w:r>
                    <w:rPr>
                      <w:rFonts w:hint="eastAsia"/>
                      <w:szCs w:val="21"/>
                    </w:rPr>
                    <w:t>非甲烷总烃</w:t>
                  </w:r>
                </w:p>
              </w:tc>
              <w:tc>
                <w:tcPr>
                  <w:tcW w:w="6237" w:type="dxa"/>
                  <w:vAlign w:val="center"/>
                </w:tcPr>
                <w:p w14:paraId="520AB515">
                  <w:pPr>
                    <w:jc w:val="center"/>
                    <w:rPr>
                      <w:szCs w:val="21"/>
                    </w:rPr>
                  </w:pPr>
                  <w:r>
                    <w:rPr>
                      <w:rFonts w:hint="eastAsia"/>
                    </w:rPr>
                    <w:t>集气罩+干式过滤+活性炭吸脱附-催化燃烧装置T</w:t>
                  </w:r>
                  <w:r>
                    <w:t>A0</w:t>
                  </w:r>
                  <w:r>
                    <w:rPr>
                      <w:rFonts w:hint="eastAsia"/>
                    </w:rPr>
                    <w:t>2</w:t>
                  </w:r>
                  <w:r>
                    <w:t>5</w:t>
                  </w:r>
                  <w:r>
                    <w:rPr>
                      <w:rFonts w:hint="eastAsia"/>
                    </w:rPr>
                    <w:t>+1</w:t>
                  </w:r>
                  <w:r>
                    <w:t>5</w:t>
                  </w:r>
                  <w:r>
                    <w:rPr>
                      <w:rFonts w:hint="eastAsia"/>
                    </w:rPr>
                    <w:t>m高排气筒D</w:t>
                  </w:r>
                  <w:r>
                    <w:t>A0</w:t>
                  </w:r>
                  <w:r>
                    <w:rPr>
                      <w:rFonts w:hint="eastAsia"/>
                    </w:rPr>
                    <w:t>2</w:t>
                  </w:r>
                  <w:r>
                    <w:t>5</w:t>
                  </w:r>
                </w:p>
              </w:tc>
              <w:tc>
                <w:tcPr>
                  <w:tcW w:w="983" w:type="dxa"/>
                  <w:vMerge w:val="restart"/>
                  <w:vAlign w:val="center"/>
                </w:tcPr>
                <w:p w14:paraId="520AB516">
                  <w:pPr>
                    <w:jc w:val="center"/>
                  </w:pPr>
                  <w:r>
                    <w:rPr>
                      <w:rFonts w:hint="eastAsia"/>
                    </w:rPr>
                    <w:t>已建成投产，在建工程存在依托</w:t>
                  </w:r>
                </w:p>
              </w:tc>
            </w:tr>
            <w:tr w14:paraId="520AB51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518">
                  <w:pPr>
                    <w:jc w:val="center"/>
                    <w:rPr>
                      <w:szCs w:val="21"/>
                    </w:rPr>
                  </w:pPr>
                  <w:r>
                    <w:rPr>
                      <w:rFonts w:hint="eastAsia"/>
                      <w:szCs w:val="21"/>
                    </w:rPr>
                    <w:t>1</w:t>
                  </w:r>
                  <w:r>
                    <w:rPr>
                      <w:szCs w:val="21"/>
                    </w:rPr>
                    <w:t>206</w:t>
                  </w:r>
                  <w:r>
                    <w:rPr>
                      <w:rFonts w:hint="eastAsia"/>
                      <w:szCs w:val="21"/>
                    </w:rPr>
                    <w:t>#厂房</w:t>
                  </w:r>
                </w:p>
              </w:tc>
              <w:tc>
                <w:tcPr>
                  <w:tcW w:w="1843" w:type="dxa"/>
                  <w:vAlign w:val="center"/>
                </w:tcPr>
                <w:p w14:paraId="520AB519">
                  <w:pPr>
                    <w:jc w:val="center"/>
                    <w:rPr>
                      <w:szCs w:val="21"/>
                    </w:rPr>
                  </w:pPr>
                  <w:r>
                    <w:rPr>
                      <w:rFonts w:hint="eastAsia"/>
                      <w:szCs w:val="21"/>
                    </w:rPr>
                    <w:t>油类试验台</w:t>
                  </w:r>
                </w:p>
              </w:tc>
              <w:tc>
                <w:tcPr>
                  <w:tcW w:w="1843" w:type="dxa"/>
                  <w:vAlign w:val="center"/>
                </w:tcPr>
                <w:p w14:paraId="520AB51A">
                  <w:pPr>
                    <w:jc w:val="center"/>
                    <w:rPr>
                      <w:szCs w:val="21"/>
                    </w:rPr>
                  </w:pPr>
                  <w:r>
                    <w:rPr>
                      <w:rFonts w:hint="eastAsia"/>
                      <w:szCs w:val="21"/>
                    </w:rPr>
                    <w:t>非甲烷总烃</w:t>
                  </w:r>
                </w:p>
              </w:tc>
              <w:tc>
                <w:tcPr>
                  <w:tcW w:w="6237" w:type="dxa"/>
                  <w:vAlign w:val="center"/>
                </w:tcPr>
                <w:p w14:paraId="520AB51B">
                  <w:pPr>
                    <w:jc w:val="center"/>
                  </w:pPr>
                  <w:r>
                    <w:rPr>
                      <w:rFonts w:hint="eastAsia"/>
                    </w:rPr>
                    <w:t>集气罩+干式过滤+活性炭吸脱附-催化燃烧装置T</w:t>
                  </w:r>
                  <w:r>
                    <w:t>A0</w:t>
                  </w:r>
                  <w:r>
                    <w:rPr>
                      <w:rFonts w:hint="eastAsia"/>
                    </w:rPr>
                    <w:t>2</w:t>
                  </w:r>
                  <w:r>
                    <w:t>6</w:t>
                  </w:r>
                  <w:r>
                    <w:rPr>
                      <w:rFonts w:hint="eastAsia"/>
                    </w:rPr>
                    <w:t>+1</w:t>
                  </w:r>
                  <w:r>
                    <w:t>5</w:t>
                  </w:r>
                  <w:r>
                    <w:rPr>
                      <w:rFonts w:hint="eastAsia"/>
                    </w:rPr>
                    <w:t>m高排气筒D</w:t>
                  </w:r>
                  <w:r>
                    <w:t>A0</w:t>
                  </w:r>
                  <w:r>
                    <w:rPr>
                      <w:rFonts w:hint="eastAsia"/>
                    </w:rPr>
                    <w:t>2</w:t>
                  </w:r>
                  <w:r>
                    <w:t>6</w:t>
                  </w:r>
                </w:p>
              </w:tc>
              <w:tc>
                <w:tcPr>
                  <w:tcW w:w="983" w:type="dxa"/>
                  <w:vMerge w:val="continue"/>
                  <w:vAlign w:val="center"/>
                </w:tcPr>
                <w:p w14:paraId="520AB51C">
                  <w:pPr>
                    <w:jc w:val="center"/>
                    <w:rPr>
                      <w:kern w:val="44"/>
                      <w:szCs w:val="21"/>
                    </w:rPr>
                  </w:pPr>
                </w:p>
              </w:tc>
            </w:tr>
            <w:tr w14:paraId="520AB52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Merge w:val="restart"/>
                  <w:vAlign w:val="center"/>
                </w:tcPr>
                <w:p w14:paraId="520AB51E">
                  <w:pPr>
                    <w:jc w:val="center"/>
                    <w:rPr>
                      <w:szCs w:val="21"/>
                    </w:rPr>
                  </w:pPr>
                  <w:r>
                    <w:rPr>
                      <w:rFonts w:hint="eastAsia"/>
                      <w:szCs w:val="21"/>
                    </w:rPr>
                    <w:t>1208#装配中心厂房</w:t>
                  </w:r>
                </w:p>
              </w:tc>
              <w:tc>
                <w:tcPr>
                  <w:tcW w:w="1843" w:type="dxa"/>
                  <w:vAlign w:val="center"/>
                </w:tcPr>
                <w:p w14:paraId="520AB51F">
                  <w:pPr>
                    <w:jc w:val="center"/>
                    <w:rPr>
                      <w:szCs w:val="21"/>
                    </w:rPr>
                  </w:pPr>
                  <w:r>
                    <w:rPr>
                      <w:rFonts w:hint="eastAsia"/>
                      <w:szCs w:val="21"/>
                    </w:rPr>
                    <w:t>油类试验台、清洗</w:t>
                  </w:r>
                </w:p>
              </w:tc>
              <w:tc>
                <w:tcPr>
                  <w:tcW w:w="1843" w:type="dxa"/>
                  <w:vAlign w:val="center"/>
                </w:tcPr>
                <w:p w14:paraId="520AB520">
                  <w:pPr>
                    <w:jc w:val="center"/>
                    <w:rPr>
                      <w:szCs w:val="21"/>
                    </w:rPr>
                  </w:pPr>
                  <w:r>
                    <w:rPr>
                      <w:rFonts w:hint="eastAsia"/>
                      <w:szCs w:val="21"/>
                    </w:rPr>
                    <w:t>非甲烷总烃</w:t>
                  </w:r>
                </w:p>
              </w:tc>
              <w:tc>
                <w:tcPr>
                  <w:tcW w:w="6237" w:type="dxa"/>
                  <w:vAlign w:val="center"/>
                </w:tcPr>
                <w:p w14:paraId="520AB521">
                  <w:pPr>
                    <w:jc w:val="center"/>
                  </w:pPr>
                  <w:r>
                    <w:rPr>
                      <w:rFonts w:hint="eastAsia"/>
                      <w:kern w:val="44"/>
                      <w:szCs w:val="21"/>
                    </w:rPr>
                    <w:t>管道收集+</w:t>
                  </w:r>
                  <w:r>
                    <w:rPr>
                      <w:rFonts w:hint="eastAsia"/>
                      <w:szCs w:val="21"/>
                    </w:rPr>
                    <w:t>活性炭</w:t>
                  </w:r>
                  <w:r>
                    <w:rPr>
                      <w:szCs w:val="21"/>
                    </w:rPr>
                    <w:t>吸附/脱附</w:t>
                  </w:r>
                  <w:r>
                    <w:rPr>
                      <w:rFonts w:hint="eastAsia"/>
                      <w:szCs w:val="21"/>
                    </w:rPr>
                    <w:t>-催化燃烧装置</w:t>
                  </w:r>
                  <w:r>
                    <w:rPr>
                      <w:rFonts w:hint="eastAsia"/>
                    </w:rPr>
                    <w:t>T</w:t>
                  </w:r>
                  <w:r>
                    <w:t>A0</w:t>
                  </w:r>
                  <w:r>
                    <w:rPr>
                      <w:rFonts w:hint="eastAsia"/>
                    </w:rPr>
                    <w:t>2</w:t>
                  </w:r>
                  <w:r>
                    <w:t>7</w:t>
                  </w:r>
                  <w:r>
                    <w:rPr>
                      <w:rFonts w:hint="eastAsia"/>
                      <w:szCs w:val="21"/>
                    </w:rPr>
                    <w:t>+</w:t>
                  </w:r>
                  <w:r>
                    <w:rPr>
                      <w:bCs/>
                      <w:szCs w:val="21"/>
                    </w:rPr>
                    <w:t>15m</w:t>
                  </w:r>
                  <w:r>
                    <w:rPr>
                      <w:rFonts w:hint="eastAsia"/>
                      <w:szCs w:val="21"/>
                    </w:rPr>
                    <w:t>高排气筒</w:t>
                  </w:r>
                  <w:r>
                    <w:rPr>
                      <w:rFonts w:hint="eastAsia"/>
                    </w:rPr>
                    <w:t>D</w:t>
                  </w:r>
                  <w:r>
                    <w:t>A0</w:t>
                  </w:r>
                  <w:r>
                    <w:rPr>
                      <w:rFonts w:hint="eastAsia"/>
                      <w:szCs w:val="21"/>
                    </w:rPr>
                    <w:t>2</w:t>
                  </w:r>
                  <w:r>
                    <w:rPr>
                      <w:szCs w:val="21"/>
                    </w:rPr>
                    <w:t>7</w:t>
                  </w:r>
                </w:p>
              </w:tc>
              <w:tc>
                <w:tcPr>
                  <w:tcW w:w="983" w:type="dxa"/>
                  <w:vMerge w:val="restart"/>
                  <w:vAlign w:val="center"/>
                </w:tcPr>
                <w:p w14:paraId="520AB522">
                  <w:pPr>
                    <w:jc w:val="center"/>
                    <w:rPr>
                      <w:kern w:val="44"/>
                      <w:szCs w:val="21"/>
                    </w:rPr>
                  </w:pPr>
                  <w:r>
                    <w:rPr>
                      <w:rFonts w:hint="eastAsia"/>
                      <w:kern w:val="44"/>
                      <w:szCs w:val="21"/>
                    </w:rPr>
                    <w:t>在建工程未投产</w:t>
                  </w:r>
                </w:p>
              </w:tc>
            </w:tr>
            <w:tr w14:paraId="520AB52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Merge w:val="continue"/>
                  <w:vAlign w:val="center"/>
                </w:tcPr>
                <w:p w14:paraId="520AB524">
                  <w:pPr>
                    <w:jc w:val="center"/>
                    <w:rPr>
                      <w:szCs w:val="21"/>
                    </w:rPr>
                  </w:pPr>
                </w:p>
              </w:tc>
              <w:tc>
                <w:tcPr>
                  <w:tcW w:w="1843" w:type="dxa"/>
                  <w:vAlign w:val="center"/>
                </w:tcPr>
                <w:p w14:paraId="520AB525">
                  <w:pPr>
                    <w:jc w:val="center"/>
                    <w:rPr>
                      <w:szCs w:val="21"/>
                    </w:rPr>
                  </w:pPr>
                  <w:r>
                    <w:rPr>
                      <w:rFonts w:hint="eastAsia"/>
                      <w:szCs w:val="21"/>
                    </w:rPr>
                    <w:t>钎焊、氩弧焊、切割</w:t>
                  </w:r>
                </w:p>
              </w:tc>
              <w:tc>
                <w:tcPr>
                  <w:tcW w:w="1843" w:type="dxa"/>
                  <w:vAlign w:val="center"/>
                </w:tcPr>
                <w:p w14:paraId="520AB526">
                  <w:pPr>
                    <w:jc w:val="center"/>
                    <w:rPr>
                      <w:szCs w:val="21"/>
                    </w:rPr>
                  </w:pPr>
                  <w:r>
                    <w:rPr>
                      <w:rFonts w:hint="eastAsia"/>
                      <w:szCs w:val="21"/>
                    </w:rPr>
                    <w:t>颗粒物、锡及其化合物</w:t>
                  </w:r>
                </w:p>
              </w:tc>
              <w:tc>
                <w:tcPr>
                  <w:tcW w:w="6237" w:type="dxa"/>
                  <w:vAlign w:val="center"/>
                </w:tcPr>
                <w:p w14:paraId="520AB527">
                  <w:pPr>
                    <w:jc w:val="center"/>
                  </w:pPr>
                  <w:r>
                    <w:rPr>
                      <w:rFonts w:hint="eastAsia"/>
                    </w:rPr>
                    <w:t>集气罩/</w:t>
                  </w:r>
                  <w:r>
                    <w:rPr>
                      <w:rFonts w:hint="eastAsia"/>
                      <w:kern w:val="44"/>
                      <w:szCs w:val="21"/>
                    </w:rPr>
                    <w:t>管道收集</w:t>
                  </w:r>
                  <w:r>
                    <w:rPr>
                      <w:rFonts w:hint="eastAsia"/>
                    </w:rPr>
                    <w:t>+</w:t>
                  </w:r>
                  <w:r>
                    <w:rPr>
                      <w:rFonts w:hint="eastAsia"/>
                      <w:bCs/>
                      <w:szCs w:val="21"/>
                    </w:rPr>
                    <w:t>袋式除尘器</w:t>
                  </w:r>
                  <w:r>
                    <w:rPr>
                      <w:rFonts w:hint="eastAsia"/>
                    </w:rPr>
                    <w:t>T</w:t>
                  </w:r>
                  <w:r>
                    <w:t>A0</w:t>
                  </w:r>
                  <w:r>
                    <w:rPr>
                      <w:rFonts w:hint="eastAsia"/>
                    </w:rPr>
                    <w:t>2</w:t>
                  </w:r>
                  <w:r>
                    <w:t>8</w:t>
                  </w:r>
                  <w:r>
                    <w:rPr>
                      <w:rFonts w:hint="eastAsia"/>
                      <w:bCs/>
                      <w:szCs w:val="21"/>
                    </w:rPr>
                    <w:t>+15m</w:t>
                  </w:r>
                  <w:r>
                    <w:rPr>
                      <w:rFonts w:hint="eastAsia"/>
                      <w:szCs w:val="21"/>
                    </w:rPr>
                    <w:t>高排气筒</w:t>
                  </w:r>
                  <w:r>
                    <w:rPr>
                      <w:rFonts w:hint="eastAsia"/>
                    </w:rPr>
                    <w:t>D</w:t>
                  </w:r>
                  <w:r>
                    <w:t>A0</w:t>
                  </w:r>
                  <w:r>
                    <w:rPr>
                      <w:rFonts w:hint="eastAsia"/>
                      <w:szCs w:val="21"/>
                    </w:rPr>
                    <w:t>2</w:t>
                  </w:r>
                  <w:r>
                    <w:rPr>
                      <w:szCs w:val="21"/>
                    </w:rPr>
                    <w:t>8</w:t>
                  </w:r>
                </w:p>
              </w:tc>
              <w:tc>
                <w:tcPr>
                  <w:tcW w:w="983" w:type="dxa"/>
                  <w:vMerge w:val="continue"/>
                  <w:vAlign w:val="center"/>
                </w:tcPr>
                <w:p w14:paraId="520AB528">
                  <w:pPr>
                    <w:jc w:val="center"/>
                    <w:rPr>
                      <w:kern w:val="44"/>
                      <w:szCs w:val="21"/>
                    </w:rPr>
                  </w:pPr>
                </w:p>
              </w:tc>
            </w:tr>
            <w:tr w14:paraId="520AB52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52A">
                  <w:pPr>
                    <w:jc w:val="center"/>
                    <w:rPr>
                      <w:szCs w:val="21"/>
                    </w:rPr>
                  </w:pPr>
                  <w:r>
                    <w:rPr>
                      <w:szCs w:val="21"/>
                    </w:rPr>
                    <w:t>101</w:t>
                  </w:r>
                  <w:r>
                    <w:rPr>
                      <w:rFonts w:hint="eastAsia"/>
                      <w:szCs w:val="21"/>
                    </w:rPr>
                    <w:t>#厂房</w:t>
                  </w:r>
                </w:p>
              </w:tc>
              <w:tc>
                <w:tcPr>
                  <w:tcW w:w="1843" w:type="dxa"/>
                  <w:vAlign w:val="center"/>
                </w:tcPr>
                <w:p w14:paraId="520AB52B">
                  <w:pPr>
                    <w:jc w:val="center"/>
                    <w:rPr>
                      <w:szCs w:val="21"/>
                    </w:rPr>
                  </w:pPr>
                  <w:r>
                    <w:rPr>
                      <w:szCs w:val="21"/>
                    </w:rPr>
                    <w:t>油类试验台</w:t>
                  </w:r>
                  <w:r>
                    <w:rPr>
                      <w:rFonts w:hint="eastAsia"/>
                      <w:kern w:val="0"/>
                      <w:szCs w:val="21"/>
                    </w:rPr>
                    <w:t>2#</w:t>
                  </w:r>
                </w:p>
              </w:tc>
              <w:tc>
                <w:tcPr>
                  <w:tcW w:w="1843" w:type="dxa"/>
                  <w:vAlign w:val="center"/>
                </w:tcPr>
                <w:p w14:paraId="520AB52C">
                  <w:pPr>
                    <w:jc w:val="center"/>
                    <w:rPr>
                      <w:szCs w:val="21"/>
                    </w:rPr>
                  </w:pPr>
                  <w:r>
                    <w:rPr>
                      <w:szCs w:val="21"/>
                    </w:rPr>
                    <w:t>非甲烷总烃</w:t>
                  </w:r>
                </w:p>
              </w:tc>
              <w:tc>
                <w:tcPr>
                  <w:tcW w:w="6237" w:type="dxa"/>
                  <w:vAlign w:val="center"/>
                </w:tcPr>
                <w:p w14:paraId="520AB52D">
                  <w:pPr>
                    <w:jc w:val="center"/>
                  </w:pPr>
                  <w:r>
                    <w:rPr>
                      <w:rFonts w:hint="eastAsia"/>
                      <w:szCs w:val="21"/>
                    </w:rPr>
                    <w:t>集气罩</w:t>
                  </w:r>
                  <w:r>
                    <w:rPr>
                      <w:szCs w:val="21"/>
                    </w:rPr>
                    <w:t>+活性炭吸/脱附+催化燃烧装置TA029+15m高排气筒DA029</w:t>
                  </w:r>
                </w:p>
              </w:tc>
              <w:tc>
                <w:tcPr>
                  <w:tcW w:w="983" w:type="dxa"/>
                  <w:vMerge w:val="continue"/>
                  <w:vAlign w:val="center"/>
                </w:tcPr>
                <w:p w14:paraId="520AB52E">
                  <w:pPr>
                    <w:jc w:val="center"/>
                    <w:rPr>
                      <w:kern w:val="44"/>
                      <w:szCs w:val="21"/>
                    </w:rPr>
                  </w:pPr>
                </w:p>
              </w:tc>
            </w:tr>
            <w:tr w14:paraId="520AB53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530">
                  <w:pPr>
                    <w:jc w:val="center"/>
                    <w:rPr>
                      <w:szCs w:val="21"/>
                    </w:rPr>
                  </w:pPr>
                  <w:r>
                    <w:rPr>
                      <w:szCs w:val="21"/>
                    </w:rPr>
                    <w:t>1205</w:t>
                  </w:r>
                  <w:r>
                    <w:rPr>
                      <w:rFonts w:hint="eastAsia"/>
                      <w:szCs w:val="21"/>
                    </w:rPr>
                    <w:t>#厂房</w:t>
                  </w:r>
                </w:p>
              </w:tc>
              <w:tc>
                <w:tcPr>
                  <w:tcW w:w="1843" w:type="dxa"/>
                  <w:vAlign w:val="center"/>
                </w:tcPr>
                <w:p w14:paraId="520AB531">
                  <w:pPr>
                    <w:jc w:val="center"/>
                    <w:rPr>
                      <w:szCs w:val="21"/>
                    </w:rPr>
                  </w:pPr>
                  <w:r>
                    <w:rPr>
                      <w:szCs w:val="21"/>
                    </w:rPr>
                    <w:t>油类试验台</w:t>
                  </w:r>
                </w:p>
              </w:tc>
              <w:tc>
                <w:tcPr>
                  <w:tcW w:w="1843" w:type="dxa"/>
                  <w:vAlign w:val="center"/>
                </w:tcPr>
                <w:p w14:paraId="520AB532">
                  <w:pPr>
                    <w:jc w:val="center"/>
                    <w:rPr>
                      <w:szCs w:val="21"/>
                    </w:rPr>
                  </w:pPr>
                  <w:r>
                    <w:rPr>
                      <w:szCs w:val="21"/>
                    </w:rPr>
                    <w:t>非甲烷总烃</w:t>
                  </w:r>
                </w:p>
              </w:tc>
              <w:tc>
                <w:tcPr>
                  <w:tcW w:w="6237" w:type="dxa"/>
                  <w:vAlign w:val="center"/>
                </w:tcPr>
                <w:p w14:paraId="520AB533">
                  <w:pPr>
                    <w:jc w:val="center"/>
                  </w:pPr>
                  <w:r>
                    <w:rPr>
                      <w:rFonts w:hint="eastAsia"/>
                      <w:szCs w:val="21"/>
                    </w:rPr>
                    <w:t>集气罩</w:t>
                  </w:r>
                  <w:r>
                    <w:rPr>
                      <w:szCs w:val="21"/>
                    </w:rPr>
                    <w:t>+活性炭吸/脱附+催化燃烧装置TA030+15m高排气筒DA030</w:t>
                  </w:r>
                </w:p>
              </w:tc>
              <w:tc>
                <w:tcPr>
                  <w:tcW w:w="983" w:type="dxa"/>
                  <w:vMerge w:val="continue"/>
                  <w:vAlign w:val="center"/>
                </w:tcPr>
                <w:p w14:paraId="520AB534">
                  <w:pPr>
                    <w:jc w:val="center"/>
                    <w:rPr>
                      <w:kern w:val="44"/>
                      <w:szCs w:val="21"/>
                    </w:rPr>
                  </w:pPr>
                </w:p>
              </w:tc>
            </w:tr>
            <w:tr w14:paraId="520AB53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536">
                  <w:pPr>
                    <w:jc w:val="center"/>
                    <w:rPr>
                      <w:szCs w:val="21"/>
                    </w:rPr>
                  </w:pPr>
                  <w:r>
                    <w:rPr>
                      <w:rFonts w:hint="eastAsia"/>
                      <w:szCs w:val="21"/>
                    </w:rPr>
                    <w:t>喷丸</w:t>
                  </w:r>
                </w:p>
              </w:tc>
              <w:tc>
                <w:tcPr>
                  <w:tcW w:w="1843" w:type="dxa"/>
                  <w:vAlign w:val="center"/>
                </w:tcPr>
                <w:p w14:paraId="520AB537">
                  <w:pPr>
                    <w:jc w:val="center"/>
                    <w:rPr>
                      <w:szCs w:val="21"/>
                    </w:rPr>
                  </w:pPr>
                  <w:r>
                    <w:rPr>
                      <w:rFonts w:hint="eastAsia"/>
                      <w:szCs w:val="21"/>
                    </w:rPr>
                    <w:t>数控自动喷丸机</w:t>
                  </w:r>
                </w:p>
              </w:tc>
              <w:tc>
                <w:tcPr>
                  <w:tcW w:w="1843" w:type="dxa"/>
                  <w:vAlign w:val="center"/>
                </w:tcPr>
                <w:p w14:paraId="520AB538">
                  <w:pPr>
                    <w:jc w:val="center"/>
                    <w:rPr>
                      <w:szCs w:val="21"/>
                    </w:rPr>
                  </w:pPr>
                  <w:r>
                    <w:rPr>
                      <w:szCs w:val="21"/>
                    </w:rPr>
                    <w:t>颗粒物</w:t>
                  </w:r>
                </w:p>
              </w:tc>
              <w:tc>
                <w:tcPr>
                  <w:tcW w:w="6237" w:type="dxa"/>
                  <w:vAlign w:val="center"/>
                </w:tcPr>
                <w:p w14:paraId="520AB539">
                  <w:pPr>
                    <w:jc w:val="center"/>
                  </w:pPr>
                  <w:r>
                    <w:rPr>
                      <w:rFonts w:hint="eastAsia"/>
                      <w:szCs w:val="21"/>
                    </w:rPr>
                    <w:t>负压管道收集</w:t>
                  </w:r>
                  <w:r>
                    <w:rPr>
                      <w:szCs w:val="21"/>
                    </w:rPr>
                    <w:t>+设备自带除尘器TA0</w:t>
                  </w:r>
                  <w:r>
                    <w:rPr>
                      <w:rFonts w:hint="eastAsia"/>
                      <w:szCs w:val="21"/>
                    </w:rPr>
                    <w:t>3</w:t>
                  </w:r>
                  <w:r>
                    <w:rPr>
                      <w:szCs w:val="21"/>
                    </w:rPr>
                    <w:t>1+15m高排气筒DA0</w:t>
                  </w:r>
                  <w:r>
                    <w:rPr>
                      <w:rFonts w:hint="eastAsia"/>
                      <w:szCs w:val="21"/>
                    </w:rPr>
                    <w:t>3</w:t>
                  </w:r>
                  <w:r>
                    <w:rPr>
                      <w:szCs w:val="21"/>
                    </w:rPr>
                    <w:t>1</w:t>
                  </w:r>
                </w:p>
              </w:tc>
              <w:tc>
                <w:tcPr>
                  <w:tcW w:w="983" w:type="dxa"/>
                  <w:vMerge w:val="continue"/>
                  <w:vAlign w:val="center"/>
                </w:tcPr>
                <w:p w14:paraId="520AB53A">
                  <w:pPr>
                    <w:jc w:val="center"/>
                    <w:rPr>
                      <w:kern w:val="44"/>
                      <w:szCs w:val="21"/>
                    </w:rPr>
                  </w:pPr>
                </w:p>
              </w:tc>
            </w:tr>
            <w:tr w14:paraId="520AB54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53C">
                  <w:pPr>
                    <w:jc w:val="center"/>
                    <w:rPr>
                      <w:szCs w:val="21"/>
                    </w:rPr>
                  </w:pPr>
                  <w:r>
                    <w:rPr>
                      <w:rFonts w:hint="eastAsia"/>
                      <w:szCs w:val="21"/>
                    </w:rPr>
                    <w:t>激光清洗</w:t>
                  </w:r>
                </w:p>
              </w:tc>
              <w:tc>
                <w:tcPr>
                  <w:tcW w:w="1843" w:type="dxa"/>
                  <w:vAlign w:val="center"/>
                </w:tcPr>
                <w:p w14:paraId="520AB53D">
                  <w:pPr>
                    <w:jc w:val="center"/>
                    <w:rPr>
                      <w:szCs w:val="21"/>
                    </w:rPr>
                  </w:pPr>
                  <w:r>
                    <w:rPr>
                      <w:rFonts w:hint="eastAsia"/>
                      <w:szCs w:val="21"/>
                    </w:rPr>
                    <w:t>自动化激光清洗机</w:t>
                  </w:r>
                </w:p>
              </w:tc>
              <w:tc>
                <w:tcPr>
                  <w:tcW w:w="1843" w:type="dxa"/>
                  <w:vAlign w:val="center"/>
                </w:tcPr>
                <w:p w14:paraId="520AB53E">
                  <w:pPr>
                    <w:jc w:val="center"/>
                    <w:rPr>
                      <w:szCs w:val="21"/>
                    </w:rPr>
                  </w:pPr>
                  <w:r>
                    <w:rPr>
                      <w:szCs w:val="21"/>
                    </w:rPr>
                    <w:t>颗粒物</w:t>
                  </w:r>
                </w:p>
              </w:tc>
              <w:tc>
                <w:tcPr>
                  <w:tcW w:w="6237" w:type="dxa"/>
                  <w:vAlign w:val="center"/>
                </w:tcPr>
                <w:p w14:paraId="520AB53F">
                  <w:pPr>
                    <w:jc w:val="center"/>
                    <w:rPr>
                      <w:szCs w:val="21"/>
                    </w:rPr>
                  </w:pPr>
                  <w:r>
                    <w:rPr>
                      <w:rFonts w:hint="eastAsia"/>
                      <w:szCs w:val="21"/>
                    </w:rPr>
                    <w:t>集气罩</w:t>
                  </w:r>
                  <w:r>
                    <w:rPr>
                      <w:szCs w:val="21"/>
                    </w:rPr>
                    <w:t>+袋式除尘器TA0</w:t>
                  </w:r>
                  <w:r>
                    <w:rPr>
                      <w:rFonts w:hint="eastAsia"/>
                      <w:szCs w:val="21"/>
                    </w:rPr>
                    <w:t>3</w:t>
                  </w:r>
                  <w:r>
                    <w:rPr>
                      <w:szCs w:val="21"/>
                    </w:rPr>
                    <w:t>2+15m高排气筒DA0</w:t>
                  </w:r>
                  <w:r>
                    <w:rPr>
                      <w:rFonts w:hint="eastAsia"/>
                      <w:szCs w:val="21"/>
                    </w:rPr>
                    <w:t>3</w:t>
                  </w:r>
                  <w:r>
                    <w:rPr>
                      <w:szCs w:val="21"/>
                    </w:rPr>
                    <w:t>2</w:t>
                  </w:r>
                </w:p>
              </w:tc>
              <w:tc>
                <w:tcPr>
                  <w:tcW w:w="983" w:type="dxa"/>
                  <w:vMerge w:val="continue"/>
                  <w:vAlign w:val="center"/>
                </w:tcPr>
                <w:p w14:paraId="520AB540">
                  <w:pPr>
                    <w:jc w:val="center"/>
                    <w:rPr>
                      <w:kern w:val="44"/>
                      <w:szCs w:val="21"/>
                    </w:rPr>
                  </w:pPr>
                </w:p>
              </w:tc>
            </w:tr>
            <w:tr w14:paraId="520AB54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600" w:type="dxa"/>
                  <w:vAlign w:val="center"/>
                </w:tcPr>
                <w:p w14:paraId="520AB542">
                  <w:pPr>
                    <w:jc w:val="center"/>
                    <w:rPr>
                      <w:szCs w:val="21"/>
                    </w:rPr>
                  </w:pPr>
                  <w:r>
                    <w:rPr>
                      <w:rFonts w:hint="eastAsia"/>
                      <w:szCs w:val="21"/>
                    </w:rPr>
                    <w:t>1209#厂房</w:t>
                  </w:r>
                </w:p>
              </w:tc>
              <w:tc>
                <w:tcPr>
                  <w:tcW w:w="1843" w:type="dxa"/>
                  <w:vAlign w:val="center"/>
                </w:tcPr>
                <w:p w14:paraId="520AB543">
                  <w:pPr>
                    <w:jc w:val="center"/>
                    <w:rPr>
                      <w:szCs w:val="21"/>
                    </w:rPr>
                  </w:pPr>
                  <w:r>
                    <w:rPr>
                      <w:rFonts w:hint="eastAsia"/>
                      <w:szCs w:val="21"/>
                    </w:rPr>
                    <w:t>油类试验台</w:t>
                  </w:r>
                </w:p>
              </w:tc>
              <w:tc>
                <w:tcPr>
                  <w:tcW w:w="1843" w:type="dxa"/>
                  <w:vAlign w:val="center"/>
                </w:tcPr>
                <w:p w14:paraId="520AB544">
                  <w:pPr>
                    <w:jc w:val="center"/>
                    <w:rPr>
                      <w:szCs w:val="21"/>
                    </w:rPr>
                  </w:pPr>
                  <w:r>
                    <w:rPr>
                      <w:rFonts w:hint="eastAsia"/>
                    </w:rPr>
                    <w:t>非甲烷总烃</w:t>
                  </w:r>
                </w:p>
              </w:tc>
              <w:tc>
                <w:tcPr>
                  <w:tcW w:w="6237" w:type="dxa"/>
                  <w:vAlign w:val="center"/>
                </w:tcPr>
                <w:p w14:paraId="520AB545">
                  <w:pPr>
                    <w:jc w:val="center"/>
                  </w:pPr>
                  <w:r>
                    <w:rPr>
                      <w:rFonts w:hint="eastAsia"/>
                    </w:rPr>
                    <w:t>密闭间+管道+集气罩+活性炭吸脱附-催化燃烧装置T</w:t>
                  </w:r>
                  <w:r>
                    <w:t>A0</w:t>
                  </w:r>
                  <w:r>
                    <w:rPr>
                      <w:rFonts w:hint="eastAsia"/>
                    </w:rPr>
                    <w:t>3</w:t>
                  </w:r>
                  <w:r>
                    <w:t>3</w:t>
                  </w:r>
                  <w:r>
                    <w:rPr>
                      <w:rFonts w:hint="eastAsia"/>
                    </w:rPr>
                    <w:t>+1</w:t>
                  </w:r>
                  <w:r>
                    <w:t>5</w:t>
                  </w:r>
                  <w:r>
                    <w:rPr>
                      <w:rFonts w:hint="eastAsia"/>
                    </w:rPr>
                    <w:t>m高排气筒D</w:t>
                  </w:r>
                  <w:r>
                    <w:t>A0</w:t>
                  </w:r>
                  <w:r>
                    <w:rPr>
                      <w:rFonts w:hint="eastAsia"/>
                    </w:rPr>
                    <w:t>3</w:t>
                  </w:r>
                  <w:r>
                    <w:t>3</w:t>
                  </w:r>
                </w:p>
              </w:tc>
              <w:tc>
                <w:tcPr>
                  <w:tcW w:w="983" w:type="dxa"/>
                  <w:vMerge w:val="continue"/>
                  <w:vAlign w:val="center"/>
                </w:tcPr>
                <w:p w14:paraId="520AB546">
                  <w:pPr>
                    <w:jc w:val="center"/>
                    <w:rPr>
                      <w:kern w:val="44"/>
                      <w:szCs w:val="21"/>
                    </w:rPr>
                  </w:pPr>
                </w:p>
              </w:tc>
            </w:tr>
            <w:tr w14:paraId="520AB54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2506" w:type="dxa"/>
                  <w:gridSpan w:val="5"/>
                  <w:vAlign w:val="center"/>
                </w:tcPr>
                <w:p w14:paraId="520AB548">
                  <w:pPr>
                    <w:jc w:val="left"/>
                    <w:rPr>
                      <w:rFonts w:eastAsia="黑体"/>
                      <w:kern w:val="44"/>
                      <w:szCs w:val="21"/>
                    </w:rPr>
                  </w:pPr>
                  <w:r>
                    <w:rPr>
                      <w:rFonts w:eastAsia="黑体"/>
                      <w:kern w:val="44"/>
                      <w:szCs w:val="21"/>
                    </w:rPr>
                    <w:t>注：厂区已建工程实际建设废气治理措施均正常运行，污染物均达标排放。</w:t>
                  </w:r>
                </w:p>
              </w:tc>
            </w:tr>
          </w:tbl>
          <w:p w14:paraId="520AB54A">
            <w:pPr>
              <w:spacing w:line="460" w:lineRule="exact"/>
              <w:ind w:firstLine="482" w:firstLineChars="200"/>
              <w:jc w:val="left"/>
              <w:rPr>
                <w:b/>
                <w:sz w:val="24"/>
              </w:rPr>
            </w:pPr>
            <w:r>
              <w:rPr>
                <w:rFonts w:hint="eastAsia" w:ascii="宋体" w:hAnsi="宋体"/>
                <w:b/>
                <w:sz w:val="24"/>
              </w:rPr>
              <w:t>②</w:t>
            </w:r>
            <w:r>
              <w:rPr>
                <w:rFonts w:hint="eastAsia"/>
                <w:b/>
                <w:sz w:val="24"/>
              </w:rPr>
              <w:t>废气排放情况</w:t>
            </w:r>
          </w:p>
          <w:p w14:paraId="520AB54B">
            <w:pPr>
              <w:spacing w:line="460" w:lineRule="exact"/>
              <w:ind w:firstLine="482" w:firstLineChars="200"/>
              <w:jc w:val="left"/>
              <w:rPr>
                <w:b/>
                <w:sz w:val="24"/>
              </w:rPr>
            </w:pPr>
            <w:r>
              <w:rPr>
                <w:rFonts w:hint="eastAsia"/>
                <w:b/>
                <w:sz w:val="24"/>
              </w:rPr>
              <w:t>I）</w:t>
            </w:r>
            <w:r>
              <w:rPr>
                <w:b/>
                <w:sz w:val="24"/>
              </w:rPr>
              <w:t>有组织废气</w:t>
            </w:r>
          </w:p>
          <w:p w14:paraId="520AB54C">
            <w:pPr>
              <w:adjustRightInd w:val="0"/>
              <w:snapToGrid w:val="0"/>
              <w:spacing w:line="460" w:lineRule="exact"/>
              <w:ind w:firstLine="480" w:firstLineChars="200"/>
              <w:rPr>
                <w:rFonts w:eastAsia="黑体"/>
                <w:sz w:val="24"/>
              </w:rPr>
            </w:pPr>
            <w:r>
              <w:rPr>
                <w:sz w:val="24"/>
              </w:rPr>
              <w:t>河南</w:t>
            </w:r>
            <w:r>
              <w:rPr>
                <w:rFonts w:hint="eastAsia"/>
                <w:sz w:val="24"/>
              </w:rPr>
              <w:t>鑫成环测</w:t>
            </w:r>
            <w:r>
              <w:rPr>
                <w:sz w:val="24"/>
              </w:rPr>
              <w:t>检测</w:t>
            </w:r>
            <w:r>
              <w:rPr>
                <w:rFonts w:hint="eastAsia"/>
                <w:sz w:val="24"/>
              </w:rPr>
              <w:t>技术</w:t>
            </w:r>
            <w:r>
              <w:rPr>
                <w:sz w:val="24"/>
              </w:rPr>
              <w:t>有限公司</w:t>
            </w:r>
            <w:r>
              <w:rPr>
                <w:rFonts w:hint="eastAsia"/>
                <w:sz w:val="24"/>
              </w:rPr>
              <w:t>202</w:t>
            </w:r>
            <w:r>
              <w:rPr>
                <w:sz w:val="24"/>
              </w:rPr>
              <w:t>5</w:t>
            </w:r>
            <w:r>
              <w:rPr>
                <w:rFonts w:hint="eastAsia"/>
                <w:sz w:val="24"/>
              </w:rPr>
              <w:t>年4月2</w:t>
            </w:r>
            <w:r>
              <w:rPr>
                <w:sz w:val="24"/>
              </w:rPr>
              <w:t>2</w:t>
            </w:r>
            <w:r>
              <w:rPr>
                <w:rFonts w:hint="eastAsia"/>
                <w:sz w:val="24"/>
              </w:rPr>
              <w:t>日-</w:t>
            </w:r>
            <w:r>
              <w:rPr>
                <w:sz w:val="24"/>
              </w:rPr>
              <w:t>23</w:t>
            </w:r>
            <w:r>
              <w:rPr>
                <w:rFonts w:hint="eastAsia"/>
                <w:sz w:val="24"/>
              </w:rPr>
              <w:t>日和4月2</w:t>
            </w:r>
            <w:r>
              <w:rPr>
                <w:sz w:val="24"/>
              </w:rPr>
              <w:t>7</w:t>
            </w:r>
            <w:r>
              <w:rPr>
                <w:rFonts w:hint="eastAsia"/>
                <w:sz w:val="24"/>
              </w:rPr>
              <w:t>日</w:t>
            </w:r>
            <w:r>
              <w:rPr>
                <w:sz w:val="24"/>
              </w:rPr>
              <w:t>-28</w:t>
            </w:r>
            <w:r>
              <w:rPr>
                <w:rFonts w:hint="eastAsia"/>
                <w:sz w:val="24"/>
              </w:rPr>
              <w:t>日、</w:t>
            </w:r>
            <w:r>
              <w:rPr>
                <w:sz w:val="24"/>
              </w:rPr>
              <w:t>河南析源环境检测有限公司</w:t>
            </w:r>
            <w:r>
              <w:rPr>
                <w:rFonts w:hint="eastAsia"/>
                <w:sz w:val="24"/>
              </w:rPr>
              <w:t>2</w:t>
            </w:r>
            <w:r>
              <w:rPr>
                <w:sz w:val="24"/>
              </w:rPr>
              <w:t>024</w:t>
            </w:r>
            <w:r>
              <w:rPr>
                <w:rFonts w:hint="eastAsia"/>
                <w:sz w:val="24"/>
              </w:rPr>
              <w:t>年6月6日对建设路厂区已建工程的有组织废气进行了检测，检测结果及在建项目环评批复情况如下：</w:t>
            </w:r>
          </w:p>
          <w:p w14:paraId="520AB54D">
            <w:pPr>
              <w:adjustRightInd w:val="0"/>
              <w:snapToGrid w:val="0"/>
              <w:spacing w:line="460" w:lineRule="exact"/>
              <w:ind w:firstLine="480" w:firstLineChars="200"/>
              <w:rPr>
                <w:rFonts w:eastAsia="黑体"/>
                <w:sz w:val="24"/>
                <w:highlight w:val="yellow"/>
              </w:rPr>
            </w:pPr>
          </w:p>
          <w:p w14:paraId="520AB54E">
            <w:pPr>
              <w:adjustRightInd w:val="0"/>
              <w:snapToGrid w:val="0"/>
              <w:spacing w:line="460" w:lineRule="exact"/>
              <w:ind w:firstLine="480" w:firstLineChars="200"/>
              <w:rPr>
                <w:rFonts w:eastAsia="黑体"/>
                <w:sz w:val="24"/>
                <w:highlight w:val="yellow"/>
              </w:rPr>
            </w:pPr>
          </w:p>
          <w:p w14:paraId="520AB550">
            <w:pPr>
              <w:adjustRightInd w:val="0"/>
              <w:snapToGrid w:val="0"/>
              <w:spacing w:line="460" w:lineRule="exact"/>
              <w:ind w:firstLine="480" w:firstLineChars="200"/>
              <w:rPr>
                <w:rFonts w:eastAsia="黑体"/>
                <w:sz w:val="24"/>
              </w:rPr>
            </w:pPr>
            <w:r>
              <w:rPr>
                <w:rFonts w:hint="eastAsia" w:eastAsia="黑体"/>
                <w:sz w:val="24"/>
              </w:rPr>
              <w:t xml:space="preserve">表23                </w:t>
            </w:r>
            <w:r>
              <w:rPr>
                <w:rFonts w:eastAsia="黑体"/>
                <w:sz w:val="24"/>
              </w:rPr>
              <w:t xml:space="preserve">  </w:t>
            </w:r>
            <w:r>
              <w:rPr>
                <w:rFonts w:hint="eastAsia" w:eastAsia="黑体"/>
                <w:sz w:val="24"/>
              </w:rPr>
              <w:t xml:space="preserve"> </w:t>
            </w:r>
            <w:r>
              <w:rPr>
                <w:rFonts w:eastAsia="黑体"/>
                <w:sz w:val="24"/>
              </w:rPr>
              <w:t xml:space="preserve">  </w:t>
            </w:r>
            <w:r>
              <w:rPr>
                <w:rFonts w:hint="eastAsia" w:eastAsia="黑体"/>
                <w:sz w:val="24"/>
              </w:rPr>
              <w:t xml:space="preserve">    建设路厂区现有工程有组织废气产生及排放情况</w:t>
            </w:r>
          </w:p>
          <w:tbl>
            <w:tblPr>
              <w:tblStyle w:val="18"/>
              <w:tblW w:w="0" w:type="auto"/>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1229"/>
              <w:gridCol w:w="749"/>
              <w:gridCol w:w="1033"/>
              <w:gridCol w:w="1324"/>
              <w:gridCol w:w="827"/>
              <w:gridCol w:w="1099"/>
              <w:gridCol w:w="1083"/>
              <w:gridCol w:w="826"/>
              <w:gridCol w:w="1099"/>
              <w:gridCol w:w="1115"/>
              <w:gridCol w:w="941"/>
              <w:gridCol w:w="1395"/>
            </w:tblGrid>
            <w:tr w14:paraId="520AB55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restart"/>
                  <w:vAlign w:val="center"/>
                </w:tcPr>
                <w:p w14:paraId="520AB551">
                  <w:pPr>
                    <w:widowControl/>
                    <w:adjustRightInd w:val="0"/>
                    <w:snapToGrid w:val="0"/>
                    <w:jc w:val="center"/>
                    <w:rPr>
                      <w:b/>
                      <w:bCs/>
                      <w:kern w:val="0"/>
                      <w:szCs w:val="21"/>
                    </w:rPr>
                  </w:pPr>
                  <w:r>
                    <w:rPr>
                      <w:b/>
                      <w:bCs/>
                      <w:kern w:val="0"/>
                      <w:szCs w:val="21"/>
                    </w:rPr>
                    <w:t>检测日期</w:t>
                  </w:r>
                </w:p>
              </w:tc>
              <w:tc>
                <w:tcPr>
                  <w:tcW w:w="749" w:type="dxa"/>
                  <w:vMerge w:val="restart"/>
                  <w:vAlign w:val="center"/>
                </w:tcPr>
                <w:p w14:paraId="520AB552">
                  <w:pPr>
                    <w:widowControl/>
                    <w:adjustRightInd w:val="0"/>
                    <w:snapToGrid w:val="0"/>
                    <w:jc w:val="center"/>
                    <w:rPr>
                      <w:b/>
                      <w:bCs/>
                      <w:kern w:val="0"/>
                      <w:szCs w:val="21"/>
                    </w:rPr>
                  </w:pPr>
                  <w:r>
                    <w:rPr>
                      <w:b/>
                      <w:bCs/>
                      <w:kern w:val="0"/>
                      <w:szCs w:val="21"/>
                    </w:rPr>
                    <w:t>排气筒</w:t>
                  </w:r>
                </w:p>
              </w:tc>
              <w:tc>
                <w:tcPr>
                  <w:tcW w:w="1035" w:type="dxa"/>
                  <w:vMerge w:val="restart"/>
                  <w:vAlign w:val="center"/>
                </w:tcPr>
                <w:p w14:paraId="520AB553">
                  <w:pPr>
                    <w:widowControl/>
                    <w:adjustRightInd w:val="0"/>
                    <w:snapToGrid w:val="0"/>
                    <w:jc w:val="center"/>
                    <w:rPr>
                      <w:b/>
                      <w:bCs/>
                      <w:kern w:val="0"/>
                      <w:szCs w:val="21"/>
                    </w:rPr>
                  </w:pPr>
                  <w:r>
                    <w:rPr>
                      <w:b/>
                      <w:bCs/>
                      <w:kern w:val="0"/>
                      <w:szCs w:val="21"/>
                    </w:rPr>
                    <w:t>污染物种类</w:t>
                  </w:r>
                </w:p>
              </w:tc>
              <w:tc>
                <w:tcPr>
                  <w:tcW w:w="1326" w:type="dxa"/>
                  <w:vMerge w:val="restart"/>
                  <w:vAlign w:val="center"/>
                </w:tcPr>
                <w:p w14:paraId="520AB554">
                  <w:pPr>
                    <w:widowControl/>
                    <w:adjustRightInd w:val="0"/>
                    <w:snapToGrid w:val="0"/>
                    <w:jc w:val="center"/>
                    <w:rPr>
                      <w:b/>
                      <w:bCs/>
                      <w:kern w:val="0"/>
                      <w:szCs w:val="21"/>
                    </w:rPr>
                  </w:pPr>
                  <w:r>
                    <w:rPr>
                      <w:b/>
                      <w:bCs/>
                      <w:kern w:val="0"/>
                      <w:szCs w:val="21"/>
                    </w:rPr>
                    <w:t>产污环节</w:t>
                  </w:r>
                </w:p>
              </w:tc>
              <w:tc>
                <w:tcPr>
                  <w:tcW w:w="3013" w:type="dxa"/>
                  <w:gridSpan w:val="3"/>
                  <w:vAlign w:val="center"/>
                </w:tcPr>
                <w:p w14:paraId="520AB555">
                  <w:pPr>
                    <w:widowControl/>
                    <w:adjustRightInd w:val="0"/>
                    <w:snapToGrid w:val="0"/>
                    <w:jc w:val="center"/>
                    <w:rPr>
                      <w:b/>
                      <w:bCs/>
                      <w:kern w:val="0"/>
                      <w:szCs w:val="21"/>
                    </w:rPr>
                  </w:pPr>
                  <w:r>
                    <w:rPr>
                      <w:b/>
                      <w:bCs/>
                      <w:kern w:val="0"/>
                      <w:szCs w:val="21"/>
                    </w:rPr>
                    <w:t>产生情况</w:t>
                  </w:r>
                </w:p>
              </w:tc>
              <w:tc>
                <w:tcPr>
                  <w:tcW w:w="3043" w:type="dxa"/>
                  <w:gridSpan w:val="3"/>
                  <w:vAlign w:val="center"/>
                </w:tcPr>
                <w:p w14:paraId="520AB556">
                  <w:pPr>
                    <w:widowControl/>
                    <w:adjustRightInd w:val="0"/>
                    <w:snapToGrid w:val="0"/>
                    <w:jc w:val="center"/>
                    <w:rPr>
                      <w:b/>
                      <w:bCs/>
                      <w:kern w:val="0"/>
                      <w:szCs w:val="21"/>
                    </w:rPr>
                  </w:pPr>
                  <w:r>
                    <w:rPr>
                      <w:b/>
                      <w:bCs/>
                      <w:kern w:val="0"/>
                      <w:szCs w:val="21"/>
                    </w:rPr>
                    <w:t>排放情况</w:t>
                  </w:r>
                </w:p>
              </w:tc>
              <w:tc>
                <w:tcPr>
                  <w:tcW w:w="943" w:type="dxa"/>
                  <w:vMerge w:val="restart"/>
                  <w:vAlign w:val="center"/>
                </w:tcPr>
                <w:p w14:paraId="520AB557">
                  <w:pPr>
                    <w:widowControl/>
                    <w:adjustRightInd w:val="0"/>
                    <w:snapToGrid w:val="0"/>
                    <w:jc w:val="center"/>
                    <w:rPr>
                      <w:b/>
                      <w:bCs/>
                      <w:kern w:val="0"/>
                      <w:szCs w:val="21"/>
                    </w:rPr>
                  </w:pPr>
                  <w:r>
                    <w:rPr>
                      <w:b/>
                      <w:bCs/>
                      <w:kern w:val="0"/>
                      <w:szCs w:val="21"/>
                    </w:rPr>
                    <w:t>年工作时间</w:t>
                  </w:r>
                  <w:r>
                    <w:rPr>
                      <w:rFonts w:hint="eastAsia"/>
                      <w:b/>
                      <w:bCs/>
                      <w:kern w:val="0"/>
                      <w:szCs w:val="21"/>
                    </w:rPr>
                    <w:t>(</w:t>
                  </w:r>
                  <w:r>
                    <w:rPr>
                      <w:b/>
                      <w:bCs/>
                      <w:kern w:val="0"/>
                      <w:szCs w:val="21"/>
                    </w:rPr>
                    <w:t>h/a</w:t>
                  </w:r>
                  <w:r>
                    <w:rPr>
                      <w:rFonts w:hint="eastAsia"/>
                      <w:b/>
                      <w:bCs/>
                      <w:kern w:val="0"/>
                      <w:szCs w:val="21"/>
                    </w:rPr>
                    <w:t>)</w:t>
                  </w:r>
                </w:p>
              </w:tc>
              <w:tc>
                <w:tcPr>
                  <w:tcW w:w="1396" w:type="dxa"/>
                  <w:vMerge w:val="restart"/>
                  <w:vAlign w:val="center"/>
                </w:tcPr>
                <w:p w14:paraId="520AB558">
                  <w:pPr>
                    <w:widowControl/>
                    <w:adjustRightInd w:val="0"/>
                    <w:snapToGrid w:val="0"/>
                    <w:jc w:val="center"/>
                    <w:rPr>
                      <w:b/>
                      <w:bCs/>
                      <w:kern w:val="0"/>
                      <w:szCs w:val="21"/>
                    </w:rPr>
                  </w:pPr>
                  <w:r>
                    <w:rPr>
                      <w:b/>
                      <w:bCs/>
                      <w:kern w:val="0"/>
                      <w:szCs w:val="21"/>
                    </w:rPr>
                    <w:t>最大排放量</w:t>
                  </w:r>
                  <w:r>
                    <w:rPr>
                      <w:rFonts w:hint="eastAsia"/>
                      <w:b/>
                      <w:bCs/>
                      <w:kern w:val="0"/>
                      <w:szCs w:val="21"/>
                    </w:rPr>
                    <w:t>(</w:t>
                  </w:r>
                  <w:r>
                    <w:rPr>
                      <w:b/>
                      <w:bCs/>
                      <w:kern w:val="0"/>
                      <w:szCs w:val="21"/>
                    </w:rPr>
                    <w:t>t/a</w:t>
                  </w:r>
                  <w:r>
                    <w:rPr>
                      <w:rFonts w:hint="eastAsia"/>
                      <w:b/>
                      <w:bCs/>
                      <w:kern w:val="0"/>
                      <w:szCs w:val="21"/>
                    </w:rPr>
                    <w:t>)</w:t>
                  </w:r>
                  <w:r>
                    <w:rPr>
                      <w:rFonts w:hint="eastAsia" w:ascii="宋体" w:hAnsi="宋体" w:cs="宋体"/>
                      <w:vertAlign w:val="superscript"/>
                    </w:rPr>
                    <w:t>②</w:t>
                  </w:r>
                </w:p>
              </w:tc>
            </w:tr>
            <w:tr w14:paraId="520AB56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5A">
                  <w:pPr>
                    <w:widowControl/>
                    <w:adjustRightInd w:val="0"/>
                    <w:snapToGrid w:val="0"/>
                    <w:jc w:val="center"/>
                    <w:rPr>
                      <w:b/>
                      <w:bCs/>
                      <w:kern w:val="0"/>
                      <w:szCs w:val="21"/>
                    </w:rPr>
                  </w:pPr>
                </w:p>
              </w:tc>
              <w:tc>
                <w:tcPr>
                  <w:tcW w:w="749" w:type="dxa"/>
                  <w:vMerge w:val="continue"/>
                  <w:vAlign w:val="center"/>
                </w:tcPr>
                <w:p w14:paraId="520AB55B">
                  <w:pPr>
                    <w:widowControl/>
                    <w:adjustRightInd w:val="0"/>
                    <w:snapToGrid w:val="0"/>
                    <w:jc w:val="center"/>
                    <w:rPr>
                      <w:b/>
                      <w:bCs/>
                      <w:kern w:val="0"/>
                      <w:szCs w:val="21"/>
                    </w:rPr>
                  </w:pPr>
                </w:p>
              </w:tc>
              <w:tc>
                <w:tcPr>
                  <w:tcW w:w="1035" w:type="dxa"/>
                  <w:vMerge w:val="continue"/>
                  <w:vAlign w:val="center"/>
                </w:tcPr>
                <w:p w14:paraId="520AB55C">
                  <w:pPr>
                    <w:widowControl/>
                    <w:adjustRightInd w:val="0"/>
                    <w:snapToGrid w:val="0"/>
                    <w:jc w:val="center"/>
                    <w:rPr>
                      <w:b/>
                      <w:bCs/>
                      <w:kern w:val="0"/>
                      <w:szCs w:val="21"/>
                    </w:rPr>
                  </w:pPr>
                </w:p>
              </w:tc>
              <w:tc>
                <w:tcPr>
                  <w:tcW w:w="1326" w:type="dxa"/>
                  <w:vMerge w:val="continue"/>
                  <w:vAlign w:val="center"/>
                </w:tcPr>
                <w:p w14:paraId="520AB55D">
                  <w:pPr>
                    <w:widowControl/>
                    <w:adjustRightInd w:val="0"/>
                    <w:snapToGrid w:val="0"/>
                    <w:jc w:val="center"/>
                    <w:rPr>
                      <w:b/>
                      <w:bCs/>
                      <w:kern w:val="0"/>
                      <w:szCs w:val="21"/>
                    </w:rPr>
                  </w:pPr>
                </w:p>
              </w:tc>
              <w:tc>
                <w:tcPr>
                  <w:tcW w:w="828" w:type="dxa"/>
                  <w:vAlign w:val="center"/>
                </w:tcPr>
                <w:p w14:paraId="520AB55E">
                  <w:pPr>
                    <w:widowControl/>
                    <w:adjustRightInd w:val="0"/>
                    <w:snapToGrid w:val="0"/>
                    <w:jc w:val="center"/>
                    <w:rPr>
                      <w:b/>
                      <w:bCs/>
                      <w:kern w:val="0"/>
                      <w:szCs w:val="21"/>
                    </w:rPr>
                  </w:pPr>
                  <w:r>
                    <w:rPr>
                      <w:b/>
                      <w:bCs/>
                      <w:kern w:val="0"/>
                      <w:szCs w:val="21"/>
                    </w:rPr>
                    <w:t>风量</w:t>
                  </w:r>
                  <w:r>
                    <w:rPr>
                      <w:rFonts w:hint="eastAsia"/>
                      <w:b/>
                      <w:bCs/>
                      <w:kern w:val="0"/>
                      <w:szCs w:val="21"/>
                    </w:rPr>
                    <w:t>(</w:t>
                  </w:r>
                  <w:r>
                    <w:rPr>
                      <w:b/>
                      <w:bCs/>
                      <w:kern w:val="0"/>
                      <w:szCs w:val="21"/>
                    </w:rPr>
                    <w:t>m</w:t>
                  </w:r>
                  <w:r>
                    <w:rPr>
                      <w:b/>
                      <w:bCs/>
                      <w:kern w:val="0"/>
                      <w:szCs w:val="21"/>
                      <w:vertAlign w:val="superscript"/>
                    </w:rPr>
                    <w:t>3</w:t>
                  </w:r>
                  <w:r>
                    <w:rPr>
                      <w:b/>
                      <w:bCs/>
                      <w:kern w:val="0"/>
                      <w:szCs w:val="21"/>
                    </w:rPr>
                    <w:t>/h</w:t>
                  </w:r>
                  <w:r>
                    <w:rPr>
                      <w:rFonts w:hint="eastAsia"/>
                      <w:b/>
                      <w:bCs/>
                      <w:kern w:val="0"/>
                      <w:szCs w:val="21"/>
                    </w:rPr>
                    <w:t>)</w:t>
                  </w:r>
                </w:p>
              </w:tc>
              <w:tc>
                <w:tcPr>
                  <w:tcW w:w="1100" w:type="dxa"/>
                  <w:vAlign w:val="center"/>
                </w:tcPr>
                <w:p w14:paraId="520AB55F">
                  <w:pPr>
                    <w:widowControl/>
                    <w:adjustRightInd w:val="0"/>
                    <w:snapToGrid w:val="0"/>
                    <w:jc w:val="center"/>
                    <w:rPr>
                      <w:b/>
                      <w:bCs/>
                      <w:kern w:val="0"/>
                      <w:szCs w:val="21"/>
                    </w:rPr>
                  </w:pPr>
                  <w:r>
                    <w:rPr>
                      <w:b/>
                      <w:bCs/>
                      <w:kern w:val="0"/>
                      <w:szCs w:val="21"/>
                    </w:rPr>
                    <w:t>排放浓度(mg/m</w:t>
                  </w:r>
                  <w:r>
                    <w:rPr>
                      <w:b/>
                      <w:bCs/>
                      <w:kern w:val="0"/>
                      <w:szCs w:val="21"/>
                      <w:vertAlign w:val="superscript"/>
                    </w:rPr>
                    <w:t>3</w:t>
                  </w:r>
                  <w:r>
                    <w:rPr>
                      <w:b/>
                      <w:bCs/>
                      <w:kern w:val="0"/>
                      <w:szCs w:val="21"/>
                    </w:rPr>
                    <w:t>)</w:t>
                  </w:r>
                </w:p>
              </w:tc>
              <w:tc>
                <w:tcPr>
                  <w:tcW w:w="1085" w:type="dxa"/>
                  <w:vAlign w:val="center"/>
                </w:tcPr>
                <w:p w14:paraId="520AB560">
                  <w:pPr>
                    <w:widowControl/>
                    <w:adjustRightInd w:val="0"/>
                    <w:snapToGrid w:val="0"/>
                    <w:jc w:val="center"/>
                    <w:rPr>
                      <w:b/>
                      <w:bCs/>
                      <w:kern w:val="0"/>
                      <w:szCs w:val="21"/>
                    </w:rPr>
                  </w:pPr>
                  <w:r>
                    <w:rPr>
                      <w:b/>
                      <w:bCs/>
                      <w:kern w:val="0"/>
                      <w:szCs w:val="21"/>
                    </w:rPr>
                    <w:t>排放速率</w:t>
                  </w:r>
                  <w:r>
                    <w:rPr>
                      <w:rFonts w:hint="eastAsia"/>
                      <w:b/>
                      <w:bCs/>
                      <w:kern w:val="0"/>
                      <w:szCs w:val="21"/>
                    </w:rPr>
                    <w:t>(</w:t>
                  </w:r>
                  <w:r>
                    <w:rPr>
                      <w:b/>
                      <w:bCs/>
                      <w:kern w:val="0"/>
                      <w:szCs w:val="21"/>
                    </w:rPr>
                    <w:t>kg/h)</w:t>
                  </w:r>
                </w:p>
              </w:tc>
              <w:tc>
                <w:tcPr>
                  <w:tcW w:w="827" w:type="dxa"/>
                  <w:vAlign w:val="center"/>
                </w:tcPr>
                <w:p w14:paraId="520AB561">
                  <w:pPr>
                    <w:widowControl/>
                    <w:adjustRightInd w:val="0"/>
                    <w:snapToGrid w:val="0"/>
                    <w:jc w:val="center"/>
                    <w:rPr>
                      <w:b/>
                      <w:bCs/>
                      <w:kern w:val="0"/>
                      <w:szCs w:val="21"/>
                    </w:rPr>
                  </w:pPr>
                  <w:r>
                    <w:rPr>
                      <w:b/>
                      <w:bCs/>
                      <w:kern w:val="0"/>
                      <w:szCs w:val="21"/>
                    </w:rPr>
                    <w:t>风量</w:t>
                  </w:r>
                  <w:r>
                    <w:rPr>
                      <w:rFonts w:hint="eastAsia"/>
                      <w:b/>
                      <w:bCs/>
                      <w:kern w:val="0"/>
                      <w:szCs w:val="21"/>
                    </w:rPr>
                    <w:t>(</w:t>
                  </w:r>
                  <w:r>
                    <w:rPr>
                      <w:b/>
                      <w:bCs/>
                      <w:kern w:val="0"/>
                      <w:szCs w:val="21"/>
                    </w:rPr>
                    <w:t>m</w:t>
                  </w:r>
                  <w:r>
                    <w:rPr>
                      <w:b/>
                      <w:bCs/>
                      <w:kern w:val="0"/>
                      <w:szCs w:val="21"/>
                      <w:vertAlign w:val="superscript"/>
                    </w:rPr>
                    <w:t>3</w:t>
                  </w:r>
                  <w:r>
                    <w:rPr>
                      <w:b/>
                      <w:bCs/>
                      <w:kern w:val="0"/>
                      <w:szCs w:val="21"/>
                    </w:rPr>
                    <w:t>/h</w:t>
                  </w:r>
                  <w:r>
                    <w:rPr>
                      <w:rFonts w:hint="eastAsia"/>
                      <w:b/>
                      <w:bCs/>
                      <w:kern w:val="0"/>
                      <w:szCs w:val="21"/>
                    </w:rPr>
                    <w:t>)</w:t>
                  </w:r>
                </w:p>
              </w:tc>
              <w:tc>
                <w:tcPr>
                  <w:tcW w:w="1100" w:type="dxa"/>
                  <w:vAlign w:val="center"/>
                </w:tcPr>
                <w:p w14:paraId="520AB562">
                  <w:pPr>
                    <w:widowControl/>
                    <w:adjustRightInd w:val="0"/>
                    <w:snapToGrid w:val="0"/>
                    <w:jc w:val="center"/>
                    <w:rPr>
                      <w:b/>
                      <w:bCs/>
                      <w:kern w:val="0"/>
                      <w:szCs w:val="21"/>
                    </w:rPr>
                  </w:pPr>
                  <w:r>
                    <w:rPr>
                      <w:b/>
                      <w:bCs/>
                      <w:kern w:val="0"/>
                      <w:szCs w:val="21"/>
                    </w:rPr>
                    <w:t>排放浓度(mg/m</w:t>
                  </w:r>
                  <w:r>
                    <w:rPr>
                      <w:b/>
                      <w:bCs/>
                      <w:kern w:val="0"/>
                      <w:szCs w:val="21"/>
                      <w:vertAlign w:val="superscript"/>
                    </w:rPr>
                    <w:t>3</w:t>
                  </w:r>
                  <w:r>
                    <w:rPr>
                      <w:b/>
                      <w:bCs/>
                      <w:kern w:val="0"/>
                      <w:szCs w:val="21"/>
                    </w:rPr>
                    <w:t>)</w:t>
                  </w:r>
                </w:p>
              </w:tc>
              <w:tc>
                <w:tcPr>
                  <w:tcW w:w="1116" w:type="dxa"/>
                  <w:vAlign w:val="center"/>
                </w:tcPr>
                <w:p w14:paraId="520AB563">
                  <w:pPr>
                    <w:widowControl/>
                    <w:adjustRightInd w:val="0"/>
                    <w:snapToGrid w:val="0"/>
                    <w:jc w:val="center"/>
                    <w:rPr>
                      <w:b/>
                      <w:bCs/>
                      <w:kern w:val="0"/>
                      <w:szCs w:val="21"/>
                    </w:rPr>
                  </w:pPr>
                  <w:r>
                    <w:rPr>
                      <w:b/>
                      <w:bCs/>
                      <w:kern w:val="0"/>
                      <w:szCs w:val="21"/>
                    </w:rPr>
                    <w:t>排放速率</w:t>
                  </w:r>
                  <w:r>
                    <w:rPr>
                      <w:rFonts w:hint="eastAsia"/>
                      <w:b/>
                      <w:bCs/>
                      <w:kern w:val="0"/>
                      <w:szCs w:val="21"/>
                    </w:rPr>
                    <w:t>(</w:t>
                  </w:r>
                  <w:r>
                    <w:rPr>
                      <w:b/>
                      <w:bCs/>
                      <w:kern w:val="0"/>
                      <w:szCs w:val="21"/>
                    </w:rPr>
                    <w:t>kg/h)</w:t>
                  </w:r>
                </w:p>
              </w:tc>
              <w:tc>
                <w:tcPr>
                  <w:tcW w:w="943" w:type="dxa"/>
                  <w:vMerge w:val="continue"/>
                  <w:vAlign w:val="center"/>
                </w:tcPr>
                <w:p w14:paraId="520AB564">
                  <w:pPr>
                    <w:widowControl/>
                    <w:adjustRightInd w:val="0"/>
                    <w:snapToGrid w:val="0"/>
                    <w:jc w:val="center"/>
                    <w:rPr>
                      <w:b/>
                      <w:bCs/>
                      <w:kern w:val="0"/>
                      <w:szCs w:val="21"/>
                    </w:rPr>
                  </w:pPr>
                </w:p>
              </w:tc>
              <w:tc>
                <w:tcPr>
                  <w:tcW w:w="1396" w:type="dxa"/>
                  <w:vMerge w:val="continue"/>
                  <w:vAlign w:val="center"/>
                </w:tcPr>
                <w:p w14:paraId="520AB565">
                  <w:pPr>
                    <w:widowControl/>
                    <w:adjustRightInd w:val="0"/>
                    <w:snapToGrid w:val="0"/>
                    <w:jc w:val="center"/>
                    <w:rPr>
                      <w:b/>
                      <w:bCs/>
                      <w:kern w:val="0"/>
                      <w:szCs w:val="21"/>
                    </w:rPr>
                  </w:pPr>
                </w:p>
              </w:tc>
            </w:tr>
            <w:tr w14:paraId="520AB57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restart"/>
                  <w:vAlign w:val="center"/>
                </w:tcPr>
                <w:p w14:paraId="520AB567">
                  <w:pPr>
                    <w:widowControl/>
                    <w:adjustRightInd w:val="0"/>
                    <w:snapToGrid w:val="0"/>
                    <w:jc w:val="center"/>
                    <w:rPr>
                      <w:kern w:val="0"/>
                      <w:szCs w:val="21"/>
                    </w:rPr>
                  </w:pPr>
                  <w:r>
                    <w:rPr>
                      <w:kern w:val="0"/>
                      <w:szCs w:val="21"/>
                    </w:rPr>
                    <w:t>2025.4.22</w:t>
                  </w:r>
                </w:p>
              </w:tc>
              <w:tc>
                <w:tcPr>
                  <w:tcW w:w="749" w:type="dxa"/>
                  <w:vAlign w:val="center"/>
                </w:tcPr>
                <w:p w14:paraId="520AB568">
                  <w:pPr>
                    <w:widowControl/>
                    <w:adjustRightInd w:val="0"/>
                    <w:snapToGrid w:val="0"/>
                    <w:jc w:val="center"/>
                    <w:rPr>
                      <w:kern w:val="0"/>
                      <w:szCs w:val="21"/>
                    </w:rPr>
                  </w:pPr>
                  <w:r>
                    <w:rPr>
                      <w:kern w:val="0"/>
                      <w:szCs w:val="21"/>
                    </w:rPr>
                    <w:t>DA001</w:t>
                  </w:r>
                </w:p>
              </w:tc>
              <w:tc>
                <w:tcPr>
                  <w:tcW w:w="1035" w:type="dxa"/>
                  <w:vAlign w:val="center"/>
                </w:tcPr>
                <w:p w14:paraId="520AB569">
                  <w:pPr>
                    <w:widowControl/>
                    <w:adjustRightInd w:val="0"/>
                    <w:snapToGrid w:val="0"/>
                    <w:jc w:val="center"/>
                    <w:rPr>
                      <w:kern w:val="0"/>
                      <w:szCs w:val="21"/>
                    </w:rPr>
                  </w:pPr>
                  <w:r>
                    <w:rPr>
                      <w:rFonts w:hint="eastAsia"/>
                      <w:szCs w:val="21"/>
                    </w:rPr>
                    <w:t>氮氧化物</w:t>
                  </w:r>
                </w:p>
              </w:tc>
              <w:tc>
                <w:tcPr>
                  <w:tcW w:w="1326" w:type="dxa"/>
                  <w:vMerge w:val="restart"/>
                  <w:vAlign w:val="center"/>
                </w:tcPr>
                <w:p w14:paraId="520AB56A">
                  <w:pPr>
                    <w:widowControl/>
                    <w:adjustRightInd w:val="0"/>
                    <w:snapToGrid w:val="0"/>
                    <w:jc w:val="center"/>
                    <w:rPr>
                      <w:kern w:val="0"/>
                      <w:szCs w:val="21"/>
                    </w:rPr>
                  </w:pPr>
                  <w:r>
                    <w:rPr>
                      <w:kern w:val="0"/>
                      <w:szCs w:val="21"/>
                    </w:rPr>
                    <w:t>电镀生产线</w:t>
                  </w:r>
                </w:p>
              </w:tc>
              <w:tc>
                <w:tcPr>
                  <w:tcW w:w="828" w:type="dxa"/>
                  <w:vAlign w:val="center"/>
                </w:tcPr>
                <w:p w14:paraId="520AB56B">
                  <w:pPr>
                    <w:widowControl/>
                    <w:adjustRightInd w:val="0"/>
                    <w:snapToGrid w:val="0"/>
                    <w:jc w:val="center"/>
                    <w:rPr>
                      <w:kern w:val="0"/>
                      <w:szCs w:val="21"/>
                    </w:rPr>
                  </w:pPr>
                  <w:r>
                    <w:rPr>
                      <w:rFonts w:hint="eastAsia"/>
                      <w:kern w:val="0"/>
                      <w:szCs w:val="21"/>
                    </w:rPr>
                    <w:t>/</w:t>
                  </w:r>
                </w:p>
              </w:tc>
              <w:tc>
                <w:tcPr>
                  <w:tcW w:w="1100" w:type="dxa"/>
                  <w:vAlign w:val="center"/>
                </w:tcPr>
                <w:p w14:paraId="520AB56C">
                  <w:pPr>
                    <w:widowControl/>
                    <w:adjustRightInd w:val="0"/>
                    <w:snapToGrid w:val="0"/>
                    <w:jc w:val="center"/>
                    <w:rPr>
                      <w:kern w:val="0"/>
                      <w:szCs w:val="21"/>
                    </w:rPr>
                  </w:pPr>
                  <w:r>
                    <w:rPr>
                      <w:rFonts w:hint="eastAsia"/>
                      <w:kern w:val="0"/>
                      <w:szCs w:val="21"/>
                    </w:rPr>
                    <w:t>/</w:t>
                  </w:r>
                </w:p>
              </w:tc>
              <w:tc>
                <w:tcPr>
                  <w:tcW w:w="1085" w:type="dxa"/>
                  <w:vAlign w:val="center"/>
                </w:tcPr>
                <w:p w14:paraId="520AB56D">
                  <w:pPr>
                    <w:widowControl/>
                    <w:adjustRightInd w:val="0"/>
                    <w:snapToGrid w:val="0"/>
                    <w:jc w:val="center"/>
                    <w:rPr>
                      <w:kern w:val="0"/>
                      <w:szCs w:val="21"/>
                    </w:rPr>
                  </w:pPr>
                  <w:r>
                    <w:rPr>
                      <w:rFonts w:hint="eastAsia"/>
                      <w:kern w:val="0"/>
                      <w:szCs w:val="21"/>
                    </w:rPr>
                    <w:t>/</w:t>
                  </w:r>
                </w:p>
              </w:tc>
              <w:tc>
                <w:tcPr>
                  <w:tcW w:w="827" w:type="dxa"/>
                  <w:vAlign w:val="center"/>
                </w:tcPr>
                <w:p w14:paraId="520AB56E">
                  <w:pPr>
                    <w:widowControl/>
                    <w:adjustRightInd w:val="0"/>
                    <w:snapToGrid w:val="0"/>
                    <w:jc w:val="center"/>
                    <w:rPr>
                      <w:kern w:val="0"/>
                      <w:szCs w:val="21"/>
                    </w:rPr>
                  </w:pPr>
                  <w:r>
                    <w:rPr>
                      <w:rFonts w:eastAsia="等线"/>
                      <w:szCs w:val="21"/>
                    </w:rPr>
                    <w:t>16200</w:t>
                  </w:r>
                </w:p>
              </w:tc>
              <w:tc>
                <w:tcPr>
                  <w:tcW w:w="1100" w:type="dxa"/>
                  <w:vAlign w:val="center"/>
                </w:tcPr>
                <w:p w14:paraId="520AB56F">
                  <w:pPr>
                    <w:widowControl/>
                    <w:adjustRightInd w:val="0"/>
                    <w:snapToGrid w:val="0"/>
                    <w:jc w:val="center"/>
                    <w:rPr>
                      <w:kern w:val="0"/>
                      <w:szCs w:val="21"/>
                    </w:rPr>
                  </w:pPr>
                  <w:r>
                    <w:rPr>
                      <w:rFonts w:eastAsia="等线"/>
                      <w:szCs w:val="21"/>
                    </w:rPr>
                    <w:t>13</w:t>
                  </w:r>
                </w:p>
              </w:tc>
              <w:tc>
                <w:tcPr>
                  <w:tcW w:w="1116" w:type="dxa"/>
                  <w:vAlign w:val="center"/>
                </w:tcPr>
                <w:p w14:paraId="520AB570">
                  <w:pPr>
                    <w:widowControl/>
                    <w:adjustRightInd w:val="0"/>
                    <w:snapToGrid w:val="0"/>
                    <w:jc w:val="center"/>
                    <w:rPr>
                      <w:kern w:val="0"/>
                      <w:szCs w:val="21"/>
                    </w:rPr>
                  </w:pPr>
                  <w:r>
                    <w:rPr>
                      <w:rFonts w:eastAsia="等线"/>
                      <w:szCs w:val="21"/>
                    </w:rPr>
                    <w:t>0.21</w:t>
                  </w:r>
                </w:p>
              </w:tc>
              <w:tc>
                <w:tcPr>
                  <w:tcW w:w="943" w:type="dxa"/>
                  <w:vAlign w:val="center"/>
                </w:tcPr>
                <w:p w14:paraId="520AB571">
                  <w:pPr>
                    <w:widowControl/>
                    <w:adjustRightInd w:val="0"/>
                    <w:snapToGrid w:val="0"/>
                    <w:jc w:val="center"/>
                    <w:rPr>
                      <w:kern w:val="0"/>
                      <w:szCs w:val="21"/>
                    </w:rPr>
                  </w:pPr>
                  <w:r>
                    <w:rPr>
                      <w:rFonts w:eastAsia="等线"/>
                      <w:szCs w:val="21"/>
                    </w:rPr>
                    <w:t>1500</w:t>
                  </w:r>
                </w:p>
              </w:tc>
              <w:tc>
                <w:tcPr>
                  <w:tcW w:w="1396" w:type="dxa"/>
                  <w:vAlign w:val="center"/>
                </w:tcPr>
                <w:p w14:paraId="520AB572">
                  <w:pPr>
                    <w:widowControl/>
                    <w:adjustRightInd w:val="0"/>
                    <w:snapToGrid w:val="0"/>
                    <w:jc w:val="center"/>
                    <w:rPr>
                      <w:kern w:val="0"/>
                      <w:szCs w:val="21"/>
                    </w:rPr>
                  </w:pPr>
                  <w:r>
                    <w:rPr>
                      <w:rFonts w:eastAsia="等线"/>
                      <w:szCs w:val="21"/>
                    </w:rPr>
                    <w:t>0.3316</w:t>
                  </w:r>
                </w:p>
              </w:tc>
            </w:tr>
            <w:tr w14:paraId="520AB58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74">
                  <w:pPr>
                    <w:widowControl/>
                    <w:adjustRightInd w:val="0"/>
                    <w:snapToGrid w:val="0"/>
                    <w:jc w:val="center"/>
                    <w:rPr>
                      <w:kern w:val="0"/>
                      <w:szCs w:val="21"/>
                    </w:rPr>
                  </w:pPr>
                </w:p>
              </w:tc>
              <w:tc>
                <w:tcPr>
                  <w:tcW w:w="749" w:type="dxa"/>
                  <w:vMerge w:val="restart"/>
                  <w:vAlign w:val="center"/>
                </w:tcPr>
                <w:p w14:paraId="520AB575">
                  <w:pPr>
                    <w:widowControl/>
                    <w:adjustRightInd w:val="0"/>
                    <w:snapToGrid w:val="0"/>
                    <w:jc w:val="center"/>
                    <w:rPr>
                      <w:kern w:val="0"/>
                      <w:szCs w:val="21"/>
                    </w:rPr>
                  </w:pPr>
                  <w:r>
                    <w:rPr>
                      <w:kern w:val="0"/>
                      <w:szCs w:val="21"/>
                    </w:rPr>
                    <w:t>DA002</w:t>
                  </w:r>
                </w:p>
              </w:tc>
              <w:tc>
                <w:tcPr>
                  <w:tcW w:w="1035" w:type="dxa"/>
                  <w:vAlign w:val="center"/>
                </w:tcPr>
                <w:p w14:paraId="520AB576">
                  <w:pPr>
                    <w:widowControl/>
                    <w:adjustRightInd w:val="0"/>
                    <w:snapToGrid w:val="0"/>
                    <w:jc w:val="center"/>
                    <w:rPr>
                      <w:kern w:val="0"/>
                      <w:szCs w:val="21"/>
                    </w:rPr>
                  </w:pPr>
                  <w:r>
                    <w:rPr>
                      <w:kern w:val="0"/>
                      <w:szCs w:val="21"/>
                    </w:rPr>
                    <w:t>氯化氢</w:t>
                  </w:r>
                </w:p>
              </w:tc>
              <w:tc>
                <w:tcPr>
                  <w:tcW w:w="1326" w:type="dxa"/>
                  <w:vMerge w:val="continue"/>
                  <w:vAlign w:val="center"/>
                </w:tcPr>
                <w:p w14:paraId="520AB577">
                  <w:pPr>
                    <w:widowControl/>
                    <w:adjustRightInd w:val="0"/>
                    <w:snapToGrid w:val="0"/>
                    <w:jc w:val="center"/>
                    <w:rPr>
                      <w:kern w:val="0"/>
                      <w:szCs w:val="21"/>
                    </w:rPr>
                  </w:pPr>
                </w:p>
              </w:tc>
              <w:tc>
                <w:tcPr>
                  <w:tcW w:w="828" w:type="dxa"/>
                  <w:vAlign w:val="center"/>
                </w:tcPr>
                <w:p w14:paraId="520AB578">
                  <w:pPr>
                    <w:widowControl/>
                    <w:adjustRightInd w:val="0"/>
                    <w:snapToGrid w:val="0"/>
                    <w:jc w:val="center"/>
                    <w:rPr>
                      <w:kern w:val="0"/>
                      <w:szCs w:val="21"/>
                    </w:rPr>
                  </w:pPr>
                  <w:r>
                    <w:rPr>
                      <w:rFonts w:hint="eastAsia"/>
                      <w:kern w:val="0"/>
                      <w:szCs w:val="21"/>
                    </w:rPr>
                    <w:t>/</w:t>
                  </w:r>
                </w:p>
              </w:tc>
              <w:tc>
                <w:tcPr>
                  <w:tcW w:w="1100" w:type="dxa"/>
                  <w:vAlign w:val="center"/>
                </w:tcPr>
                <w:p w14:paraId="520AB579">
                  <w:pPr>
                    <w:widowControl/>
                    <w:adjustRightInd w:val="0"/>
                    <w:snapToGrid w:val="0"/>
                    <w:jc w:val="center"/>
                    <w:rPr>
                      <w:kern w:val="0"/>
                      <w:szCs w:val="21"/>
                    </w:rPr>
                  </w:pPr>
                  <w:r>
                    <w:rPr>
                      <w:rFonts w:hint="eastAsia"/>
                      <w:kern w:val="0"/>
                      <w:szCs w:val="21"/>
                    </w:rPr>
                    <w:t>/</w:t>
                  </w:r>
                </w:p>
              </w:tc>
              <w:tc>
                <w:tcPr>
                  <w:tcW w:w="1085" w:type="dxa"/>
                  <w:vAlign w:val="center"/>
                </w:tcPr>
                <w:p w14:paraId="520AB57A">
                  <w:pPr>
                    <w:widowControl/>
                    <w:adjustRightInd w:val="0"/>
                    <w:snapToGrid w:val="0"/>
                    <w:jc w:val="center"/>
                    <w:rPr>
                      <w:kern w:val="0"/>
                      <w:szCs w:val="21"/>
                    </w:rPr>
                  </w:pPr>
                  <w:r>
                    <w:rPr>
                      <w:rFonts w:hint="eastAsia"/>
                      <w:kern w:val="0"/>
                      <w:szCs w:val="21"/>
                    </w:rPr>
                    <w:t>/</w:t>
                  </w:r>
                </w:p>
              </w:tc>
              <w:tc>
                <w:tcPr>
                  <w:tcW w:w="827" w:type="dxa"/>
                  <w:vAlign w:val="center"/>
                </w:tcPr>
                <w:p w14:paraId="520AB57B">
                  <w:pPr>
                    <w:widowControl/>
                    <w:adjustRightInd w:val="0"/>
                    <w:snapToGrid w:val="0"/>
                    <w:jc w:val="center"/>
                    <w:rPr>
                      <w:kern w:val="0"/>
                      <w:szCs w:val="21"/>
                    </w:rPr>
                  </w:pPr>
                  <w:r>
                    <w:rPr>
                      <w:rFonts w:eastAsia="等线"/>
                      <w:szCs w:val="21"/>
                    </w:rPr>
                    <w:t>95100</w:t>
                  </w:r>
                </w:p>
              </w:tc>
              <w:tc>
                <w:tcPr>
                  <w:tcW w:w="1100" w:type="dxa"/>
                  <w:vAlign w:val="center"/>
                </w:tcPr>
                <w:p w14:paraId="520AB57C">
                  <w:pPr>
                    <w:widowControl/>
                    <w:adjustRightInd w:val="0"/>
                    <w:snapToGrid w:val="0"/>
                    <w:jc w:val="center"/>
                    <w:rPr>
                      <w:kern w:val="0"/>
                      <w:szCs w:val="21"/>
                    </w:rPr>
                  </w:pPr>
                  <w:r>
                    <w:rPr>
                      <w:rFonts w:eastAsia="等线"/>
                      <w:szCs w:val="21"/>
                    </w:rPr>
                    <w:t>4.4</w:t>
                  </w:r>
                </w:p>
              </w:tc>
              <w:tc>
                <w:tcPr>
                  <w:tcW w:w="1116" w:type="dxa"/>
                  <w:vAlign w:val="center"/>
                </w:tcPr>
                <w:p w14:paraId="520AB57D">
                  <w:pPr>
                    <w:widowControl/>
                    <w:adjustRightInd w:val="0"/>
                    <w:snapToGrid w:val="0"/>
                    <w:jc w:val="center"/>
                    <w:rPr>
                      <w:kern w:val="0"/>
                      <w:szCs w:val="21"/>
                    </w:rPr>
                  </w:pPr>
                  <w:r>
                    <w:rPr>
                      <w:rFonts w:eastAsia="等线"/>
                      <w:szCs w:val="21"/>
                    </w:rPr>
                    <w:t>0.042</w:t>
                  </w:r>
                </w:p>
              </w:tc>
              <w:tc>
                <w:tcPr>
                  <w:tcW w:w="943" w:type="dxa"/>
                  <w:vAlign w:val="center"/>
                </w:tcPr>
                <w:p w14:paraId="520AB57E">
                  <w:pPr>
                    <w:widowControl/>
                    <w:adjustRightInd w:val="0"/>
                    <w:snapToGrid w:val="0"/>
                    <w:jc w:val="center"/>
                    <w:rPr>
                      <w:kern w:val="0"/>
                      <w:szCs w:val="21"/>
                    </w:rPr>
                  </w:pPr>
                  <w:r>
                    <w:rPr>
                      <w:rFonts w:eastAsia="等线"/>
                      <w:szCs w:val="21"/>
                    </w:rPr>
                    <w:t>750</w:t>
                  </w:r>
                </w:p>
              </w:tc>
              <w:tc>
                <w:tcPr>
                  <w:tcW w:w="1396" w:type="dxa"/>
                  <w:vAlign w:val="center"/>
                </w:tcPr>
                <w:p w14:paraId="520AB57F">
                  <w:pPr>
                    <w:widowControl/>
                    <w:adjustRightInd w:val="0"/>
                    <w:snapToGrid w:val="0"/>
                    <w:jc w:val="center"/>
                    <w:rPr>
                      <w:kern w:val="0"/>
                      <w:szCs w:val="21"/>
                    </w:rPr>
                  </w:pPr>
                  <w:r>
                    <w:rPr>
                      <w:rFonts w:eastAsia="等线"/>
                      <w:szCs w:val="21"/>
                    </w:rPr>
                    <w:t>0.0332</w:t>
                  </w:r>
                </w:p>
              </w:tc>
            </w:tr>
            <w:tr w14:paraId="520AB58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81">
                  <w:pPr>
                    <w:widowControl/>
                    <w:adjustRightInd w:val="0"/>
                    <w:snapToGrid w:val="0"/>
                    <w:jc w:val="center"/>
                    <w:rPr>
                      <w:kern w:val="0"/>
                      <w:szCs w:val="21"/>
                    </w:rPr>
                  </w:pPr>
                </w:p>
              </w:tc>
              <w:tc>
                <w:tcPr>
                  <w:tcW w:w="749" w:type="dxa"/>
                  <w:vMerge w:val="continue"/>
                  <w:vAlign w:val="center"/>
                </w:tcPr>
                <w:p w14:paraId="520AB582">
                  <w:pPr>
                    <w:widowControl/>
                    <w:adjustRightInd w:val="0"/>
                    <w:snapToGrid w:val="0"/>
                    <w:jc w:val="center"/>
                    <w:rPr>
                      <w:kern w:val="0"/>
                      <w:szCs w:val="21"/>
                    </w:rPr>
                  </w:pPr>
                </w:p>
              </w:tc>
              <w:tc>
                <w:tcPr>
                  <w:tcW w:w="1035" w:type="dxa"/>
                  <w:vAlign w:val="center"/>
                </w:tcPr>
                <w:p w14:paraId="520AB583">
                  <w:pPr>
                    <w:widowControl/>
                    <w:adjustRightInd w:val="0"/>
                    <w:snapToGrid w:val="0"/>
                    <w:jc w:val="center"/>
                    <w:rPr>
                      <w:kern w:val="0"/>
                      <w:szCs w:val="21"/>
                    </w:rPr>
                  </w:pPr>
                  <w:r>
                    <w:rPr>
                      <w:kern w:val="0"/>
                      <w:szCs w:val="21"/>
                    </w:rPr>
                    <w:t>铬酸雾</w:t>
                  </w:r>
                </w:p>
              </w:tc>
              <w:tc>
                <w:tcPr>
                  <w:tcW w:w="1326" w:type="dxa"/>
                  <w:vMerge w:val="continue"/>
                  <w:vAlign w:val="center"/>
                </w:tcPr>
                <w:p w14:paraId="520AB584">
                  <w:pPr>
                    <w:widowControl/>
                    <w:adjustRightInd w:val="0"/>
                    <w:snapToGrid w:val="0"/>
                    <w:jc w:val="center"/>
                    <w:rPr>
                      <w:kern w:val="0"/>
                      <w:szCs w:val="21"/>
                    </w:rPr>
                  </w:pPr>
                </w:p>
              </w:tc>
              <w:tc>
                <w:tcPr>
                  <w:tcW w:w="828" w:type="dxa"/>
                  <w:vAlign w:val="center"/>
                </w:tcPr>
                <w:p w14:paraId="520AB585">
                  <w:pPr>
                    <w:widowControl/>
                    <w:adjustRightInd w:val="0"/>
                    <w:snapToGrid w:val="0"/>
                    <w:jc w:val="center"/>
                    <w:rPr>
                      <w:kern w:val="0"/>
                      <w:szCs w:val="21"/>
                    </w:rPr>
                  </w:pPr>
                  <w:r>
                    <w:rPr>
                      <w:rFonts w:hint="eastAsia"/>
                      <w:kern w:val="0"/>
                      <w:szCs w:val="21"/>
                    </w:rPr>
                    <w:t>/</w:t>
                  </w:r>
                </w:p>
              </w:tc>
              <w:tc>
                <w:tcPr>
                  <w:tcW w:w="1100" w:type="dxa"/>
                  <w:vAlign w:val="center"/>
                </w:tcPr>
                <w:p w14:paraId="520AB586">
                  <w:pPr>
                    <w:widowControl/>
                    <w:adjustRightInd w:val="0"/>
                    <w:snapToGrid w:val="0"/>
                    <w:jc w:val="center"/>
                    <w:rPr>
                      <w:kern w:val="0"/>
                      <w:szCs w:val="21"/>
                    </w:rPr>
                  </w:pPr>
                  <w:r>
                    <w:rPr>
                      <w:rFonts w:hint="eastAsia"/>
                      <w:kern w:val="0"/>
                      <w:szCs w:val="21"/>
                    </w:rPr>
                    <w:t>/</w:t>
                  </w:r>
                </w:p>
              </w:tc>
              <w:tc>
                <w:tcPr>
                  <w:tcW w:w="1085" w:type="dxa"/>
                  <w:vAlign w:val="center"/>
                </w:tcPr>
                <w:p w14:paraId="520AB587">
                  <w:pPr>
                    <w:widowControl/>
                    <w:adjustRightInd w:val="0"/>
                    <w:snapToGrid w:val="0"/>
                    <w:jc w:val="center"/>
                    <w:rPr>
                      <w:kern w:val="0"/>
                      <w:szCs w:val="21"/>
                    </w:rPr>
                  </w:pPr>
                  <w:r>
                    <w:rPr>
                      <w:rFonts w:hint="eastAsia"/>
                      <w:kern w:val="0"/>
                      <w:szCs w:val="21"/>
                    </w:rPr>
                    <w:t>/</w:t>
                  </w:r>
                </w:p>
              </w:tc>
              <w:tc>
                <w:tcPr>
                  <w:tcW w:w="827" w:type="dxa"/>
                  <w:vAlign w:val="center"/>
                </w:tcPr>
                <w:p w14:paraId="520AB588">
                  <w:pPr>
                    <w:widowControl/>
                    <w:adjustRightInd w:val="0"/>
                    <w:snapToGrid w:val="0"/>
                    <w:jc w:val="center"/>
                    <w:rPr>
                      <w:kern w:val="0"/>
                      <w:szCs w:val="21"/>
                    </w:rPr>
                  </w:pPr>
                  <w:r>
                    <w:rPr>
                      <w:rFonts w:eastAsia="等线"/>
                      <w:szCs w:val="21"/>
                    </w:rPr>
                    <w:t>94000</w:t>
                  </w:r>
                </w:p>
              </w:tc>
              <w:tc>
                <w:tcPr>
                  <w:tcW w:w="1100" w:type="dxa"/>
                  <w:vAlign w:val="center"/>
                </w:tcPr>
                <w:p w14:paraId="520AB589">
                  <w:pPr>
                    <w:widowControl/>
                    <w:adjustRightInd w:val="0"/>
                    <w:snapToGrid w:val="0"/>
                    <w:jc w:val="center"/>
                    <w:rPr>
                      <w:kern w:val="0"/>
                      <w:szCs w:val="21"/>
                    </w:rPr>
                  </w:pPr>
                  <w:r>
                    <w:rPr>
                      <w:rFonts w:eastAsia="等线"/>
                      <w:szCs w:val="21"/>
                    </w:rPr>
                    <w:t>0.025</w:t>
                  </w:r>
                </w:p>
              </w:tc>
              <w:tc>
                <w:tcPr>
                  <w:tcW w:w="1116" w:type="dxa"/>
                  <w:vAlign w:val="center"/>
                </w:tcPr>
                <w:p w14:paraId="520AB58A">
                  <w:pPr>
                    <w:widowControl/>
                    <w:adjustRightInd w:val="0"/>
                    <w:snapToGrid w:val="0"/>
                    <w:jc w:val="center"/>
                    <w:rPr>
                      <w:kern w:val="0"/>
                      <w:szCs w:val="21"/>
                    </w:rPr>
                  </w:pPr>
                  <w:r>
                    <w:rPr>
                      <w:rFonts w:eastAsia="等线"/>
                      <w:szCs w:val="21"/>
                    </w:rPr>
                    <w:t>0.000235</w:t>
                  </w:r>
                </w:p>
              </w:tc>
              <w:tc>
                <w:tcPr>
                  <w:tcW w:w="943" w:type="dxa"/>
                  <w:vAlign w:val="center"/>
                </w:tcPr>
                <w:p w14:paraId="520AB58B">
                  <w:pPr>
                    <w:widowControl/>
                    <w:adjustRightInd w:val="0"/>
                    <w:snapToGrid w:val="0"/>
                    <w:jc w:val="center"/>
                    <w:rPr>
                      <w:kern w:val="0"/>
                      <w:szCs w:val="21"/>
                    </w:rPr>
                  </w:pPr>
                  <w:r>
                    <w:rPr>
                      <w:rFonts w:eastAsia="等线"/>
                      <w:szCs w:val="21"/>
                    </w:rPr>
                    <w:t>750</w:t>
                  </w:r>
                </w:p>
              </w:tc>
              <w:tc>
                <w:tcPr>
                  <w:tcW w:w="1396" w:type="dxa"/>
                  <w:vAlign w:val="center"/>
                </w:tcPr>
                <w:p w14:paraId="520AB58C">
                  <w:pPr>
                    <w:widowControl/>
                    <w:adjustRightInd w:val="0"/>
                    <w:snapToGrid w:val="0"/>
                    <w:jc w:val="center"/>
                    <w:rPr>
                      <w:kern w:val="0"/>
                      <w:szCs w:val="21"/>
                    </w:rPr>
                  </w:pPr>
                  <w:r>
                    <w:rPr>
                      <w:rFonts w:eastAsia="等线"/>
                      <w:szCs w:val="21"/>
                    </w:rPr>
                    <w:t>0.0002</w:t>
                  </w:r>
                </w:p>
              </w:tc>
            </w:tr>
            <w:tr w14:paraId="520AB59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8E">
                  <w:pPr>
                    <w:widowControl/>
                    <w:adjustRightInd w:val="0"/>
                    <w:snapToGrid w:val="0"/>
                    <w:jc w:val="center"/>
                    <w:rPr>
                      <w:kern w:val="0"/>
                      <w:szCs w:val="21"/>
                    </w:rPr>
                  </w:pPr>
                </w:p>
              </w:tc>
              <w:tc>
                <w:tcPr>
                  <w:tcW w:w="749" w:type="dxa"/>
                  <w:vMerge w:val="continue"/>
                  <w:vAlign w:val="center"/>
                </w:tcPr>
                <w:p w14:paraId="520AB58F">
                  <w:pPr>
                    <w:widowControl/>
                    <w:adjustRightInd w:val="0"/>
                    <w:snapToGrid w:val="0"/>
                    <w:jc w:val="center"/>
                    <w:rPr>
                      <w:kern w:val="0"/>
                      <w:szCs w:val="21"/>
                    </w:rPr>
                  </w:pPr>
                </w:p>
              </w:tc>
              <w:tc>
                <w:tcPr>
                  <w:tcW w:w="1035" w:type="dxa"/>
                  <w:vAlign w:val="center"/>
                </w:tcPr>
                <w:p w14:paraId="520AB590">
                  <w:pPr>
                    <w:widowControl/>
                    <w:adjustRightInd w:val="0"/>
                    <w:snapToGrid w:val="0"/>
                    <w:jc w:val="center"/>
                    <w:rPr>
                      <w:kern w:val="0"/>
                      <w:szCs w:val="21"/>
                    </w:rPr>
                  </w:pPr>
                  <w:r>
                    <w:rPr>
                      <w:rFonts w:hint="eastAsia"/>
                      <w:szCs w:val="21"/>
                    </w:rPr>
                    <w:t>硫酸雾</w:t>
                  </w:r>
                </w:p>
              </w:tc>
              <w:tc>
                <w:tcPr>
                  <w:tcW w:w="1326" w:type="dxa"/>
                  <w:vMerge w:val="continue"/>
                  <w:vAlign w:val="center"/>
                </w:tcPr>
                <w:p w14:paraId="520AB591">
                  <w:pPr>
                    <w:widowControl/>
                    <w:adjustRightInd w:val="0"/>
                    <w:snapToGrid w:val="0"/>
                    <w:jc w:val="center"/>
                    <w:rPr>
                      <w:kern w:val="0"/>
                      <w:szCs w:val="21"/>
                    </w:rPr>
                  </w:pPr>
                </w:p>
              </w:tc>
              <w:tc>
                <w:tcPr>
                  <w:tcW w:w="828" w:type="dxa"/>
                  <w:vAlign w:val="center"/>
                </w:tcPr>
                <w:p w14:paraId="520AB592">
                  <w:pPr>
                    <w:widowControl/>
                    <w:adjustRightInd w:val="0"/>
                    <w:snapToGrid w:val="0"/>
                    <w:jc w:val="center"/>
                    <w:rPr>
                      <w:kern w:val="0"/>
                      <w:szCs w:val="21"/>
                    </w:rPr>
                  </w:pPr>
                  <w:r>
                    <w:rPr>
                      <w:rFonts w:hint="eastAsia"/>
                      <w:kern w:val="0"/>
                      <w:szCs w:val="21"/>
                    </w:rPr>
                    <w:t>/</w:t>
                  </w:r>
                </w:p>
              </w:tc>
              <w:tc>
                <w:tcPr>
                  <w:tcW w:w="1100" w:type="dxa"/>
                  <w:vAlign w:val="center"/>
                </w:tcPr>
                <w:p w14:paraId="520AB593">
                  <w:pPr>
                    <w:widowControl/>
                    <w:adjustRightInd w:val="0"/>
                    <w:snapToGrid w:val="0"/>
                    <w:jc w:val="center"/>
                    <w:rPr>
                      <w:kern w:val="0"/>
                      <w:szCs w:val="21"/>
                    </w:rPr>
                  </w:pPr>
                  <w:r>
                    <w:rPr>
                      <w:rFonts w:hint="eastAsia"/>
                      <w:kern w:val="0"/>
                      <w:szCs w:val="21"/>
                    </w:rPr>
                    <w:t>/</w:t>
                  </w:r>
                </w:p>
              </w:tc>
              <w:tc>
                <w:tcPr>
                  <w:tcW w:w="1085" w:type="dxa"/>
                  <w:vAlign w:val="center"/>
                </w:tcPr>
                <w:p w14:paraId="520AB594">
                  <w:pPr>
                    <w:widowControl/>
                    <w:adjustRightInd w:val="0"/>
                    <w:snapToGrid w:val="0"/>
                    <w:jc w:val="center"/>
                    <w:rPr>
                      <w:kern w:val="0"/>
                      <w:szCs w:val="21"/>
                    </w:rPr>
                  </w:pPr>
                  <w:r>
                    <w:rPr>
                      <w:rFonts w:hint="eastAsia"/>
                      <w:kern w:val="0"/>
                      <w:szCs w:val="21"/>
                    </w:rPr>
                    <w:t>/</w:t>
                  </w:r>
                </w:p>
              </w:tc>
              <w:tc>
                <w:tcPr>
                  <w:tcW w:w="827" w:type="dxa"/>
                  <w:vAlign w:val="center"/>
                </w:tcPr>
                <w:p w14:paraId="520AB595">
                  <w:pPr>
                    <w:widowControl/>
                    <w:adjustRightInd w:val="0"/>
                    <w:snapToGrid w:val="0"/>
                    <w:jc w:val="center"/>
                    <w:rPr>
                      <w:kern w:val="0"/>
                      <w:szCs w:val="21"/>
                    </w:rPr>
                  </w:pPr>
                  <w:r>
                    <w:rPr>
                      <w:rFonts w:eastAsia="等线"/>
                      <w:szCs w:val="21"/>
                    </w:rPr>
                    <w:t>95100</w:t>
                  </w:r>
                </w:p>
              </w:tc>
              <w:tc>
                <w:tcPr>
                  <w:tcW w:w="1100" w:type="dxa"/>
                  <w:vAlign w:val="center"/>
                </w:tcPr>
                <w:p w14:paraId="520AB596">
                  <w:pPr>
                    <w:widowControl/>
                    <w:adjustRightInd w:val="0"/>
                    <w:snapToGrid w:val="0"/>
                    <w:jc w:val="center"/>
                    <w:rPr>
                      <w:kern w:val="0"/>
                      <w:szCs w:val="21"/>
                    </w:rPr>
                  </w:pPr>
                  <w:r>
                    <w:rPr>
                      <w:rFonts w:eastAsia="等线"/>
                      <w:szCs w:val="21"/>
                    </w:rPr>
                    <w:t>3.15</w:t>
                  </w:r>
                </w:p>
              </w:tc>
              <w:tc>
                <w:tcPr>
                  <w:tcW w:w="1116" w:type="dxa"/>
                  <w:vAlign w:val="center"/>
                </w:tcPr>
                <w:p w14:paraId="520AB597">
                  <w:pPr>
                    <w:widowControl/>
                    <w:adjustRightInd w:val="0"/>
                    <w:snapToGrid w:val="0"/>
                    <w:jc w:val="center"/>
                    <w:rPr>
                      <w:kern w:val="0"/>
                      <w:szCs w:val="21"/>
                    </w:rPr>
                  </w:pPr>
                  <w:r>
                    <w:rPr>
                      <w:rFonts w:eastAsia="等线"/>
                      <w:szCs w:val="21"/>
                    </w:rPr>
                    <w:t>0.029</w:t>
                  </w:r>
                </w:p>
              </w:tc>
              <w:tc>
                <w:tcPr>
                  <w:tcW w:w="943" w:type="dxa"/>
                  <w:vAlign w:val="center"/>
                </w:tcPr>
                <w:p w14:paraId="520AB598">
                  <w:pPr>
                    <w:widowControl/>
                    <w:adjustRightInd w:val="0"/>
                    <w:snapToGrid w:val="0"/>
                    <w:jc w:val="center"/>
                    <w:rPr>
                      <w:kern w:val="0"/>
                      <w:szCs w:val="21"/>
                    </w:rPr>
                  </w:pPr>
                  <w:r>
                    <w:rPr>
                      <w:rFonts w:eastAsia="等线"/>
                      <w:szCs w:val="21"/>
                    </w:rPr>
                    <w:t>750</w:t>
                  </w:r>
                </w:p>
              </w:tc>
              <w:tc>
                <w:tcPr>
                  <w:tcW w:w="1396" w:type="dxa"/>
                  <w:vAlign w:val="center"/>
                </w:tcPr>
                <w:p w14:paraId="520AB599">
                  <w:pPr>
                    <w:widowControl/>
                    <w:adjustRightInd w:val="0"/>
                    <w:snapToGrid w:val="0"/>
                    <w:jc w:val="center"/>
                    <w:rPr>
                      <w:kern w:val="0"/>
                      <w:szCs w:val="21"/>
                    </w:rPr>
                  </w:pPr>
                  <w:r>
                    <w:rPr>
                      <w:rFonts w:eastAsia="等线"/>
                      <w:szCs w:val="21"/>
                    </w:rPr>
                    <w:t>0.0229</w:t>
                  </w:r>
                </w:p>
              </w:tc>
            </w:tr>
            <w:tr w14:paraId="520AB5A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9B">
                  <w:pPr>
                    <w:widowControl/>
                    <w:adjustRightInd w:val="0"/>
                    <w:snapToGrid w:val="0"/>
                    <w:jc w:val="center"/>
                    <w:rPr>
                      <w:kern w:val="0"/>
                      <w:szCs w:val="21"/>
                    </w:rPr>
                  </w:pPr>
                </w:p>
              </w:tc>
              <w:tc>
                <w:tcPr>
                  <w:tcW w:w="749" w:type="dxa"/>
                  <w:vMerge w:val="restart"/>
                  <w:vAlign w:val="center"/>
                </w:tcPr>
                <w:p w14:paraId="520AB59C">
                  <w:pPr>
                    <w:widowControl/>
                    <w:adjustRightInd w:val="0"/>
                    <w:snapToGrid w:val="0"/>
                    <w:jc w:val="center"/>
                    <w:rPr>
                      <w:kern w:val="0"/>
                      <w:szCs w:val="21"/>
                    </w:rPr>
                  </w:pPr>
                  <w:r>
                    <w:rPr>
                      <w:kern w:val="0"/>
                      <w:szCs w:val="21"/>
                    </w:rPr>
                    <w:t>DA003</w:t>
                  </w:r>
                </w:p>
              </w:tc>
              <w:tc>
                <w:tcPr>
                  <w:tcW w:w="1035" w:type="dxa"/>
                  <w:vAlign w:val="center"/>
                </w:tcPr>
                <w:p w14:paraId="520AB59D">
                  <w:pPr>
                    <w:widowControl/>
                    <w:adjustRightInd w:val="0"/>
                    <w:snapToGrid w:val="0"/>
                    <w:jc w:val="center"/>
                    <w:rPr>
                      <w:kern w:val="0"/>
                      <w:szCs w:val="21"/>
                    </w:rPr>
                  </w:pPr>
                  <w:r>
                    <w:rPr>
                      <w:kern w:val="0"/>
                      <w:szCs w:val="21"/>
                    </w:rPr>
                    <w:t>铬酸雾</w:t>
                  </w:r>
                </w:p>
              </w:tc>
              <w:tc>
                <w:tcPr>
                  <w:tcW w:w="1326" w:type="dxa"/>
                  <w:vMerge w:val="continue"/>
                  <w:vAlign w:val="center"/>
                </w:tcPr>
                <w:p w14:paraId="520AB59E">
                  <w:pPr>
                    <w:widowControl/>
                    <w:adjustRightInd w:val="0"/>
                    <w:snapToGrid w:val="0"/>
                    <w:jc w:val="center"/>
                    <w:rPr>
                      <w:kern w:val="0"/>
                      <w:szCs w:val="21"/>
                    </w:rPr>
                  </w:pPr>
                </w:p>
              </w:tc>
              <w:tc>
                <w:tcPr>
                  <w:tcW w:w="828" w:type="dxa"/>
                  <w:vAlign w:val="center"/>
                </w:tcPr>
                <w:p w14:paraId="520AB59F">
                  <w:pPr>
                    <w:widowControl/>
                    <w:adjustRightInd w:val="0"/>
                    <w:snapToGrid w:val="0"/>
                    <w:jc w:val="center"/>
                    <w:rPr>
                      <w:kern w:val="0"/>
                      <w:szCs w:val="21"/>
                    </w:rPr>
                  </w:pPr>
                  <w:r>
                    <w:rPr>
                      <w:rFonts w:hint="eastAsia"/>
                      <w:kern w:val="0"/>
                      <w:szCs w:val="21"/>
                    </w:rPr>
                    <w:t>/</w:t>
                  </w:r>
                </w:p>
              </w:tc>
              <w:tc>
                <w:tcPr>
                  <w:tcW w:w="1100" w:type="dxa"/>
                  <w:vAlign w:val="center"/>
                </w:tcPr>
                <w:p w14:paraId="520AB5A0">
                  <w:pPr>
                    <w:widowControl/>
                    <w:adjustRightInd w:val="0"/>
                    <w:snapToGrid w:val="0"/>
                    <w:jc w:val="center"/>
                    <w:rPr>
                      <w:kern w:val="0"/>
                      <w:szCs w:val="21"/>
                    </w:rPr>
                  </w:pPr>
                  <w:r>
                    <w:rPr>
                      <w:rFonts w:hint="eastAsia"/>
                      <w:kern w:val="0"/>
                      <w:szCs w:val="21"/>
                    </w:rPr>
                    <w:t>/</w:t>
                  </w:r>
                </w:p>
              </w:tc>
              <w:tc>
                <w:tcPr>
                  <w:tcW w:w="1085" w:type="dxa"/>
                  <w:vAlign w:val="center"/>
                </w:tcPr>
                <w:p w14:paraId="520AB5A1">
                  <w:pPr>
                    <w:widowControl/>
                    <w:adjustRightInd w:val="0"/>
                    <w:snapToGrid w:val="0"/>
                    <w:jc w:val="center"/>
                    <w:rPr>
                      <w:kern w:val="0"/>
                      <w:szCs w:val="21"/>
                    </w:rPr>
                  </w:pPr>
                  <w:r>
                    <w:rPr>
                      <w:rFonts w:hint="eastAsia"/>
                      <w:kern w:val="0"/>
                      <w:szCs w:val="21"/>
                    </w:rPr>
                    <w:t>/</w:t>
                  </w:r>
                </w:p>
              </w:tc>
              <w:tc>
                <w:tcPr>
                  <w:tcW w:w="827" w:type="dxa"/>
                  <w:vAlign w:val="center"/>
                </w:tcPr>
                <w:p w14:paraId="520AB5A2">
                  <w:pPr>
                    <w:widowControl/>
                    <w:adjustRightInd w:val="0"/>
                    <w:snapToGrid w:val="0"/>
                    <w:jc w:val="center"/>
                    <w:rPr>
                      <w:kern w:val="0"/>
                      <w:szCs w:val="21"/>
                    </w:rPr>
                  </w:pPr>
                  <w:r>
                    <w:rPr>
                      <w:rFonts w:eastAsia="等线"/>
                      <w:szCs w:val="21"/>
                    </w:rPr>
                    <w:t>15700</w:t>
                  </w:r>
                </w:p>
              </w:tc>
              <w:tc>
                <w:tcPr>
                  <w:tcW w:w="1100" w:type="dxa"/>
                  <w:vAlign w:val="center"/>
                </w:tcPr>
                <w:p w14:paraId="520AB5A3">
                  <w:pPr>
                    <w:widowControl/>
                    <w:adjustRightInd w:val="0"/>
                    <w:snapToGrid w:val="0"/>
                    <w:jc w:val="center"/>
                    <w:rPr>
                      <w:kern w:val="0"/>
                      <w:szCs w:val="21"/>
                    </w:rPr>
                  </w:pPr>
                  <w:r>
                    <w:rPr>
                      <w:rFonts w:eastAsia="等线"/>
                      <w:szCs w:val="21"/>
                    </w:rPr>
                    <w:t>0.032</w:t>
                  </w:r>
                </w:p>
              </w:tc>
              <w:tc>
                <w:tcPr>
                  <w:tcW w:w="1116" w:type="dxa"/>
                  <w:vAlign w:val="center"/>
                </w:tcPr>
                <w:p w14:paraId="520AB5A4">
                  <w:pPr>
                    <w:widowControl/>
                    <w:adjustRightInd w:val="0"/>
                    <w:snapToGrid w:val="0"/>
                    <w:jc w:val="center"/>
                    <w:rPr>
                      <w:kern w:val="0"/>
                      <w:szCs w:val="21"/>
                    </w:rPr>
                  </w:pPr>
                  <w:r>
                    <w:rPr>
                      <w:rFonts w:eastAsia="等线"/>
                      <w:szCs w:val="21"/>
                    </w:rPr>
                    <w:t>0.000509</w:t>
                  </w:r>
                </w:p>
              </w:tc>
              <w:tc>
                <w:tcPr>
                  <w:tcW w:w="943" w:type="dxa"/>
                  <w:vAlign w:val="center"/>
                </w:tcPr>
                <w:p w14:paraId="520AB5A5">
                  <w:pPr>
                    <w:widowControl/>
                    <w:adjustRightInd w:val="0"/>
                    <w:snapToGrid w:val="0"/>
                    <w:jc w:val="center"/>
                    <w:rPr>
                      <w:kern w:val="0"/>
                      <w:szCs w:val="21"/>
                    </w:rPr>
                  </w:pPr>
                  <w:r>
                    <w:rPr>
                      <w:rFonts w:eastAsia="等线"/>
                      <w:szCs w:val="21"/>
                    </w:rPr>
                    <w:t>750</w:t>
                  </w:r>
                </w:p>
              </w:tc>
              <w:tc>
                <w:tcPr>
                  <w:tcW w:w="1396" w:type="dxa"/>
                  <w:vAlign w:val="center"/>
                </w:tcPr>
                <w:p w14:paraId="520AB5A6">
                  <w:pPr>
                    <w:widowControl/>
                    <w:adjustRightInd w:val="0"/>
                    <w:snapToGrid w:val="0"/>
                    <w:jc w:val="center"/>
                    <w:rPr>
                      <w:kern w:val="0"/>
                      <w:szCs w:val="21"/>
                    </w:rPr>
                  </w:pPr>
                  <w:r>
                    <w:rPr>
                      <w:rFonts w:eastAsia="等线"/>
                      <w:szCs w:val="21"/>
                    </w:rPr>
                    <w:t>0.0004</w:t>
                  </w:r>
                </w:p>
              </w:tc>
            </w:tr>
            <w:tr w14:paraId="520AB5B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A8">
                  <w:pPr>
                    <w:widowControl/>
                    <w:adjustRightInd w:val="0"/>
                    <w:snapToGrid w:val="0"/>
                    <w:jc w:val="center"/>
                    <w:rPr>
                      <w:kern w:val="0"/>
                      <w:szCs w:val="21"/>
                    </w:rPr>
                  </w:pPr>
                </w:p>
              </w:tc>
              <w:tc>
                <w:tcPr>
                  <w:tcW w:w="749" w:type="dxa"/>
                  <w:vMerge w:val="continue"/>
                  <w:vAlign w:val="center"/>
                </w:tcPr>
                <w:p w14:paraId="520AB5A9">
                  <w:pPr>
                    <w:widowControl/>
                    <w:adjustRightInd w:val="0"/>
                    <w:snapToGrid w:val="0"/>
                    <w:jc w:val="center"/>
                    <w:rPr>
                      <w:kern w:val="0"/>
                      <w:szCs w:val="21"/>
                    </w:rPr>
                  </w:pPr>
                </w:p>
              </w:tc>
              <w:tc>
                <w:tcPr>
                  <w:tcW w:w="1035" w:type="dxa"/>
                  <w:vAlign w:val="center"/>
                </w:tcPr>
                <w:p w14:paraId="520AB5AA">
                  <w:pPr>
                    <w:widowControl/>
                    <w:adjustRightInd w:val="0"/>
                    <w:snapToGrid w:val="0"/>
                    <w:jc w:val="center"/>
                    <w:rPr>
                      <w:kern w:val="0"/>
                      <w:szCs w:val="21"/>
                    </w:rPr>
                  </w:pPr>
                  <w:r>
                    <w:rPr>
                      <w:rFonts w:hint="eastAsia"/>
                      <w:szCs w:val="21"/>
                    </w:rPr>
                    <w:t>硫酸雾</w:t>
                  </w:r>
                </w:p>
              </w:tc>
              <w:tc>
                <w:tcPr>
                  <w:tcW w:w="1326" w:type="dxa"/>
                  <w:vMerge w:val="continue"/>
                  <w:vAlign w:val="center"/>
                </w:tcPr>
                <w:p w14:paraId="520AB5AB">
                  <w:pPr>
                    <w:widowControl/>
                    <w:adjustRightInd w:val="0"/>
                    <w:snapToGrid w:val="0"/>
                    <w:jc w:val="center"/>
                    <w:rPr>
                      <w:kern w:val="0"/>
                      <w:szCs w:val="21"/>
                    </w:rPr>
                  </w:pPr>
                </w:p>
              </w:tc>
              <w:tc>
                <w:tcPr>
                  <w:tcW w:w="828" w:type="dxa"/>
                  <w:vAlign w:val="center"/>
                </w:tcPr>
                <w:p w14:paraId="520AB5AC">
                  <w:pPr>
                    <w:widowControl/>
                    <w:adjustRightInd w:val="0"/>
                    <w:snapToGrid w:val="0"/>
                    <w:jc w:val="center"/>
                    <w:rPr>
                      <w:kern w:val="0"/>
                      <w:szCs w:val="21"/>
                    </w:rPr>
                  </w:pPr>
                  <w:r>
                    <w:rPr>
                      <w:rFonts w:hint="eastAsia"/>
                      <w:kern w:val="0"/>
                      <w:szCs w:val="21"/>
                    </w:rPr>
                    <w:t>/</w:t>
                  </w:r>
                </w:p>
              </w:tc>
              <w:tc>
                <w:tcPr>
                  <w:tcW w:w="1100" w:type="dxa"/>
                  <w:vAlign w:val="center"/>
                </w:tcPr>
                <w:p w14:paraId="520AB5AD">
                  <w:pPr>
                    <w:widowControl/>
                    <w:adjustRightInd w:val="0"/>
                    <w:snapToGrid w:val="0"/>
                    <w:jc w:val="center"/>
                    <w:rPr>
                      <w:kern w:val="0"/>
                      <w:szCs w:val="21"/>
                    </w:rPr>
                  </w:pPr>
                  <w:r>
                    <w:rPr>
                      <w:rFonts w:hint="eastAsia"/>
                      <w:kern w:val="0"/>
                      <w:szCs w:val="21"/>
                    </w:rPr>
                    <w:t>/</w:t>
                  </w:r>
                </w:p>
              </w:tc>
              <w:tc>
                <w:tcPr>
                  <w:tcW w:w="1085" w:type="dxa"/>
                  <w:vAlign w:val="center"/>
                </w:tcPr>
                <w:p w14:paraId="520AB5AE">
                  <w:pPr>
                    <w:widowControl/>
                    <w:adjustRightInd w:val="0"/>
                    <w:snapToGrid w:val="0"/>
                    <w:jc w:val="center"/>
                    <w:rPr>
                      <w:kern w:val="0"/>
                      <w:szCs w:val="21"/>
                    </w:rPr>
                  </w:pPr>
                  <w:r>
                    <w:rPr>
                      <w:rFonts w:hint="eastAsia"/>
                      <w:kern w:val="0"/>
                      <w:szCs w:val="21"/>
                    </w:rPr>
                    <w:t>/</w:t>
                  </w:r>
                </w:p>
              </w:tc>
              <w:tc>
                <w:tcPr>
                  <w:tcW w:w="827" w:type="dxa"/>
                  <w:vAlign w:val="center"/>
                </w:tcPr>
                <w:p w14:paraId="520AB5AF">
                  <w:pPr>
                    <w:widowControl/>
                    <w:adjustRightInd w:val="0"/>
                    <w:snapToGrid w:val="0"/>
                    <w:jc w:val="center"/>
                    <w:rPr>
                      <w:kern w:val="0"/>
                      <w:szCs w:val="21"/>
                    </w:rPr>
                  </w:pPr>
                  <w:r>
                    <w:rPr>
                      <w:rFonts w:eastAsia="等线"/>
                      <w:szCs w:val="21"/>
                    </w:rPr>
                    <w:t>16000</w:t>
                  </w:r>
                </w:p>
              </w:tc>
              <w:tc>
                <w:tcPr>
                  <w:tcW w:w="1100" w:type="dxa"/>
                  <w:vAlign w:val="center"/>
                </w:tcPr>
                <w:p w14:paraId="520AB5B0">
                  <w:pPr>
                    <w:widowControl/>
                    <w:adjustRightInd w:val="0"/>
                    <w:snapToGrid w:val="0"/>
                    <w:jc w:val="center"/>
                    <w:rPr>
                      <w:kern w:val="0"/>
                      <w:szCs w:val="21"/>
                    </w:rPr>
                  </w:pPr>
                  <w:r>
                    <w:rPr>
                      <w:rFonts w:eastAsia="等线"/>
                      <w:szCs w:val="21"/>
                    </w:rPr>
                    <w:t>4.94</w:t>
                  </w:r>
                </w:p>
              </w:tc>
              <w:tc>
                <w:tcPr>
                  <w:tcW w:w="1116" w:type="dxa"/>
                  <w:vAlign w:val="center"/>
                </w:tcPr>
                <w:p w14:paraId="520AB5B1">
                  <w:pPr>
                    <w:widowControl/>
                    <w:adjustRightInd w:val="0"/>
                    <w:snapToGrid w:val="0"/>
                    <w:jc w:val="center"/>
                    <w:rPr>
                      <w:kern w:val="0"/>
                      <w:szCs w:val="21"/>
                    </w:rPr>
                  </w:pPr>
                  <w:r>
                    <w:rPr>
                      <w:rFonts w:eastAsia="等线"/>
                      <w:szCs w:val="21"/>
                    </w:rPr>
                    <w:t>0.079</w:t>
                  </w:r>
                </w:p>
              </w:tc>
              <w:tc>
                <w:tcPr>
                  <w:tcW w:w="943" w:type="dxa"/>
                  <w:vAlign w:val="center"/>
                </w:tcPr>
                <w:p w14:paraId="520AB5B2">
                  <w:pPr>
                    <w:widowControl/>
                    <w:adjustRightInd w:val="0"/>
                    <w:snapToGrid w:val="0"/>
                    <w:jc w:val="center"/>
                    <w:rPr>
                      <w:kern w:val="0"/>
                      <w:szCs w:val="21"/>
                    </w:rPr>
                  </w:pPr>
                  <w:r>
                    <w:rPr>
                      <w:rFonts w:eastAsia="等线"/>
                      <w:szCs w:val="21"/>
                    </w:rPr>
                    <w:t>750</w:t>
                  </w:r>
                </w:p>
              </w:tc>
              <w:tc>
                <w:tcPr>
                  <w:tcW w:w="1396" w:type="dxa"/>
                  <w:vAlign w:val="center"/>
                </w:tcPr>
                <w:p w14:paraId="520AB5B3">
                  <w:pPr>
                    <w:widowControl/>
                    <w:adjustRightInd w:val="0"/>
                    <w:snapToGrid w:val="0"/>
                    <w:jc w:val="center"/>
                    <w:rPr>
                      <w:kern w:val="0"/>
                      <w:szCs w:val="21"/>
                    </w:rPr>
                  </w:pPr>
                  <w:r>
                    <w:rPr>
                      <w:rFonts w:eastAsia="等线"/>
                      <w:szCs w:val="21"/>
                    </w:rPr>
                    <w:t>0.0624</w:t>
                  </w:r>
                </w:p>
              </w:tc>
            </w:tr>
            <w:tr w14:paraId="520AB5C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B5">
                  <w:pPr>
                    <w:widowControl/>
                    <w:adjustRightInd w:val="0"/>
                    <w:snapToGrid w:val="0"/>
                    <w:jc w:val="center"/>
                    <w:rPr>
                      <w:kern w:val="0"/>
                      <w:szCs w:val="21"/>
                    </w:rPr>
                  </w:pPr>
                </w:p>
              </w:tc>
              <w:tc>
                <w:tcPr>
                  <w:tcW w:w="749" w:type="dxa"/>
                  <w:vMerge w:val="continue"/>
                  <w:vAlign w:val="center"/>
                </w:tcPr>
                <w:p w14:paraId="520AB5B6">
                  <w:pPr>
                    <w:widowControl/>
                    <w:adjustRightInd w:val="0"/>
                    <w:snapToGrid w:val="0"/>
                    <w:jc w:val="center"/>
                    <w:rPr>
                      <w:kern w:val="0"/>
                      <w:szCs w:val="21"/>
                    </w:rPr>
                  </w:pPr>
                </w:p>
              </w:tc>
              <w:tc>
                <w:tcPr>
                  <w:tcW w:w="1035" w:type="dxa"/>
                  <w:vAlign w:val="center"/>
                </w:tcPr>
                <w:p w14:paraId="520AB5B7">
                  <w:pPr>
                    <w:widowControl/>
                    <w:adjustRightInd w:val="0"/>
                    <w:snapToGrid w:val="0"/>
                    <w:jc w:val="center"/>
                    <w:rPr>
                      <w:kern w:val="0"/>
                      <w:szCs w:val="21"/>
                    </w:rPr>
                  </w:pPr>
                  <w:r>
                    <w:rPr>
                      <w:rFonts w:hint="eastAsia"/>
                      <w:szCs w:val="21"/>
                    </w:rPr>
                    <w:t>氮氧化物</w:t>
                  </w:r>
                </w:p>
              </w:tc>
              <w:tc>
                <w:tcPr>
                  <w:tcW w:w="1326" w:type="dxa"/>
                  <w:vMerge w:val="continue"/>
                  <w:vAlign w:val="center"/>
                </w:tcPr>
                <w:p w14:paraId="520AB5B8">
                  <w:pPr>
                    <w:widowControl/>
                    <w:adjustRightInd w:val="0"/>
                    <w:snapToGrid w:val="0"/>
                    <w:jc w:val="center"/>
                    <w:rPr>
                      <w:kern w:val="0"/>
                      <w:szCs w:val="21"/>
                    </w:rPr>
                  </w:pPr>
                </w:p>
              </w:tc>
              <w:tc>
                <w:tcPr>
                  <w:tcW w:w="828" w:type="dxa"/>
                  <w:vAlign w:val="center"/>
                </w:tcPr>
                <w:p w14:paraId="520AB5B9">
                  <w:pPr>
                    <w:widowControl/>
                    <w:adjustRightInd w:val="0"/>
                    <w:snapToGrid w:val="0"/>
                    <w:jc w:val="center"/>
                    <w:rPr>
                      <w:kern w:val="0"/>
                      <w:szCs w:val="21"/>
                    </w:rPr>
                  </w:pPr>
                  <w:r>
                    <w:rPr>
                      <w:rFonts w:hint="eastAsia"/>
                      <w:kern w:val="0"/>
                      <w:szCs w:val="21"/>
                    </w:rPr>
                    <w:t>/</w:t>
                  </w:r>
                </w:p>
              </w:tc>
              <w:tc>
                <w:tcPr>
                  <w:tcW w:w="1100" w:type="dxa"/>
                  <w:vAlign w:val="center"/>
                </w:tcPr>
                <w:p w14:paraId="520AB5BA">
                  <w:pPr>
                    <w:widowControl/>
                    <w:adjustRightInd w:val="0"/>
                    <w:snapToGrid w:val="0"/>
                    <w:jc w:val="center"/>
                    <w:rPr>
                      <w:kern w:val="0"/>
                      <w:szCs w:val="21"/>
                    </w:rPr>
                  </w:pPr>
                  <w:r>
                    <w:rPr>
                      <w:rFonts w:hint="eastAsia"/>
                      <w:kern w:val="0"/>
                      <w:szCs w:val="21"/>
                    </w:rPr>
                    <w:t>/</w:t>
                  </w:r>
                </w:p>
              </w:tc>
              <w:tc>
                <w:tcPr>
                  <w:tcW w:w="1085" w:type="dxa"/>
                  <w:vAlign w:val="center"/>
                </w:tcPr>
                <w:p w14:paraId="520AB5BB">
                  <w:pPr>
                    <w:widowControl/>
                    <w:adjustRightInd w:val="0"/>
                    <w:snapToGrid w:val="0"/>
                    <w:jc w:val="center"/>
                    <w:rPr>
                      <w:kern w:val="0"/>
                      <w:szCs w:val="21"/>
                    </w:rPr>
                  </w:pPr>
                  <w:r>
                    <w:rPr>
                      <w:rFonts w:hint="eastAsia"/>
                      <w:kern w:val="0"/>
                      <w:szCs w:val="21"/>
                    </w:rPr>
                    <w:t>/</w:t>
                  </w:r>
                </w:p>
              </w:tc>
              <w:tc>
                <w:tcPr>
                  <w:tcW w:w="827" w:type="dxa"/>
                  <w:vAlign w:val="center"/>
                </w:tcPr>
                <w:p w14:paraId="520AB5BC">
                  <w:pPr>
                    <w:widowControl/>
                    <w:adjustRightInd w:val="0"/>
                    <w:snapToGrid w:val="0"/>
                    <w:jc w:val="center"/>
                    <w:rPr>
                      <w:kern w:val="0"/>
                      <w:szCs w:val="21"/>
                    </w:rPr>
                  </w:pPr>
                  <w:r>
                    <w:rPr>
                      <w:rFonts w:eastAsia="等线"/>
                      <w:szCs w:val="21"/>
                    </w:rPr>
                    <w:t>16300</w:t>
                  </w:r>
                </w:p>
              </w:tc>
              <w:tc>
                <w:tcPr>
                  <w:tcW w:w="1100" w:type="dxa"/>
                  <w:vAlign w:val="center"/>
                </w:tcPr>
                <w:p w14:paraId="520AB5BD">
                  <w:pPr>
                    <w:widowControl/>
                    <w:adjustRightInd w:val="0"/>
                    <w:snapToGrid w:val="0"/>
                    <w:jc w:val="center"/>
                    <w:rPr>
                      <w:kern w:val="0"/>
                      <w:szCs w:val="21"/>
                    </w:rPr>
                  </w:pPr>
                  <w:r>
                    <w:rPr>
                      <w:rFonts w:eastAsia="等线"/>
                      <w:szCs w:val="21"/>
                    </w:rPr>
                    <w:t>13</w:t>
                  </w:r>
                </w:p>
              </w:tc>
              <w:tc>
                <w:tcPr>
                  <w:tcW w:w="1116" w:type="dxa"/>
                  <w:vAlign w:val="center"/>
                </w:tcPr>
                <w:p w14:paraId="520AB5BE">
                  <w:pPr>
                    <w:widowControl/>
                    <w:adjustRightInd w:val="0"/>
                    <w:snapToGrid w:val="0"/>
                    <w:jc w:val="center"/>
                    <w:rPr>
                      <w:kern w:val="0"/>
                      <w:szCs w:val="21"/>
                    </w:rPr>
                  </w:pPr>
                  <w:r>
                    <w:rPr>
                      <w:rFonts w:eastAsia="等线"/>
                      <w:szCs w:val="21"/>
                    </w:rPr>
                    <w:t>0.218</w:t>
                  </w:r>
                </w:p>
              </w:tc>
              <w:tc>
                <w:tcPr>
                  <w:tcW w:w="943" w:type="dxa"/>
                  <w:vAlign w:val="center"/>
                </w:tcPr>
                <w:p w14:paraId="520AB5BF">
                  <w:pPr>
                    <w:widowControl/>
                    <w:adjustRightInd w:val="0"/>
                    <w:snapToGrid w:val="0"/>
                    <w:jc w:val="center"/>
                    <w:rPr>
                      <w:kern w:val="0"/>
                      <w:szCs w:val="21"/>
                    </w:rPr>
                  </w:pPr>
                  <w:r>
                    <w:rPr>
                      <w:szCs w:val="21"/>
                    </w:rPr>
                    <w:t>750</w:t>
                  </w:r>
                </w:p>
              </w:tc>
              <w:tc>
                <w:tcPr>
                  <w:tcW w:w="1396" w:type="dxa"/>
                  <w:vAlign w:val="center"/>
                </w:tcPr>
                <w:p w14:paraId="520AB5C0">
                  <w:pPr>
                    <w:widowControl/>
                    <w:adjustRightInd w:val="0"/>
                    <w:snapToGrid w:val="0"/>
                    <w:jc w:val="center"/>
                    <w:rPr>
                      <w:kern w:val="0"/>
                      <w:szCs w:val="21"/>
                    </w:rPr>
                  </w:pPr>
                  <w:r>
                    <w:rPr>
                      <w:rFonts w:eastAsia="等线"/>
                      <w:szCs w:val="21"/>
                    </w:rPr>
                    <w:t>0.1721</w:t>
                  </w:r>
                </w:p>
              </w:tc>
            </w:tr>
            <w:tr w14:paraId="520AB5C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C2">
                  <w:pPr>
                    <w:widowControl/>
                    <w:adjustRightInd w:val="0"/>
                    <w:snapToGrid w:val="0"/>
                    <w:jc w:val="center"/>
                    <w:rPr>
                      <w:kern w:val="0"/>
                      <w:szCs w:val="21"/>
                    </w:rPr>
                  </w:pPr>
                </w:p>
              </w:tc>
              <w:tc>
                <w:tcPr>
                  <w:tcW w:w="749" w:type="dxa"/>
                  <w:vMerge w:val="restart"/>
                  <w:vAlign w:val="center"/>
                </w:tcPr>
                <w:p w14:paraId="520AB5C3">
                  <w:pPr>
                    <w:widowControl/>
                    <w:adjustRightInd w:val="0"/>
                    <w:snapToGrid w:val="0"/>
                    <w:jc w:val="center"/>
                    <w:rPr>
                      <w:kern w:val="0"/>
                      <w:szCs w:val="21"/>
                    </w:rPr>
                  </w:pPr>
                  <w:r>
                    <w:rPr>
                      <w:kern w:val="0"/>
                      <w:szCs w:val="21"/>
                    </w:rPr>
                    <w:t>DA004</w:t>
                  </w:r>
                </w:p>
              </w:tc>
              <w:tc>
                <w:tcPr>
                  <w:tcW w:w="1035" w:type="dxa"/>
                  <w:vAlign w:val="center"/>
                </w:tcPr>
                <w:p w14:paraId="520AB5C4">
                  <w:pPr>
                    <w:widowControl/>
                    <w:adjustRightInd w:val="0"/>
                    <w:snapToGrid w:val="0"/>
                    <w:jc w:val="center"/>
                    <w:rPr>
                      <w:kern w:val="0"/>
                      <w:szCs w:val="21"/>
                    </w:rPr>
                  </w:pPr>
                  <w:r>
                    <w:rPr>
                      <w:kern w:val="0"/>
                      <w:szCs w:val="21"/>
                    </w:rPr>
                    <w:t>铬酸雾</w:t>
                  </w:r>
                </w:p>
              </w:tc>
              <w:tc>
                <w:tcPr>
                  <w:tcW w:w="1326" w:type="dxa"/>
                  <w:vMerge w:val="continue"/>
                  <w:vAlign w:val="center"/>
                </w:tcPr>
                <w:p w14:paraId="520AB5C5">
                  <w:pPr>
                    <w:widowControl/>
                    <w:adjustRightInd w:val="0"/>
                    <w:snapToGrid w:val="0"/>
                    <w:jc w:val="center"/>
                    <w:rPr>
                      <w:kern w:val="0"/>
                      <w:szCs w:val="21"/>
                    </w:rPr>
                  </w:pPr>
                </w:p>
              </w:tc>
              <w:tc>
                <w:tcPr>
                  <w:tcW w:w="828" w:type="dxa"/>
                  <w:vAlign w:val="center"/>
                </w:tcPr>
                <w:p w14:paraId="520AB5C6">
                  <w:pPr>
                    <w:widowControl/>
                    <w:adjustRightInd w:val="0"/>
                    <w:snapToGrid w:val="0"/>
                    <w:jc w:val="center"/>
                    <w:rPr>
                      <w:kern w:val="0"/>
                      <w:szCs w:val="21"/>
                    </w:rPr>
                  </w:pPr>
                  <w:r>
                    <w:rPr>
                      <w:rFonts w:hint="eastAsia"/>
                      <w:kern w:val="0"/>
                      <w:szCs w:val="21"/>
                    </w:rPr>
                    <w:t>/</w:t>
                  </w:r>
                </w:p>
              </w:tc>
              <w:tc>
                <w:tcPr>
                  <w:tcW w:w="1100" w:type="dxa"/>
                  <w:vAlign w:val="center"/>
                </w:tcPr>
                <w:p w14:paraId="520AB5C7">
                  <w:pPr>
                    <w:widowControl/>
                    <w:adjustRightInd w:val="0"/>
                    <w:snapToGrid w:val="0"/>
                    <w:jc w:val="center"/>
                    <w:rPr>
                      <w:kern w:val="0"/>
                      <w:szCs w:val="21"/>
                    </w:rPr>
                  </w:pPr>
                  <w:r>
                    <w:rPr>
                      <w:rFonts w:hint="eastAsia"/>
                      <w:kern w:val="0"/>
                      <w:szCs w:val="21"/>
                    </w:rPr>
                    <w:t>/</w:t>
                  </w:r>
                </w:p>
              </w:tc>
              <w:tc>
                <w:tcPr>
                  <w:tcW w:w="1085" w:type="dxa"/>
                  <w:vAlign w:val="center"/>
                </w:tcPr>
                <w:p w14:paraId="520AB5C8">
                  <w:pPr>
                    <w:widowControl/>
                    <w:adjustRightInd w:val="0"/>
                    <w:snapToGrid w:val="0"/>
                    <w:jc w:val="center"/>
                    <w:rPr>
                      <w:kern w:val="0"/>
                      <w:szCs w:val="21"/>
                    </w:rPr>
                  </w:pPr>
                  <w:r>
                    <w:rPr>
                      <w:rFonts w:hint="eastAsia"/>
                      <w:kern w:val="0"/>
                      <w:szCs w:val="21"/>
                    </w:rPr>
                    <w:t>/</w:t>
                  </w:r>
                </w:p>
              </w:tc>
              <w:tc>
                <w:tcPr>
                  <w:tcW w:w="827" w:type="dxa"/>
                  <w:vAlign w:val="center"/>
                </w:tcPr>
                <w:p w14:paraId="520AB5C9">
                  <w:pPr>
                    <w:widowControl/>
                    <w:adjustRightInd w:val="0"/>
                    <w:snapToGrid w:val="0"/>
                    <w:jc w:val="center"/>
                    <w:rPr>
                      <w:kern w:val="0"/>
                      <w:szCs w:val="21"/>
                    </w:rPr>
                  </w:pPr>
                  <w:r>
                    <w:rPr>
                      <w:rFonts w:eastAsia="等线"/>
                      <w:szCs w:val="21"/>
                    </w:rPr>
                    <w:t>17700</w:t>
                  </w:r>
                </w:p>
              </w:tc>
              <w:tc>
                <w:tcPr>
                  <w:tcW w:w="1100" w:type="dxa"/>
                  <w:vAlign w:val="center"/>
                </w:tcPr>
                <w:p w14:paraId="520AB5CA">
                  <w:pPr>
                    <w:widowControl/>
                    <w:adjustRightInd w:val="0"/>
                    <w:snapToGrid w:val="0"/>
                    <w:jc w:val="center"/>
                    <w:rPr>
                      <w:kern w:val="0"/>
                      <w:szCs w:val="21"/>
                    </w:rPr>
                  </w:pPr>
                  <w:r>
                    <w:rPr>
                      <w:rFonts w:eastAsia="等线"/>
                      <w:szCs w:val="21"/>
                    </w:rPr>
                    <w:t>0.014</w:t>
                  </w:r>
                </w:p>
              </w:tc>
              <w:tc>
                <w:tcPr>
                  <w:tcW w:w="1116" w:type="dxa"/>
                  <w:vAlign w:val="center"/>
                </w:tcPr>
                <w:p w14:paraId="520AB5CB">
                  <w:pPr>
                    <w:widowControl/>
                    <w:adjustRightInd w:val="0"/>
                    <w:snapToGrid w:val="0"/>
                    <w:jc w:val="center"/>
                    <w:rPr>
                      <w:kern w:val="0"/>
                      <w:szCs w:val="21"/>
                    </w:rPr>
                  </w:pPr>
                  <w:r>
                    <w:rPr>
                      <w:rFonts w:eastAsia="等线"/>
                      <w:szCs w:val="21"/>
                    </w:rPr>
                    <w:t>0.000248</w:t>
                  </w:r>
                </w:p>
              </w:tc>
              <w:tc>
                <w:tcPr>
                  <w:tcW w:w="943" w:type="dxa"/>
                  <w:vAlign w:val="center"/>
                </w:tcPr>
                <w:p w14:paraId="520AB5CC">
                  <w:pPr>
                    <w:widowControl/>
                    <w:adjustRightInd w:val="0"/>
                    <w:snapToGrid w:val="0"/>
                    <w:jc w:val="center"/>
                    <w:rPr>
                      <w:kern w:val="0"/>
                      <w:szCs w:val="21"/>
                    </w:rPr>
                  </w:pPr>
                  <w:r>
                    <w:rPr>
                      <w:rFonts w:eastAsia="等线"/>
                      <w:szCs w:val="21"/>
                    </w:rPr>
                    <w:t>750</w:t>
                  </w:r>
                </w:p>
              </w:tc>
              <w:tc>
                <w:tcPr>
                  <w:tcW w:w="1396" w:type="dxa"/>
                  <w:vAlign w:val="center"/>
                </w:tcPr>
                <w:p w14:paraId="520AB5CD">
                  <w:pPr>
                    <w:widowControl/>
                    <w:adjustRightInd w:val="0"/>
                    <w:snapToGrid w:val="0"/>
                    <w:jc w:val="center"/>
                    <w:rPr>
                      <w:kern w:val="0"/>
                      <w:szCs w:val="21"/>
                    </w:rPr>
                  </w:pPr>
                  <w:r>
                    <w:rPr>
                      <w:rFonts w:eastAsia="等线"/>
                      <w:szCs w:val="21"/>
                    </w:rPr>
                    <w:t>0.0002</w:t>
                  </w:r>
                </w:p>
              </w:tc>
            </w:tr>
            <w:tr w14:paraId="520AB5D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CF">
                  <w:pPr>
                    <w:widowControl/>
                    <w:adjustRightInd w:val="0"/>
                    <w:snapToGrid w:val="0"/>
                    <w:jc w:val="center"/>
                    <w:rPr>
                      <w:kern w:val="0"/>
                      <w:szCs w:val="21"/>
                    </w:rPr>
                  </w:pPr>
                </w:p>
              </w:tc>
              <w:tc>
                <w:tcPr>
                  <w:tcW w:w="749" w:type="dxa"/>
                  <w:vMerge w:val="continue"/>
                  <w:vAlign w:val="center"/>
                </w:tcPr>
                <w:p w14:paraId="520AB5D0">
                  <w:pPr>
                    <w:widowControl/>
                    <w:adjustRightInd w:val="0"/>
                    <w:snapToGrid w:val="0"/>
                    <w:jc w:val="center"/>
                    <w:rPr>
                      <w:kern w:val="0"/>
                      <w:szCs w:val="21"/>
                    </w:rPr>
                  </w:pPr>
                </w:p>
              </w:tc>
              <w:tc>
                <w:tcPr>
                  <w:tcW w:w="1035" w:type="dxa"/>
                  <w:vAlign w:val="center"/>
                </w:tcPr>
                <w:p w14:paraId="520AB5D1">
                  <w:pPr>
                    <w:widowControl/>
                    <w:adjustRightInd w:val="0"/>
                    <w:snapToGrid w:val="0"/>
                    <w:jc w:val="center"/>
                    <w:rPr>
                      <w:kern w:val="0"/>
                      <w:szCs w:val="21"/>
                    </w:rPr>
                  </w:pPr>
                  <w:r>
                    <w:rPr>
                      <w:rFonts w:hint="eastAsia"/>
                      <w:szCs w:val="21"/>
                    </w:rPr>
                    <w:t>硫酸雾</w:t>
                  </w:r>
                </w:p>
              </w:tc>
              <w:tc>
                <w:tcPr>
                  <w:tcW w:w="1326" w:type="dxa"/>
                  <w:vMerge w:val="continue"/>
                  <w:vAlign w:val="center"/>
                </w:tcPr>
                <w:p w14:paraId="520AB5D2">
                  <w:pPr>
                    <w:widowControl/>
                    <w:adjustRightInd w:val="0"/>
                    <w:snapToGrid w:val="0"/>
                    <w:jc w:val="center"/>
                    <w:rPr>
                      <w:kern w:val="0"/>
                      <w:szCs w:val="21"/>
                    </w:rPr>
                  </w:pPr>
                </w:p>
              </w:tc>
              <w:tc>
                <w:tcPr>
                  <w:tcW w:w="828" w:type="dxa"/>
                  <w:vAlign w:val="center"/>
                </w:tcPr>
                <w:p w14:paraId="520AB5D3">
                  <w:pPr>
                    <w:widowControl/>
                    <w:adjustRightInd w:val="0"/>
                    <w:snapToGrid w:val="0"/>
                    <w:jc w:val="center"/>
                    <w:rPr>
                      <w:kern w:val="0"/>
                      <w:szCs w:val="21"/>
                    </w:rPr>
                  </w:pPr>
                  <w:r>
                    <w:rPr>
                      <w:rFonts w:hint="eastAsia"/>
                      <w:kern w:val="0"/>
                      <w:szCs w:val="21"/>
                    </w:rPr>
                    <w:t>/</w:t>
                  </w:r>
                </w:p>
              </w:tc>
              <w:tc>
                <w:tcPr>
                  <w:tcW w:w="1100" w:type="dxa"/>
                  <w:vAlign w:val="center"/>
                </w:tcPr>
                <w:p w14:paraId="520AB5D4">
                  <w:pPr>
                    <w:widowControl/>
                    <w:adjustRightInd w:val="0"/>
                    <w:snapToGrid w:val="0"/>
                    <w:jc w:val="center"/>
                    <w:rPr>
                      <w:kern w:val="0"/>
                      <w:szCs w:val="21"/>
                    </w:rPr>
                  </w:pPr>
                  <w:r>
                    <w:rPr>
                      <w:rFonts w:hint="eastAsia"/>
                      <w:kern w:val="0"/>
                      <w:szCs w:val="21"/>
                    </w:rPr>
                    <w:t>/</w:t>
                  </w:r>
                </w:p>
              </w:tc>
              <w:tc>
                <w:tcPr>
                  <w:tcW w:w="1085" w:type="dxa"/>
                  <w:vAlign w:val="center"/>
                </w:tcPr>
                <w:p w14:paraId="520AB5D5">
                  <w:pPr>
                    <w:widowControl/>
                    <w:adjustRightInd w:val="0"/>
                    <w:snapToGrid w:val="0"/>
                    <w:jc w:val="center"/>
                    <w:rPr>
                      <w:kern w:val="0"/>
                      <w:szCs w:val="21"/>
                    </w:rPr>
                  </w:pPr>
                  <w:r>
                    <w:rPr>
                      <w:rFonts w:hint="eastAsia"/>
                      <w:kern w:val="0"/>
                      <w:szCs w:val="21"/>
                    </w:rPr>
                    <w:t>/</w:t>
                  </w:r>
                </w:p>
              </w:tc>
              <w:tc>
                <w:tcPr>
                  <w:tcW w:w="827" w:type="dxa"/>
                  <w:vAlign w:val="center"/>
                </w:tcPr>
                <w:p w14:paraId="520AB5D6">
                  <w:pPr>
                    <w:widowControl/>
                    <w:adjustRightInd w:val="0"/>
                    <w:snapToGrid w:val="0"/>
                    <w:jc w:val="center"/>
                    <w:rPr>
                      <w:kern w:val="0"/>
                      <w:szCs w:val="21"/>
                    </w:rPr>
                  </w:pPr>
                  <w:r>
                    <w:rPr>
                      <w:rFonts w:eastAsia="等线"/>
                      <w:szCs w:val="21"/>
                    </w:rPr>
                    <w:t>17800</w:t>
                  </w:r>
                </w:p>
              </w:tc>
              <w:tc>
                <w:tcPr>
                  <w:tcW w:w="1100" w:type="dxa"/>
                  <w:vAlign w:val="center"/>
                </w:tcPr>
                <w:p w14:paraId="520AB5D7">
                  <w:pPr>
                    <w:widowControl/>
                    <w:adjustRightInd w:val="0"/>
                    <w:snapToGrid w:val="0"/>
                    <w:jc w:val="center"/>
                    <w:rPr>
                      <w:kern w:val="0"/>
                      <w:szCs w:val="21"/>
                    </w:rPr>
                  </w:pPr>
                  <w:r>
                    <w:rPr>
                      <w:rFonts w:eastAsia="等线"/>
                      <w:szCs w:val="21"/>
                    </w:rPr>
                    <w:t>1.88</w:t>
                  </w:r>
                </w:p>
              </w:tc>
              <w:tc>
                <w:tcPr>
                  <w:tcW w:w="1116" w:type="dxa"/>
                  <w:vAlign w:val="center"/>
                </w:tcPr>
                <w:p w14:paraId="520AB5D8">
                  <w:pPr>
                    <w:widowControl/>
                    <w:adjustRightInd w:val="0"/>
                    <w:snapToGrid w:val="0"/>
                    <w:jc w:val="center"/>
                    <w:rPr>
                      <w:kern w:val="0"/>
                      <w:szCs w:val="21"/>
                    </w:rPr>
                  </w:pPr>
                  <w:r>
                    <w:rPr>
                      <w:rFonts w:eastAsia="等线"/>
                      <w:szCs w:val="21"/>
                    </w:rPr>
                    <w:t>0.033</w:t>
                  </w:r>
                </w:p>
              </w:tc>
              <w:tc>
                <w:tcPr>
                  <w:tcW w:w="943" w:type="dxa"/>
                  <w:vAlign w:val="center"/>
                </w:tcPr>
                <w:p w14:paraId="520AB5D9">
                  <w:pPr>
                    <w:widowControl/>
                    <w:adjustRightInd w:val="0"/>
                    <w:snapToGrid w:val="0"/>
                    <w:jc w:val="center"/>
                    <w:rPr>
                      <w:kern w:val="0"/>
                      <w:szCs w:val="21"/>
                    </w:rPr>
                  </w:pPr>
                  <w:r>
                    <w:rPr>
                      <w:rFonts w:eastAsia="等线"/>
                      <w:szCs w:val="21"/>
                    </w:rPr>
                    <w:t>750</w:t>
                  </w:r>
                </w:p>
              </w:tc>
              <w:tc>
                <w:tcPr>
                  <w:tcW w:w="1396" w:type="dxa"/>
                  <w:vAlign w:val="center"/>
                </w:tcPr>
                <w:p w14:paraId="520AB5DA">
                  <w:pPr>
                    <w:widowControl/>
                    <w:adjustRightInd w:val="0"/>
                    <w:snapToGrid w:val="0"/>
                    <w:jc w:val="center"/>
                    <w:rPr>
                      <w:kern w:val="0"/>
                      <w:szCs w:val="21"/>
                    </w:rPr>
                  </w:pPr>
                  <w:r>
                    <w:rPr>
                      <w:rFonts w:eastAsia="等线"/>
                      <w:szCs w:val="21"/>
                    </w:rPr>
                    <w:t>0.0261</w:t>
                  </w:r>
                </w:p>
              </w:tc>
            </w:tr>
            <w:tr w14:paraId="520AB5E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DC">
                  <w:pPr>
                    <w:widowControl/>
                    <w:adjustRightInd w:val="0"/>
                    <w:snapToGrid w:val="0"/>
                    <w:jc w:val="center"/>
                    <w:rPr>
                      <w:kern w:val="0"/>
                      <w:szCs w:val="21"/>
                    </w:rPr>
                  </w:pPr>
                </w:p>
              </w:tc>
              <w:tc>
                <w:tcPr>
                  <w:tcW w:w="749" w:type="dxa"/>
                  <w:vMerge w:val="continue"/>
                  <w:vAlign w:val="center"/>
                </w:tcPr>
                <w:p w14:paraId="520AB5DD">
                  <w:pPr>
                    <w:widowControl/>
                    <w:adjustRightInd w:val="0"/>
                    <w:snapToGrid w:val="0"/>
                    <w:jc w:val="center"/>
                    <w:rPr>
                      <w:kern w:val="0"/>
                      <w:szCs w:val="21"/>
                    </w:rPr>
                  </w:pPr>
                </w:p>
              </w:tc>
              <w:tc>
                <w:tcPr>
                  <w:tcW w:w="1035" w:type="dxa"/>
                  <w:vAlign w:val="center"/>
                </w:tcPr>
                <w:p w14:paraId="520AB5DE">
                  <w:pPr>
                    <w:widowControl/>
                    <w:adjustRightInd w:val="0"/>
                    <w:snapToGrid w:val="0"/>
                    <w:jc w:val="center"/>
                    <w:rPr>
                      <w:kern w:val="0"/>
                      <w:szCs w:val="21"/>
                    </w:rPr>
                  </w:pPr>
                  <w:r>
                    <w:rPr>
                      <w:rFonts w:hint="eastAsia"/>
                      <w:szCs w:val="21"/>
                    </w:rPr>
                    <w:t>氮氧化物</w:t>
                  </w:r>
                </w:p>
              </w:tc>
              <w:tc>
                <w:tcPr>
                  <w:tcW w:w="1326" w:type="dxa"/>
                  <w:vMerge w:val="continue"/>
                  <w:vAlign w:val="center"/>
                </w:tcPr>
                <w:p w14:paraId="520AB5DF">
                  <w:pPr>
                    <w:widowControl/>
                    <w:adjustRightInd w:val="0"/>
                    <w:snapToGrid w:val="0"/>
                    <w:jc w:val="center"/>
                    <w:rPr>
                      <w:kern w:val="0"/>
                      <w:szCs w:val="21"/>
                    </w:rPr>
                  </w:pPr>
                </w:p>
              </w:tc>
              <w:tc>
                <w:tcPr>
                  <w:tcW w:w="828" w:type="dxa"/>
                  <w:vAlign w:val="center"/>
                </w:tcPr>
                <w:p w14:paraId="520AB5E0">
                  <w:pPr>
                    <w:widowControl/>
                    <w:adjustRightInd w:val="0"/>
                    <w:snapToGrid w:val="0"/>
                    <w:jc w:val="center"/>
                    <w:rPr>
                      <w:kern w:val="0"/>
                      <w:szCs w:val="21"/>
                    </w:rPr>
                  </w:pPr>
                  <w:r>
                    <w:rPr>
                      <w:rFonts w:hint="eastAsia"/>
                      <w:kern w:val="0"/>
                      <w:szCs w:val="21"/>
                    </w:rPr>
                    <w:t>/</w:t>
                  </w:r>
                </w:p>
              </w:tc>
              <w:tc>
                <w:tcPr>
                  <w:tcW w:w="1100" w:type="dxa"/>
                  <w:vAlign w:val="center"/>
                </w:tcPr>
                <w:p w14:paraId="520AB5E1">
                  <w:pPr>
                    <w:widowControl/>
                    <w:adjustRightInd w:val="0"/>
                    <w:snapToGrid w:val="0"/>
                    <w:jc w:val="center"/>
                    <w:rPr>
                      <w:kern w:val="0"/>
                      <w:szCs w:val="21"/>
                    </w:rPr>
                  </w:pPr>
                  <w:r>
                    <w:rPr>
                      <w:rFonts w:hint="eastAsia"/>
                      <w:kern w:val="0"/>
                      <w:szCs w:val="21"/>
                    </w:rPr>
                    <w:t>/</w:t>
                  </w:r>
                </w:p>
              </w:tc>
              <w:tc>
                <w:tcPr>
                  <w:tcW w:w="1085" w:type="dxa"/>
                  <w:vAlign w:val="center"/>
                </w:tcPr>
                <w:p w14:paraId="520AB5E2">
                  <w:pPr>
                    <w:widowControl/>
                    <w:adjustRightInd w:val="0"/>
                    <w:snapToGrid w:val="0"/>
                    <w:jc w:val="center"/>
                    <w:rPr>
                      <w:kern w:val="0"/>
                      <w:szCs w:val="21"/>
                    </w:rPr>
                  </w:pPr>
                  <w:r>
                    <w:rPr>
                      <w:rFonts w:hint="eastAsia"/>
                      <w:kern w:val="0"/>
                      <w:szCs w:val="21"/>
                    </w:rPr>
                    <w:t>/</w:t>
                  </w:r>
                </w:p>
              </w:tc>
              <w:tc>
                <w:tcPr>
                  <w:tcW w:w="827" w:type="dxa"/>
                  <w:vAlign w:val="center"/>
                </w:tcPr>
                <w:p w14:paraId="520AB5E3">
                  <w:pPr>
                    <w:widowControl/>
                    <w:adjustRightInd w:val="0"/>
                    <w:snapToGrid w:val="0"/>
                    <w:jc w:val="center"/>
                    <w:rPr>
                      <w:kern w:val="0"/>
                      <w:szCs w:val="21"/>
                    </w:rPr>
                  </w:pPr>
                  <w:r>
                    <w:rPr>
                      <w:rFonts w:eastAsia="等线"/>
                      <w:szCs w:val="21"/>
                    </w:rPr>
                    <w:t>17700</w:t>
                  </w:r>
                </w:p>
              </w:tc>
              <w:tc>
                <w:tcPr>
                  <w:tcW w:w="1100" w:type="dxa"/>
                  <w:vAlign w:val="center"/>
                </w:tcPr>
                <w:p w14:paraId="520AB5E4">
                  <w:pPr>
                    <w:widowControl/>
                    <w:adjustRightInd w:val="0"/>
                    <w:snapToGrid w:val="0"/>
                    <w:jc w:val="center"/>
                    <w:rPr>
                      <w:kern w:val="0"/>
                      <w:szCs w:val="21"/>
                    </w:rPr>
                  </w:pPr>
                  <w:r>
                    <w:rPr>
                      <w:rFonts w:eastAsia="等线"/>
                      <w:szCs w:val="21"/>
                    </w:rPr>
                    <w:t>7</w:t>
                  </w:r>
                </w:p>
              </w:tc>
              <w:tc>
                <w:tcPr>
                  <w:tcW w:w="1116" w:type="dxa"/>
                  <w:vAlign w:val="center"/>
                </w:tcPr>
                <w:p w14:paraId="520AB5E5">
                  <w:pPr>
                    <w:widowControl/>
                    <w:adjustRightInd w:val="0"/>
                    <w:snapToGrid w:val="0"/>
                    <w:jc w:val="center"/>
                    <w:rPr>
                      <w:kern w:val="0"/>
                      <w:szCs w:val="21"/>
                    </w:rPr>
                  </w:pPr>
                  <w:r>
                    <w:rPr>
                      <w:rFonts w:eastAsia="等线"/>
                      <w:szCs w:val="21"/>
                    </w:rPr>
                    <w:t>0.124</w:t>
                  </w:r>
                </w:p>
              </w:tc>
              <w:tc>
                <w:tcPr>
                  <w:tcW w:w="943" w:type="dxa"/>
                  <w:vAlign w:val="center"/>
                </w:tcPr>
                <w:p w14:paraId="520AB5E6">
                  <w:pPr>
                    <w:widowControl/>
                    <w:adjustRightInd w:val="0"/>
                    <w:snapToGrid w:val="0"/>
                    <w:jc w:val="center"/>
                    <w:rPr>
                      <w:kern w:val="0"/>
                      <w:szCs w:val="21"/>
                    </w:rPr>
                  </w:pPr>
                  <w:r>
                    <w:rPr>
                      <w:rFonts w:eastAsia="等线"/>
                      <w:szCs w:val="21"/>
                    </w:rPr>
                    <w:t>750</w:t>
                  </w:r>
                </w:p>
              </w:tc>
              <w:tc>
                <w:tcPr>
                  <w:tcW w:w="1396" w:type="dxa"/>
                  <w:vAlign w:val="center"/>
                </w:tcPr>
                <w:p w14:paraId="520AB5E7">
                  <w:pPr>
                    <w:widowControl/>
                    <w:adjustRightInd w:val="0"/>
                    <w:snapToGrid w:val="0"/>
                    <w:jc w:val="center"/>
                    <w:rPr>
                      <w:kern w:val="0"/>
                      <w:szCs w:val="21"/>
                    </w:rPr>
                  </w:pPr>
                  <w:r>
                    <w:rPr>
                      <w:rFonts w:eastAsia="等线"/>
                      <w:szCs w:val="21"/>
                    </w:rPr>
                    <w:t>0.0979</w:t>
                  </w:r>
                </w:p>
              </w:tc>
            </w:tr>
            <w:tr w14:paraId="520AB5F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E9">
                  <w:pPr>
                    <w:widowControl/>
                    <w:adjustRightInd w:val="0"/>
                    <w:snapToGrid w:val="0"/>
                    <w:jc w:val="center"/>
                    <w:rPr>
                      <w:kern w:val="0"/>
                      <w:szCs w:val="21"/>
                    </w:rPr>
                  </w:pPr>
                </w:p>
              </w:tc>
              <w:tc>
                <w:tcPr>
                  <w:tcW w:w="749" w:type="dxa"/>
                  <w:vMerge w:val="continue"/>
                  <w:vAlign w:val="center"/>
                </w:tcPr>
                <w:p w14:paraId="520AB5EA">
                  <w:pPr>
                    <w:widowControl/>
                    <w:adjustRightInd w:val="0"/>
                    <w:snapToGrid w:val="0"/>
                    <w:jc w:val="center"/>
                    <w:rPr>
                      <w:kern w:val="0"/>
                      <w:szCs w:val="21"/>
                    </w:rPr>
                  </w:pPr>
                </w:p>
              </w:tc>
              <w:tc>
                <w:tcPr>
                  <w:tcW w:w="1035" w:type="dxa"/>
                  <w:vAlign w:val="center"/>
                </w:tcPr>
                <w:p w14:paraId="520AB5EB">
                  <w:pPr>
                    <w:widowControl/>
                    <w:adjustRightInd w:val="0"/>
                    <w:snapToGrid w:val="0"/>
                    <w:jc w:val="center"/>
                    <w:rPr>
                      <w:kern w:val="0"/>
                      <w:szCs w:val="21"/>
                    </w:rPr>
                  </w:pPr>
                  <w:r>
                    <w:rPr>
                      <w:rFonts w:hint="eastAsia"/>
                      <w:szCs w:val="21"/>
                    </w:rPr>
                    <w:t>氯化氢</w:t>
                  </w:r>
                </w:p>
              </w:tc>
              <w:tc>
                <w:tcPr>
                  <w:tcW w:w="1326" w:type="dxa"/>
                  <w:vMerge w:val="continue"/>
                  <w:vAlign w:val="center"/>
                </w:tcPr>
                <w:p w14:paraId="520AB5EC">
                  <w:pPr>
                    <w:widowControl/>
                    <w:adjustRightInd w:val="0"/>
                    <w:snapToGrid w:val="0"/>
                    <w:jc w:val="center"/>
                    <w:rPr>
                      <w:kern w:val="0"/>
                      <w:szCs w:val="21"/>
                    </w:rPr>
                  </w:pPr>
                </w:p>
              </w:tc>
              <w:tc>
                <w:tcPr>
                  <w:tcW w:w="828" w:type="dxa"/>
                  <w:vAlign w:val="center"/>
                </w:tcPr>
                <w:p w14:paraId="520AB5ED">
                  <w:pPr>
                    <w:widowControl/>
                    <w:adjustRightInd w:val="0"/>
                    <w:snapToGrid w:val="0"/>
                    <w:jc w:val="center"/>
                    <w:rPr>
                      <w:kern w:val="0"/>
                      <w:szCs w:val="21"/>
                    </w:rPr>
                  </w:pPr>
                  <w:r>
                    <w:rPr>
                      <w:rFonts w:hint="eastAsia"/>
                      <w:kern w:val="0"/>
                      <w:szCs w:val="21"/>
                    </w:rPr>
                    <w:t>/</w:t>
                  </w:r>
                </w:p>
              </w:tc>
              <w:tc>
                <w:tcPr>
                  <w:tcW w:w="1100" w:type="dxa"/>
                  <w:vAlign w:val="center"/>
                </w:tcPr>
                <w:p w14:paraId="520AB5EE">
                  <w:pPr>
                    <w:widowControl/>
                    <w:adjustRightInd w:val="0"/>
                    <w:snapToGrid w:val="0"/>
                    <w:jc w:val="center"/>
                    <w:rPr>
                      <w:kern w:val="0"/>
                      <w:szCs w:val="21"/>
                    </w:rPr>
                  </w:pPr>
                  <w:r>
                    <w:rPr>
                      <w:rFonts w:hint="eastAsia"/>
                      <w:kern w:val="0"/>
                      <w:szCs w:val="21"/>
                    </w:rPr>
                    <w:t>/</w:t>
                  </w:r>
                </w:p>
              </w:tc>
              <w:tc>
                <w:tcPr>
                  <w:tcW w:w="1085" w:type="dxa"/>
                  <w:vAlign w:val="center"/>
                </w:tcPr>
                <w:p w14:paraId="520AB5EF">
                  <w:pPr>
                    <w:widowControl/>
                    <w:adjustRightInd w:val="0"/>
                    <w:snapToGrid w:val="0"/>
                    <w:jc w:val="center"/>
                    <w:rPr>
                      <w:kern w:val="0"/>
                      <w:szCs w:val="21"/>
                    </w:rPr>
                  </w:pPr>
                  <w:r>
                    <w:rPr>
                      <w:rFonts w:hint="eastAsia"/>
                      <w:kern w:val="0"/>
                      <w:szCs w:val="21"/>
                    </w:rPr>
                    <w:t>/</w:t>
                  </w:r>
                </w:p>
              </w:tc>
              <w:tc>
                <w:tcPr>
                  <w:tcW w:w="827" w:type="dxa"/>
                  <w:vAlign w:val="center"/>
                </w:tcPr>
                <w:p w14:paraId="520AB5F0">
                  <w:pPr>
                    <w:widowControl/>
                    <w:adjustRightInd w:val="0"/>
                    <w:snapToGrid w:val="0"/>
                    <w:jc w:val="center"/>
                    <w:rPr>
                      <w:kern w:val="0"/>
                      <w:szCs w:val="21"/>
                    </w:rPr>
                  </w:pPr>
                  <w:r>
                    <w:rPr>
                      <w:rFonts w:eastAsia="等线"/>
                      <w:szCs w:val="21"/>
                    </w:rPr>
                    <w:t>17600</w:t>
                  </w:r>
                </w:p>
              </w:tc>
              <w:tc>
                <w:tcPr>
                  <w:tcW w:w="1100" w:type="dxa"/>
                  <w:vAlign w:val="center"/>
                </w:tcPr>
                <w:p w14:paraId="520AB5F1">
                  <w:pPr>
                    <w:widowControl/>
                    <w:adjustRightInd w:val="0"/>
                    <w:snapToGrid w:val="0"/>
                    <w:jc w:val="center"/>
                    <w:rPr>
                      <w:kern w:val="0"/>
                      <w:szCs w:val="21"/>
                    </w:rPr>
                  </w:pPr>
                  <w:r>
                    <w:rPr>
                      <w:rFonts w:eastAsia="等线"/>
                      <w:szCs w:val="21"/>
                    </w:rPr>
                    <w:t>3.3</w:t>
                  </w:r>
                </w:p>
              </w:tc>
              <w:tc>
                <w:tcPr>
                  <w:tcW w:w="1116" w:type="dxa"/>
                  <w:vAlign w:val="center"/>
                </w:tcPr>
                <w:p w14:paraId="520AB5F2">
                  <w:pPr>
                    <w:widowControl/>
                    <w:adjustRightInd w:val="0"/>
                    <w:snapToGrid w:val="0"/>
                    <w:jc w:val="center"/>
                    <w:rPr>
                      <w:kern w:val="0"/>
                      <w:szCs w:val="21"/>
                    </w:rPr>
                  </w:pPr>
                  <w:r>
                    <w:rPr>
                      <w:rFonts w:eastAsia="等线"/>
                      <w:szCs w:val="21"/>
                    </w:rPr>
                    <w:t>0.058</w:t>
                  </w:r>
                </w:p>
              </w:tc>
              <w:tc>
                <w:tcPr>
                  <w:tcW w:w="943" w:type="dxa"/>
                  <w:vAlign w:val="center"/>
                </w:tcPr>
                <w:p w14:paraId="520AB5F3">
                  <w:pPr>
                    <w:widowControl/>
                    <w:adjustRightInd w:val="0"/>
                    <w:snapToGrid w:val="0"/>
                    <w:jc w:val="center"/>
                    <w:rPr>
                      <w:kern w:val="0"/>
                      <w:szCs w:val="21"/>
                    </w:rPr>
                  </w:pPr>
                  <w:r>
                    <w:rPr>
                      <w:rFonts w:eastAsia="等线"/>
                      <w:szCs w:val="21"/>
                    </w:rPr>
                    <w:t>750</w:t>
                  </w:r>
                </w:p>
              </w:tc>
              <w:tc>
                <w:tcPr>
                  <w:tcW w:w="1396" w:type="dxa"/>
                  <w:vAlign w:val="center"/>
                </w:tcPr>
                <w:p w14:paraId="520AB5F4">
                  <w:pPr>
                    <w:widowControl/>
                    <w:adjustRightInd w:val="0"/>
                    <w:snapToGrid w:val="0"/>
                    <w:jc w:val="center"/>
                    <w:rPr>
                      <w:kern w:val="0"/>
                      <w:szCs w:val="21"/>
                    </w:rPr>
                  </w:pPr>
                  <w:r>
                    <w:rPr>
                      <w:rFonts w:eastAsia="等线"/>
                      <w:szCs w:val="21"/>
                    </w:rPr>
                    <w:t>0.0458</w:t>
                  </w:r>
                </w:p>
              </w:tc>
            </w:tr>
            <w:tr w14:paraId="520AB60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5F6">
                  <w:pPr>
                    <w:widowControl/>
                    <w:adjustRightInd w:val="0"/>
                    <w:snapToGrid w:val="0"/>
                    <w:jc w:val="center"/>
                    <w:rPr>
                      <w:kern w:val="0"/>
                      <w:szCs w:val="21"/>
                    </w:rPr>
                  </w:pPr>
                </w:p>
              </w:tc>
              <w:tc>
                <w:tcPr>
                  <w:tcW w:w="749" w:type="dxa"/>
                  <w:vMerge w:val="continue"/>
                  <w:vAlign w:val="center"/>
                </w:tcPr>
                <w:p w14:paraId="520AB5F7">
                  <w:pPr>
                    <w:widowControl/>
                    <w:adjustRightInd w:val="0"/>
                    <w:snapToGrid w:val="0"/>
                    <w:jc w:val="center"/>
                    <w:rPr>
                      <w:kern w:val="0"/>
                      <w:szCs w:val="21"/>
                    </w:rPr>
                  </w:pPr>
                </w:p>
              </w:tc>
              <w:tc>
                <w:tcPr>
                  <w:tcW w:w="1035" w:type="dxa"/>
                  <w:vAlign w:val="center"/>
                </w:tcPr>
                <w:p w14:paraId="520AB5F8">
                  <w:pPr>
                    <w:widowControl/>
                    <w:adjustRightInd w:val="0"/>
                    <w:snapToGrid w:val="0"/>
                    <w:jc w:val="center"/>
                    <w:rPr>
                      <w:kern w:val="0"/>
                      <w:szCs w:val="21"/>
                    </w:rPr>
                  </w:pPr>
                  <w:r>
                    <w:rPr>
                      <w:rFonts w:hint="eastAsia"/>
                      <w:szCs w:val="21"/>
                    </w:rPr>
                    <w:t>氰化氢</w:t>
                  </w:r>
                </w:p>
              </w:tc>
              <w:tc>
                <w:tcPr>
                  <w:tcW w:w="1326" w:type="dxa"/>
                  <w:vMerge w:val="continue"/>
                  <w:vAlign w:val="center"/>
                </w:tcPr>
                <w:p w14:paraId="520AB5F9">
                  <w:pPr>
                    <w:widowControl/>
                    <w:adjustRightInd w:val="0"/>
                    <w:snapToGrid w:val="0"/>
                    <w:jc w:val="center"/>
                    <w:rPr>
                      <w:kern w:val="0"/>
                      <w:szCs w:val="21"/>
                    </w:rPr>
                  </w:pPr>
                </w:p>
              </w:tc>
              <w:tc>
                <w:tcPr>
                  <w:tcW w:w="828" w:type="dxa"/>
                  <w:vAlign w:val="center"/>
                </w:tcPr>
                <w:p w14:paraId="520AB5FA">
                  <w:pPr>
                    <w:widowControl/>
                    <w:adjustRightInd w:val="0"/>
                    <w:snapToGrid w:val="0"/>
                    <w:jc w:val="center"/>
                    <w:rPr>
                      <w:kern w:val="0"/>
                      <w:szCs w:val="21"/>
                    </w:rPr>
                  </w:pPr>
                  <w:r>
                    <w:rPr>
                      <w:rFonts w:hint="eastAsia"/>
                      <w:kern w:val="0"/>
                      <w:szCs w:val="21"/>
                    </w:rPr>
                    <w:t>/</w:t>
                  </w:r>
                </w:p>
              </w:tc>
              <w:tc>
                <w:tcPr>
                  <w:tcW w:w="1100" w:type="dxa"/>
                  <w:vAlign w:val="center"/>
                </w:tcPr>
                <w:p w14:paraId="520AB5FB">
                  <w:pPr>
                    <w:widowControl/>
                    <w:adjustRightInd w:val="0"/>
                    <w:snapToGrid w:val="0"/>
                    <w:jc w:val="center"/>
                    <w:rPr>
                      <w:kern w:val="0"/>
                      <w:szCs w:val="21"/>
                    </w:rPr>
                  </w:pPr>
                  <w:r>
                    <w:rPr>
                      <w:rFonts w:hint="eastAsia"/>
                      <w:kern w:val="0"/>
                      <w:szCs w:val="21"/>
                    </w:rPr>
                    <w:t>/</w:t>
                  </w:r>
                </w:p>
              </w:tc>
              <w:tc>
                <w:tcPr>
                  <w:tcW w:w="1085" w:type="dxa"/>
                  <w:vAlign w:val="center"/>
                </w:tcPr>
                <w:p w14:paraId="520AB5FC">
                  <w:pPr>
                    <w:widowControl/>
                    <w:adjustRightInd w:val="0"/>
                    <w:snapToGrid w:val="0"/>
                    <w:jc w:val="center"/>
                    <w:rPr>
                      <w:kern w:val="0"/>
                      <w:szCs w:val="21"/>
                    </w:rPr>
                  </w:pPr>
                  <w:r>
                    <w:rPr>
                      <w:rFonts w:hint="eastAsia"/>
                      <w:kern w:val="0"/>
                      <w:szCs w:val="21"/>
                    </w:rPr>
                    <w:t>/</w:t>
                  </w:r>
                </w:p>
              </w:tc>
              <w:tc>
                <w:tcPr>
                  <w:tcW w:w="827" w:type="dxa"/>
                  <w:vAlign w:val="center"/>
                </w:tcPr>
                <w:p w14:paraId="520AB5FD">
                  <w:pPr>
                    <w:widowControl/>
                    <w:adjustRightInd w:val="0"/>
                    <w:snapToGrid w:val="0"/>
                    <w:jc w:val="center"/>
                    <w:rPr>
                      <w:kern w:val="0"/>
                      <w:szCs w:val="21"/>
                    </w:rPr>
                  </w:pPr>
                  <w:r>
                    <w:rPr>
                      <w:rFonts w:eastAsia="等线"/>
                      <w:szCs w:val="21"/>
                    </w:rPr>
                    <w:t>17600</w:t>
                  </w:r>
                </w:p>
              </w:tc>
              <w:tc>
                <w:tcPr>
                  <w:tcW w:w="1100" w:type="dxa"/>
                  <w:vAlign w:val="center"/>
                </w:tcPr>
                <w:p w14:paraId="520AB5FE">
                  <w:pPr>
                    <w:widowControl/>
                    <w:adjustRightInd w:val="0"/>
                    <w:snapToGrid w:val="0"/>
                    <w:jc w:val="center"/>
                    <w:rPr>
                      <w:kern w:val="0"/>
                      <w:szCs w:val="21"/>
                    </w:rPr>
                  </w:pPr>
                  <w:r>
                    <w:rPr>
                      <w:rFonts w:eastAsia="等线"/>
                      <w:szCs w:val="21"/>
                    </w:rPr>
                    <w:t>0.24</w:t>
                  </w:r>
                </w:p>
              </w:tc>
              <w:tc>
                <w:tcPr>
                  <w:tcW w:w="1116" w:type="dxa"/>
                  <w:vAlign w:val="center"/>
                </w:tcPr>
                <w:p w14:paraId="520AB5FF">
                  <w:pPr>
                    <w:widowControl/>
                    <w:adjustRightInd w:val="0"/>
                    <w:snapToGrid w:val="0"/>
                    <w:jc w:val="center"/>
                    <w:rPr>
                      <w:kern w:val="0"/>
                      <w:szCs w:val="21"/>
                    </w:rPr>
                  </w:pPr>
                  <w:r>
                    <w:rPr>
                      <w:rFonts w:eastAsia="等线"/>
                      <w:szCs w:val="21"/>
                    </w:rPr>
                    <w:t>0.00429</w:t>
                  </w:r>
                </w:p>
              </w:tc>
              <w:tc>
                <w:tcPr>
                  <w:tcW w:w="943" w:type="dxa"/>
                  <w:vAlign w:val="center"/>
                </w:tcPr>
                <w:p w14:paraId="520AB600">
                  <w:pPr>
                    <w:widowControl/>
                    <w:adjustRightInd w:val="0"/>
                    <w:snapToGrid w:val="0"/>
                    <w:jc w:val="center"/>
                    <w:rPr>
                      <w:kern w:val="0"/>
                      <w:szCs w:val="21"/>
                    </w:rPr>
                  </w:pPr>
                  <w:r>
                    <w:rPr>
                      <w:rFonts w:eastAsia="等线"/>
                      <w:szCs w:val="21"/>
                    </w:rPr>
                    <w:t>750</w:t>
                  </w:r>
                </w:p>
              </w:tc>
              <w:tc>
                <w:tcPr>
                  <w:tcW w:w="1396" w:type="dxa"/>
                  <w:vAlign w:val="center"/>
                </w:tcPr>
                <w:p w14:paraId="520AB601">
                  <w:pPr>
                    <w:widowControl/>
                    <w:adjustRightInd w:val="0"/>
                    <w:snapToGrid w:val="0"/>
                    <w:jc w:val="center"/>
                    <w:rPr>
                      <w:kern w:val="0"/>
                      <w:szCs w:val="21"/>
                    </w:rPr>
                  </w:pPr>
                  <w:r>
                    <w:rPr>
                      <w:rFonts w:eastAsia="等线"/>
                      <w:szCs w:val="21"/>
                    </w:rPr>
                    <w:t>0.0034</w:t>
                  </w:r>
                </w:p>
              </w:tc>
            </w:tr>
            <w:tr w14:paraId="520AB60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PrEx>
              <w:trPr>
                <w:trHeight w:val="397" w:hRule="atLeast"/>
                <w:jc w:val="center"/>
              </w:trPr>
              <w:tc>
                <w:tcPr>
                  <w:tcW w:w="1001" w:type="dxa"/>
                  <w:vMerge w:val="continue"/>
                  <w:vAlign w:val="center"/>
                </w:tcPr>
                <w:p w14:paraId="520AB603">
                  <w:pPr>
                    <w:widowControl/>
                    <w:adjustRightInd w:val="0"/>
                    <w:snapToGrid w:val="0"/>
                    <w:jc w:val="center"/>
                    <w:rPr>
                      <w:kern w:val="0"/>
                      <w:szCs w:val="21"/>
                    </w:rPr>
                  </w:pPr>
                </w:p>
              </w:tc>
              <w:tc>
                <w:tcPr>
                  <w:tcW w:w="749" w:type="dxa"/>
                  <w:vAlign w:val="center"/>
                </w:tcPr>
                <w:p w14:paraId="520AB604">
                  <w:pPr>
                    <w:widowControl/>
                    <w:adjustRightInd w:val="0"/>
                    <w:snapToGrid w:val="0"/>
                    <w:jc w:val="center"/>
                    <w:rPr>
                      <w:kern w:val="0"/>
                      <w:szCs w:val="21"/>
                    </w:rPr>
                  </w:pPr>
                  <w:r>
                    <w:rPr>
                      <w:kern w:val="0"/>
                      <w:szCs w:val="21"/>
                    </w:rPr>
                    <w:t>DA005</w:t>
                  </w:r>
                </w:p>
              </w:tc>
              <w:tc>
                <w:tcPr>
                  <w:tcW w:w="1035" w:type="dxa"/>
                  <w:vAlign w:val="center"/>
                </w:tcPr>
                <w:p w14:paraId="520AB605">
                  <w:pPr>
                    <w:widowControl/>
                    <w:adjustRightInd w:val="0"/>
                    <w:snapToGrid w:val="0"/>
                    <w:jc w:val="center"/>
                    <w:rPr>
                      <w:kern w:val="0"/>
                      <w:szCs w:val="21"/>
                    </w:rPr>
                  </w:pPr>
                  <w:r>
                    <w:rPr>
                      <w:kern w:val="0"/>
                      <w:szCs w:val="21"/>
                    </w:rPr>
                    <w:t>氰化氢</w:t>
                  </w:r>
                </w:p>
              </w:tc>
              <w:tc>
                <w:tcPr>
                  <w:tcW w:w="1326" w:type="dxa"/>
                  <w:vMerge w:val="continue"/>
                  <w:vAlign w:val="center"/>
                </w:tcPr>
                <w:p w14:paraId="520AB606">
                  <w:pPr>
                    <w:widowControl/>
                    <w:adjustRightInd w:val="0"/>
                    <w:snapToGrid w:val="0"/>
                    <w:jc w:val="center"/>
                    <w:rPr>
                      <w:kern w:val="0"/>
                      <w:szCs w:val="21"/>
                    </w:rPr>
                  </w:pPr>
                </w:p>
              </w:tc>
              <w:tc>
                <w:tcPr>
                  <w:tcW w:w="828" w:type="dxa"/>
                  <w:vAlign w:val="center"/>
                </w:tcPr>
                <w:p w14:paraId="520AB607">
                  <w:pPr>
                    <w:widowControl/>
                    <w:adjustRightInd w:val="0"/>
                    <w:snapToGrid w:val="0"/>
                    <w:jc w:val="center"/>
                    <w:rPr>
                      <w:kern w:val="0"/>
                      <w:szCs w:val="21"/>
                    </w:rPr>
                  </w:pPr>
                  <w:r>
                    <w:rPr>
                      <w:rFonts w:hint="eastAsia"/>
                      <w:kern w:val="0"/>
                      <w:szCs w:val="21"/>
                    </w:rPr>
                    <w:t>/</w:t>
                  </w:r>
                </w:p>
              </w:tc>
              <w:tc>
                <w:tcPr>
                  <w:tcW w:w="1100" w:type="dxa"/>
                  <w:vAlign w:val="center"/>
                </w:tcPr>
                <w:p w14:paraId="520AB608">
                  <w:pPr>
                    <w:widowControl/>
                    <w:adjustRightInd w:val="0"/>
                    <w:snapToGrid w:val="0"/>
                    <w:jc w:val="center"/>
                    <w:rPr>
                      <w:kern w:val="0"/>
                      <w:szCs w:val="21"/>
                    </w:rPr>
                  </w:pPr>
                  <w:r>
                    <w:rPr>
                      <w:rFonts w:hint="eastAsia"/>
                      <w:kern w:val="0"/>
                      <w:szCs w:val="21"/>
                    </w:rPr>
                    <w:t>/</w:t>
                  </w:r>
                </w:p>
              </w:tc>
              <w:tc>
                <w:tcPr>
                  <w:tcW w:w="1085" w:type="dxa"/>
                  <w:vAlign w:val="center"/>
                </w:tcPr>
                <w:p w14:paraId="520AB609">
                  <w:pPr>
                    <w:widowControl/>
                    <w:adjustRightInd w:val="0"/>
                    <w:snapToGrid w:val="0"/>
                    <w:jc w:val="center"/>
                    <w:rPr>
                      <w:kern w:val="0"/>
                      <w:szCs w:val="21"/>
                    </w:rPr>
                  </w:pPr>
                  <w:r>
                    <w:rPr>
                      <w:rFonts w:hint="eastAsia"/>
                      <w:kern w:val="0"/>
                      <w:szCs w:val="21"/>
                    </w:rPr>
                    <w:t>/</w:t>
                  </w:r>
                </w:p>
              </w:tc>
              <w:tc>
                <w:tcPr>
                  <w:tcW w:w="827" w:type="dxa"/>
                  <w:vAlign w:val="center"/>
                </w:tcPr>
                <w:p w14:paraId="520AB60A">
                  <w:pPr>
                    <w:widowControl/>
                    <w:adjustRightInd w:val="0"/>
                    <w:snapToGrid w:val="0"/>
                    <w:jc w:val="center"/>
                    <w:rPr>
                      <w:kern w:val="0"/>
                      <w:szCs w:val="21"/>
                    </w:rPr>
                  </w:pPr>
                  <w:r>
                    <w:rPr>
                      <w:rFonts w:eastAsia="等线"/>
                      <w:szCs w:val="21"/>
                    </w:rPr>
                    <w:t>6330</w:t>
                  </w:r>
                </w:p>
              </w:tc>
              <w:tc>
                <w:tcPr>
                  <w:tcW w:w="1100" w:type="dxa"/>
                  <w:vAlign w:val="center"/>
                </w:tcPr>
                <w:p w14:paraId="520AB60B">
                  <w:pPr>
                    <w:widowControl/>
                    <w:adjustRightInd w:val="0"/>
                    <w:snapToGrid w:val="0"/>
                    <w:jc w:val="center"/>
                    <w:rPr>
                      <w:kern w:val="0"/>
                      <w:szCs w:val="21"/>
                    </w:rPr>
                  </w:pPr>
                  <w:r>
                    <w:rPr>
                      <w:rFonts w:eastAsia="等线"/>
                      <w:szCs w:val="21"/>
                    </w:rPr>
                    <w:t>0.36</w:t>
                  </w:r>
                </w:p>
              </w:tc>
              <w:tc>
                <w:tcPr>
                  <w:tcW w:w="1116" w:type="dxa"/>
                  <w:vAlign w:val="center"/>
                </w:tcPr>
                <w:p w14:paraId="520AB60C">
                  <w:pPr>
                    <w:widowControl/>
                    <w:adjustRightInd w:val="0"/>
                    <w:snapToGrid w:val="0"/>
                    <w:jc w:val="center"/>
                    <w:rPr>
                      <w:kern w:val="0"/>
                      <w:szCs w:val="21"/>
                    </w:rPr>
                  </w:pPr>
                  <w:r>
                    <w:rPr>
                      <w:rFonts w:eastAsia="等线"/>
                      <w:szCs w:val="21"/>
                    </w:rPr>
                    <w:t>0.0023</w:t>
                  </w:r>
                </w:p>
              </w:tc>
              <w:tc>
                <w:tcPr>
                  <w:tcW w:w="943" w:type="dxa"/>
                  <w:vAlign w:val="center"/>
                </w:tcPr>
                <w:p w14:paraId="520AB60D">
                  <w:pPr>
                    <w:widowControl/>
                    <w:adjustRightInd w:val="0"/>
                    <w:snapToGrid w:val="0"/>
                    <w:jc w:val="center"/>
                    <w:rPr>
                      <w:kern w:val="0"/>
                      <w:szCs w:val="21"/>
                    </w:rPr>
                  </w:pPr>
                  <w:r>
                    <w:rPr>
                      <w:rFonts w:eastAsia="等线"/>
                      <w:szCs w:val="21"/>
                    </w:rPr>
                    <w:t>750</w:t>
                  </w:r>
                </w:p>
              </w:tc>
              <w:tc>
                <w:tcPr>
                  <w:tcW w:w="1396" w:type="dxa"/>
                  <w:vAlign w:val="center"/>
                </w:tcPr>
                <w:p w14:paraId="520AB60E">
                  <w:pPr>
                    <w:widowControl/>
                    <w:adjustRightInd w:val="0"/>
                    <w:snapToGrid w:val="0"/>
                    <w:jc w:val="center"/>
                    <w:rPr>
                      <w:kern w:val="0"/>
                      <w:szCs w:val="21"/>
                    </w:rPr>
                  </w:pPr>
                  <w:r>
                    <w:rPr>
                      <w:rFonts w:eastAsia="等线"/>
                      <w:szCs w:val="21"/>
                    </w:rPr>
                    <w:t>0.0018</w:t>
                  </w:r>
                </w:p>
              </w:tc>
            </w:tr>
            <w:tr w14:paraId="520AB61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10">
                  <w:pPr>
                    <w:widowControl/>
                    <w:adjustRightInd w:val="0"/>
                    <w:snapToGrid w:val="0"/>
                    <w:jc w:val="center"/>
                    <w:rPr>
                      <w:kern w:val="0"/>
                      <w:szCs w:val="21"/>
                    </w:rPr>
                  </w:pPr>
                </w:p>
              </w:tc>
              <w:tc>
                <w:tcPr>
                  <w:tcW w:w="749" w:type="dxa"/>
                  <w:vMerge w:val="restart"/>
                  <w:vAlign w:val="center"/>
                </w:tcPr>
                <w:p w14:paraId="520AB611">
                  <w:pPr>
                    <w:widowControl/>
                    <w:adjustRightInd w:val="0"/>
                    <w:snapToGrid w:val="0"/>
                    <w:jc w:val="center"/>
                    <w:rPr>
                      <w:kern w:val="0"/>
                      <w:szCs w:val="21"/>
                    </w:rPr>
                  </w:pPr>
                  <w:r>
                    <w:rPr>
                      <w:kern w:val="0"/>
                      <w:szCs w:val="21"/>
                    </w:rPr>
                    <w:t>DA006</w:t>
                  </w:r>
                </w:p>
              </w:tc>
              <w:tc>
                <w:tcPr>
                  <w:tcW w:w="1035" w:type="dxa"/>
                  <w:vAlign w:val="center"/>
                </w:tcPr>
                <w:p w14:paraId="520AB612">
                  <w:pPr>
                    <w:widowControl/>
                    <w:adjustRightInd w:val="0"/>
                    <w:snapToGrid w:val="0"/>
                    <w:jc w:val="center"/>
                    <w:rPr>
                      <w:kern w:val="0"/>
                      <w:szCs w:val="21"/>
                    </w:rPr>
                  </w:pPr>
                  <w:r>
                    <w:rPr>
                      <w:kern w:val="0"/>
                      <w:szCs w:val="21"/>
                    </w:rPr>
                    <w:t>铬酸雾</w:t>
                  </w:r>
                </w:p>
              </w:tc>
              <w:tc>
                <w:tcPr>
                  <w:tcW w:w="1326" w:type="dxa"/>
                  <w:vMerge w:val="continue"/>
                  <w:vAlign w:val="center"/>
                </w:tcPr>
                <w:p w14:paraId="520AB613">
                  <w:pPr>
                    <w:widowControl/>
                    <w:adjustRightInd w:val="0"/>
                    <w:snapToGrid w:val="0"/>
                    <w:jc w:val="center"/>
                    <w:rPr>
                      <w:kern w:val="0"/>
                      <w:szCs w:val="21"/>
                    </w:rPr>
                  </w:pPr>
                </w:p>
              </w:tc>
              <w:tc>
                <w:tcPr>
                  <w:tcW w:w="828" w:type="dxa"/>
                  <w:vAlign w:val="center"/>
                </w:tcPr>
                <w:p w14:paraId="520AB614">
                  <w:pPr>
                    <w:widowControl/>
                    <w:adjustRightInd w:val="0"/>
                    <w:snapToGrid w:val="0"/>
                    <w:jc w:val="center"/>
                    <w:rPr>
                      <w:kern w:val="0"/>
                      <w:szCs w:val="21"/>
                    </w:rPr>
                  </w:pPr>
                  <w:r>
                    <w:rPr>
                      <w:rFonts w:hint="eastAsia"/>
                      <w:kern w:val="0"/>
                      <w:szCs w:val="21"/>
                    </w:rPr>
                    <w:t>/</w:t>
                  </w:r>
                </w:p>
              </w:tc>
              <w:tc>
                <w:tcPr>
                  <w:tcW w:w="1100" w:type="dxa"/>
                  <w:vAlign w:val="center"/>
                </w:tcPr>
                <w:p w14:paraId="520AB615">
                  <w:pPr>
                    <w:widowControl/>
                    <w:adjustRightInd w:val="0"/>
                    <w:snapToGrid w:val="0"/>
                    <w:jc w:val="center"/>
                    <w:rPr>
                      <w:kern w:val="0"/>
                      <w:szCs w:val="21"/>
                    </w:rPr>
                  </w:pPr>
                  <w:r>
                    <w:rPr>
                      <w:rFonts w:hint="eastAsia"/>
                      <w:kern w:val="0"/>
                      <w:szCs w:val="21"/>
                    </w:rPr>
                    <w:t>/</w:t>
                  </w:r>
                </w:p>
              </w:tc>
              <w:tc>
                <w:tcPr>
                  <w:tcW w:w="1085" w:type="dxa"/>
                  <w:vAlign w:val="center"/>
                </w:tcPr>
                <w:p w14:paraId="520AB616">
                  <w:pPr>
                    <w:widowControl/>
                    <w:adjustRightInd w:val="0"/>
                    <w:snapToGrid w:val="0"/>
                    <w:jc w:val="center"/>
                    <w:rPr>
                      <w:kern w:val="0"/>
                      <w:szCs w:val="21"/>
                    </w:rPr>
                  </w:pPr>
                  <w:r>
                    <w:rPr>
                      <w:rFonts w:hint="eastAsia"/>
                      <w:kern w:val="0"/>
                      <w:szCs w:val="21"/>
                    </w:rPr>
                    <w:t>/</w:t>
                  </w:r>
                </w:p>
              </w:tc>
              <w:tc>
                <w:tcPr>
                  <w:tcW w:w="827" w:type="dxa"/>
                  <w:vAlign w:val="center"/>
                </w:tcPr>
                <w:p w14:paraId="520AB617">
                  <w:pPr>
                    <w:widowControl/>
                    <w:adjustRightInd w:val="0"/>
                    <w:snapToGrid w:val="0"/>
                    <w:jc w:val="center"/>
                    <w:rPr>
                      <w:kern w:val="0"/>
                      <w:szCs w:val="21"/>
                    </w:rPr>
                  </w:pPr>
                  <w:r>
                    <w:rPr>
                      <w:rFonts w:eastAsia="等线"/>
                      <w:szCs w:val="21"/>
                    </w:rPr>
                    <w:t>8940</w:t>
                  </w:r>
                </w:p>
              </w:tc>
              <w:tc>
                <w:tcPr>
                  <w:tcW w:w="1100" w:type="dxa"/>
                  <w:vAlign w:val="center"/>
                </w:tcPr>
                <w:p w14:paraId="520AB618">
                  <w:pPr>
                    <w:widowControl/>
                    <w:adjustRightInd w:val="0"/>
                    <w:snapToGrid w:val="0"/>
                    <w:jc w:val="center"/>
                    <w:rPr>
                      <w:kern w:val="0"/>
                      <w:szCs w:val="21"/>
                    </w:rPr>
                  </w:pPr>
                  <w:r>
                    <w:rPr>
                      <w:rFonts w:eastAsia="等线"/>
                      <w:szCs w:val="21"/>
                    </w:rPr>
                    <w:t>0.017</w:t>
                  </w:r>
                </w:p>
              </w:tc>
              <w:tc>
                <w:tcPr>
                  <w:tcW w:w="1116" w:type="dxa"/>
                  <w:vAlign w:val="center"/>
                </w:tcPr>
                <w:p w14:paraId="520AB619">
                  <w:pPr>
                    <w:widowControl/>
                    <w:adjustRightInd w:val="0"/>
                    <w:snapToGrid w:val="0"/>
                    <w:jc w:val="center"/>
                    <w:rPr>
                      <w:kern w:val="0"/>
                      <w:szCs w:val="21"/>
                    </w:rPr>
                  </w:pPr>
                  <w:r>
                    <w:rPr>
                      <w:rFonts w:eastAsia="等线"/>
                      <w:szCs w:val="21"/>
                    </w:rPr>
                    <w:t>0.000155</w:t>
                  </w:r>
                </w:p>
              </w:tc>
              <w:tc>
                <w:tcPr>
                  <w:tcW w:w="943" w:type="dxa"/>
                  <w:vAlign w:val="center"/>
                </w:tcPr>
                <w:p w14:paraId="520AB61A">
                  <w:pPr>
                    <w:widowControl/>
                    <w:adjustRightInd w:val="0"/>
                    <w:snapToGrid w:val="0"/>
                    <w:jc w:val="center"/>
                    <w:rPr>
                      <w:kern w:val="0"/>
                      <w:szCs w:val="21"/>
                    </w:rPr>
                  </w:pPr>
                  <w:r>
                    <w:rPr>
                      <w:rFonts w:eastAsia="等线"/>
                      <w:szCs w:val="21"/>
                    </w:rPr>
                    <w:t>1500</w:t>
                  </w:r>
                </w:p>
              </w:tc>
              <w:tc>
                <w:tcPr>
                  <w:tcW w:w="1396" w:type="dxa"/>
                  <w:vAlign w:val="center"/>
                </w:tcPr>
                <w:p w14:paraId="520AB61B">
                  <w:pPr>
                    <w:widowControl/>
                    <w:adjustRightInd w:val="0"/>
                    <w:snapToGrid w:val="0"/>
                    <w:jc w:val="center"/>
                    <w:rPr>
                      <w:kern w:val="0"/>
                      <w:szCs w:val="21"/>
                    </w:rPr>
                  </w:pPr>
                  <w:r>
                    <w:rPr>
                      <w:rFonts w:eastAsia="等线"/>
                      <w:szCs w:val="21"/>
                    </w:rPr>
                    <w:t>0.0002</w:t>
                  </w:r>
                </w:p>
              </w:tc>
            </w:tr>
            <w:tr w14:paraId="520AB62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1D">
                  <w:pPr>
                    <w:widowControl/>
                    <w:adjustRightInd w:val="0"/>
                    <w:snapToGrid w:val="0"/>
                    <w:jc w:val="center"/>
                    <w:rPr>
                      <w:kern w:val="0"/>
                      <w:szCs w:val="21"/>
                    </w:rPr>
                  </w:pPr>
                </w:p>
              </w:tc>
              <w:tc>
                <w:tcPr>
                  <w:tcW w:w="749" w:type="dxa"/>
                  <w:vMerge w:val="continue"/>
                  <w:vAlign w:val="center"/>
                </w:tcPr>
                <w:p w14:paraId="520AB61E">
                  <w:pPr>
                    <w:widowControl/>
                    <w:adjustRightInd w:val="0"/>
                    <w:snapToGrid w:val="0"/>
                    <w:jc w:val="center"/>
                    <w:rPr>
                      <w:kern w:val="0"/>
                      <w:szCs w:val="21"/>
                    </w:rPr>
                  </w:pPr>
                </w:p>
              </w:tc>
              <w:tc>
                <w:tcPr>
                  <w:tcW w:w="1035" w:type="dxa"/>
                  <w:vAlign w:val="center"/>
                </w:tcPr>
                <w:p w14:paraId="520AB61F">
                  <w:pPr>
                    <w:widowControl/>
                    <w:adjustRightInd w:val="0"/>
                    <w:snapToGrid w:val="0"/>
                    <w:jc w:val="center"/>
                    <w:rPr>
                      <w:kern w:val="0"/>
                      <w:szCs w:val="21"/>
                    </w:rPr>
                  </w:pPr>
                  <w:r>
                    <w:rPr>
                      <w:rFonts w:hint="eastAsia"/>
                      <w:szCs w:val="21"/>
                    </w:rPr>
                    <w:t>氯化氢</w:t>
                  </w:r>
                </w:p>
              </w:tc>
              <w:tc>
                <w:tcPr>
                  <w:tcW w:w="1326" w:type="dxa"/>
                  <w:vMerge w:val="continue"/>
                  <w:vAlign w:val="center"/>
                </w:tcPr>
                <w:p w14:paraId="520AB620">
                  <w:pPr>
                    <w:widowControl/>
                    <w:adjustRightInd w:val="0"/>
                    <w:snapToGrid w:val="0"/>
                    <w:jc w:val="center"/>
                    <w:rPr>
                      <w:kern w:val="0"/>
                      <w:szCs w:val="21"/>
                    </w:rPr>
                  </w:pPr>
                </w:p>
              </w:tc>
              <w:tc>
                <w:tcPr>
                  <w:tcW w:w="828" w:type="dxa"/>
                  <w:vAlign w:val="center"/>
                </w:tcPr>
                <w:p w14:paraId="520AB621">
                  <w:pPr>
                    <w:widowControl/>
                    <w:adjustRightInd w:val="0"/>
                    <w:snapToGrid w:val="0"/>
                    <w:jc w:val="center"/>
                    <w:rPr>
                      <w:kern w:val="0"/>
                      <w:szCs w:val="21"/>
                    </w:rPr>
                  </w:pPr>
                  <w:r>
                    <w:rPr>
                      <w:rFonts w:hint="eastAsia"/>
                      <w:kern w:val="0"/>
                      <w:szCs w:val="21"/>
                    </w:rPr>
                    <w:t>/</w:t>
                  </w:r>
                </w:p>
              </w:tc>
              <w:tc>
                <w:tcPr>
                  <w:tcW w:w="1100" w:type="dxa"/>
                  <w:vAlign w:val="center"/>
                </w:tcPr>
                <w:p w14:paraId="520AB622">
                  <w:pPr>
                    <w:widowControl/>
                    <w:adjustRightInd w:val="0"/>
                    <w:snapToGrid w:val="0"/>
                    <w:jc w:val="center"/>
                    <w:rPr>
                      <w:kern w:val="0"/>
                      <w:szCs w:val="21"/>
                    </w:rPr>
                  </w:pPr>
                  <w:r>
                    <w:rPr>
                      <w:rFonts w:hint="eastAsia"/>
                      <w:kern w:val="0"/>
                      <w:szCs w:val="21"/>
                    </w:rPr>
                    <w:t>/</w:t>
                  </w:r>
                </w:p>
              </w:tc>
              <w:tc>
                <w:tcPr>
                  <w:tcW w:w="1085" w:type="dxa"/>
                  <w:vAlign w:val="center"/>
                </w:tcPr>
                <w:p w14:paraId="520AB623">
                  <w:pPr>
                    <w:widowControl/>
                    <w:adjustRightInd w:val="0"/>
                    <w:snapToGrid w:val="0"/>
                    <w:jc w:val="center"/>
                    <w:rPr>
                      <w:kern w:val="0"/>
                      <w:szCs w:val="21"/>
                    </w:rPr>
                  </w:pPr>
                  <w:r>
                    <w:rPr>
                      <w:rFonts w:hint="eastAsia"/>
                      <w:kern w:val="0"/>
                      <w:szCs w:val="21"/>
                    </w:rPr>
                    <w:t>/</w:t>
                  </w:r>
                </w:p>
              </w:tc>
              <w:tc>
                <w:tcPr>
                  <w:tcW w:w="827" w:type="dxa"/>
                  <w:vAlign w:val="center"/>
                </w:tcPr>
                <w:p w14:paraId="520AB624">
                  <w:pPr>
                    <w:widowControl/>
                    <w:adjustRightInd w:val="0"/>
                    <w:snapToGrid w:val="0"/>
                    <w:jc w:val="center"/>
                    <w:rPr>
                      <w:kern w:val="0"/>
                      <w:szCs w:val="21"/>
                    </w:rPr>
                  </w:pPr>
                  <w:r>
                    <w:rPr>
                      <w:rFonts w:eastAsia="等线"/>
                      <w:szCs w:val="21"/>
                    </w:rPr>
                    <w:t>8940</w:t>
                  </w:r>
                </w:p>
              </w:tc>
              <w:tc>
                <w:tcPr>
                  <w:tcW w:w="1100" w:type="dxa"/>
                  <w:vAlign w:val="center"/>
                </w:tcPr>
                <w:p w14:paraId="520AB625">
                  <w:pPr>
                    <w:widowControl/>
                    <w:adjustRightInd w:val="0"/>
                    <w:snapToGrid w:val="0"/>
                    <w:jc w:val="center"/>
                    <w:rPr>
                      <w:kern w:val="0"/>
                      <w:szCs w:val="21"/>
                    </w:rPr>
                  </w:pPr>
                  <w:r>
                    <w:rPr>
                      <w:rFonts w:eastAsia="等线"/>
                      <w:szCs w:val="21"/>
                    </w:rPr>
                    <w:t>5.1</w:t>
                  </w:r>
                </w:p>
              </w:tc>
              <w:tc>
                <w:tcPr>
                  <w:tcW w:w="1116" w:type="dxa"/>
                  <w:vAlign w:val="center"/>
                </w:tcPr>
                <w:p w14:paraId="520AB626">
                  <w:pPr>
                    <w:widowControl/>
                    <w:adjustRightInd w:val="0"/>
                    <w:snapToGrid w:val="0"/>
                    <w:jc w:val="center"/>
                    <w:rPr>
                      <w:kern w:val="0"/>
                      <w:szCs w:val="21"/>
                    </w:rPr>
                  </w:pPr>
                  <w:r>
                    <w:rPr>
                      <w:rFonts w:eastAsia="等线"/>
                      <w:szCs w:val="21"/>
                    </w:rPr>
                    <w:t>0.046</w:t>
                  </w:r>
                </w:p>
              </w:tc>
              <w:tc>
                <w:tcPr>
                  <w:tcW w:w="943" w:type="dxa"/>
                  <w:vAlign w:val="center"/>
                </w:tcPr>
                <w:p w14:paraId="520AB627">
                  <w:pPr>
                    <w:widowControl/>
                    <w:adjustRightInd w:val="0"/>
                    <w:snapToGrid w:val="0"/>
                    <w:jc w:val="center"/>
                    <w:rPr>
                      <w:kern w:val="0"/>
                      <w:szCs w:val="21"/>
                    </w:rPr>
                  </w:pPr>
                  <w:r>
                    <w:rPr>
                      <w:rFonts w:eastAsia="等线"/>
                      <w:szCs w:val="21"/>
                    </w:rPr>
                    <w:t>1500</w:t>
                  </w:r>
                </w:p>
              </w:tc>
              <w:tc>
                <w:tcPr>
                  <w:tcW w:w="1396" w:type="dxa"/>
                  <w:vAlign w:val="center"/>
                </w:tcPr>
                <w:p w14:paraId="520AB628">
                  <w:pPr>
                    <w:widowControl/>
                    <w:adjustRightInd w:val="0"/>
                    <w:snapToGrid w:val="0"/>
                    <w:jc w:val="center"/>
                    <w:rPr>
                      <w:kern w:val="0"/>
                      <w:szCs w:val="21"/>
                    </w:rPr>
                  </w:pPr>
                  <w:r>
                    <w:rPr>
                      <w:rFonts w:eastAsia="等线"/>
                      <w:szCs w:val="21"/>
                    </w:rPr>
                    <w:t>0.0726</w:t>
                  </w:r>
                </w:p>
              </w:tc>
            </w:tr>
            <w:tr w14:paraId="520AB63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2A">
                  <w:pPr>
                    <w:widowControl/>
                    <w:adjustRightInd w:val="0"/>
                    <w:snapToGrid w:val="0"/>
                    <w:jc w:val="center"/>
                    <w:rPr>
                      <w:kern w:val="0"/>
                      <w:szCs w:val="21"/>
                    </w:rPr>
                  </w:pPr>
                </w:p>
              </w:tc>
              <w:tc>
                <w:tcPr>
                  <w:tcW w:w="749" w:type="dxa"/>
                  <w:vMerge w:val="restart"/>
                  <w:vAlign w:val="center"/>
                </w:tcPr>
                <w:p w14:paraId="520AB62B">
                  <w:pPr>
                    <w:widowControl/>
                    <w:adjustRightInd w:val="0"/>
                    <w:snapToGrid w:val="0"/>
                    <w:jc w:val="center"/>
                    <w:rPr>
                      <w:kern w:val="0"/>
                      <w:szCs w:val="21"/>
                    </w:rPr>
                  </w:pPr>
                  <w:r>
                    <w:rPr>
                      <w:kern w:val="0"/>
                      <w:szCs w:val="21"/>
                    </w:rPr>
                    <w:t>DA007</w:t>
                  </w:r>
                </w:p>
              </w:tc>
              <w:tc>
                <w:tcPr>
                  <w:tcW w:w="1035" w:type="dxa"/>
                  <w:vAlign w:val="center"/>
                </w:tcPr>
                <w:p w14:paraId="520AB62C">
                  <w:pPr>
                    <w:widowControl/>
                    <w:adjustRightInd w:val="0"/>
                    <w:snapToGrid w:val="0"/>
                    <w:jc w:val="center"/>
                    <w:rPr>
                      <w:kern w:val="0"/>
                      <w:szCs w:val="21"/>
                    </w:rPr>
                  </w:pPr>
                  <w:r>
                    <w:rPr>
                      <w:kern w:val="0"/>
                      <w:szCs w:val="21"/>
                    </w:rPr>
                    <w:t>铬酸雾</w:t>
                  </w:r>
                </w:p>
              </w:tc>
              <w:tc>
                <w:tcPr>
                  <w:tcW w:w="1326" w:type="dxa"/>
                  <w:vMerge w:val="continue"/>
                  <w:vAlign w:val="center"/>
                </w:tcPr>
                <w:p w14:paraId="520AB62D">
                  <w:pPr>
                    <w:widowControl/>
                    <w:adjustRightInd w:val="0"/>
                    <w:snapToGrid w:val="0"/>
                    <w:jc w:val="center"/>
                    <w:rPr>
                      <w:kern w:val="0"/>
                      <w:szCs w:val="21"/>
                    </w:rPr>
                  </w:pPr>
                </w:p>
              </w:tc>
              <w:tc>
                <w:tcPr>
                  <w:tcW w:w="828" w:type="dxa"/>
                  <w:vAlign w:val="center"/>
                </w:tcPr>
                <w:p w14:paraId="520AB62E">
                  <w:pPr>
                    <w:widowControl/>
                    <w:adjustRightInd w:val="0"/>
                    <w:snapToGrid w:val="0"/>
                    <w:jc w:val="center"/>
                    <w:rPr>
                      <w:kern w:val="0"/>
                      <w:szCs w:val="21"/>
                    </w:rPr>
                  </w:pPr>
                  <w:r>
                    <w:rPr>
                      <w:rFonts w:hint="eastAsia"/>
                      <w:kern w:val="0"/>
                      <w:szCs w:val="21"/>
                    </w:rPr>
                    <w:t>/</w:t>
                  </w:r>
                </w:p>
              </w:tc>
              <w:tc>
                <w:tcPr>
                  <w:tcW w:w="1100" w:type="dxa"/>
                  <w:vAlign w:val="center"/>
                </w:tcPr>
                <w:p w14:paraId="520AB62F">
                  <w:pPr>
                    <w:widowControl/>
                    <w:adjustRightInd w:val="0"/>
                    <w:snapToGrid w:val="0"/>
                    <w:jc w:val="center"/>
                    <w:rPr>
                      <w:kern w:val="0"/>
                      <w:szCs w:val="21"/>
                    </w:rPr>
                  </w:pPr>
                  <w:r>
                    <w:rPr>
                      <w:rFonts w:hint="eastAsia"/>
                      <w:kern w:val="0"/>
                      <w:szCs w:val="21"/>
                    </w:rPr>
                    <w:t>/</w:t>
                  </w:r>
                </w:p>
              </w:tc>
              <w:tc>
                <w:tcPr>
                  <w:tcW w:w="1085" w:type="dxa"/>
                  <w:vAlign w:val="center"/>
                </w:tcPr>
                <w:p w14:paraId="520AB630">
                  <w:pPr>
                    <w:widowControl/>
                    <w:adjustRightInd w:val="0"/>
                    <w:snapToGrid w:val="0"/>
                    <w:jc w:val="center"/>
                    <w:rPr>
                      <w:kern w:val="0"/>
                      <w:szCs w:val="21"/>
                    </w:rPr>
                  </w:pPr>
                  <w:r>
                    <w:rPr>
                      <w:rFonts w:hint="eastAsia"/>
                      <w:kern w:val="0"/>
                      <w:szCs w:val="21"/>
                    </w:rPr>
                    <w:t>/</w:t>
                  </w:r>
                </w:p>
              </w:tc>
              <w:tc>
                <w:tcPr>
                  <w:tcW w:w="827" w:type="dxa"/>
                  <w:vAlign w:val="center"/>
                </w:tcPr>
                <w:p w14:paraId="520AB631">
                  <w:pPr>
                    <w:adjustRightInd w:val="0"/>
                    <w:snapToGrid w:val="0"/>
                    <w:jc w:val="center"/>
                    <w:rPr>
                      <w:kern w:val="0"/>
                      <w:szCs w:val="21"/>
                    </w:rPr>
                  </w:pPr>
                  <w:r>
                    <w:rPr>
                      <w:rFonts w:eastAsia="等线"/>
                      <w:szCs w:val="21"/>
                    </w:rPr>
                    <w:t>8370</w:t>
                  </w:r>
                </w:p>
              </w:tc>
              <w:tc>
                <w:tcPr>
                  <w:tcW w:w="1100" w:type="dxa"/>
                  <w:vAlign w:val="center"/>
                </w:tcPr>
                <w:p w14:paraId="520AB632">
                  <w:pPr>
                    <w:widowControl/>
                    <w:adjustRightInd w:val="0"/>
                    <w:snapToGrid w:val="0"/>
                    <w:jc w:val="center"/>
                    <w:rPr>
                      <w:kern w:val="0"/>
                      <w:szCs w:val="21"/>
                    </w:rPr>
                  </w:pPr>
                  <w:r>
                    <w:rPr>
                      <w:rFonts w:eastAsia="等线"/>
                      <w:szCs w:val="21"/>
                    </w:rPr>
                    <w:t>0.029</w:t>
                  </w:r>
                </w:p>
              </w:tc>
              <w:tc>
                <w:tcPr>
                  <w:tcW w:w="1116" w:type="dxa"/>
                  <w:vAlign w:val="center"/>
                </w:tcPr>
                <w:p w14:paraId="520AB633">
                  <w:pPr>
                    <w:widowControl/>
                    <w:adjustRightInd w:val="0"/>
                    <w:snapToGrid w:val="0"/>
                    <w:jc w:val="center"/>
                    <w:rPr>
                      <w:kern w:val="0"/>
                      <w:szCs w:val="21"/>
                    </w:rPr>
                  </w:pPr>
                  <w:r>
                    <w:rPr>
                      <w:rFonts w:eastAsia="等线"/>
                      <w:szCs w:val="21"/>
                    </w:rPr>
                    <w:t>0.000243</w:t>
                  </w:r>
                </w:p>
              </w:tc>
              <w:tc>
                <w:tcPr>
                  <w:tcW w:w="943" w:type="dxa"/>
                  <w:vAlign w:val="center"/>
                </w:tcPr>
                <w:p w14:paraId="520AB634">
                  <w:pPr>
                    <w:widowControl/>
                    <w:adjustRightInd w:val="0"/>
                    <w:snapToGrid w:val="0"/>
                    <w:jc w:val="center"/>
                    <w:rPr>
                      <w:kern w:val="0"/>
                      <w:szCs w:val="21"/>
                    </w:rPr>
                  </w:pPr>
                  <w:r>
                    <w:rPr>
                      <w:rFonts w:eastAsia="等线"/>
                      <w:szCs w:val="21"/>
                    </w:rPr>
                    <w:t>1500</w:t>
                  </w:r>
                </w:p>
              </w:tc>
              <w:tc>
                <w:tcPr>
                  <w:tcW w:w="1396" w:type="dxa"/>
                  <w:vAlign w:val="center"/>
                </w:tcPr>
                <w:p w14:paraId="520AB635">
                  <w:pPr>
                    <w:widowControl/>
                    <w:adjustRightInd w:val="0"/>
                    <w:snapToGrid w:val="0"/>
                    <w:jc w:val="center"/>
                    <w:rPr>
                      <w:kern w:val="0"/>
                      <w:szCs w:val="21"/>
                    </w:rPr>
                  </w:pPr>
                  <w:r>
                    <w:rPr>
                      <w:rFonts w:eastAsia="等线"/>
                      <w:szCs w:val="21"/>
                    </w:rPr>
                    <w:t>0.0004</w:t>
                  </w:r>
                </w:p>
              </w:tc>
            </w:tr>
            <w:tr w14:paraId="520AB64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37">
                  <w:pPr>
                    <w:widowControl/>
                    <w:adjustRightInd w:val="0"/>
                    <w:snapToGrid w:val="0"/>
                    <w:jc w:val="center"/>
                    <w:rPr>
                      <w:kern w:val="0"/>
                      <w:szCs w:val="21"/>
                    </w:rPr>
                  </w:pPr>
                </w:p>
              </w:tc>
              <w:tc>
                <w:tcPr>
                  <w:tcW w:w="749" w:type="dxa"/>
                  <w:vMerge w:val="continue"/>
                  <w:vAlign w:val="center"/>
                </w:tcPr>
                <w:p w14:paraId="520AB638">
                  <w:pPr>
                    <w:widowControl/>
                    <w:adjustRightInd w:val="0"/>
                    <w:snapToGrid w:val="0"/>
                    <w:jc w:val="center"/>
                    <w:rPr>
                      <w:kern w:val="0"/>
                      <w:szCs w:val="21"/>
                    </w:rPr>
                  </w:pPr>
                </w:p>
              </w:tc>
              <w:tc>
                <w:tcPr>
                  <w:tcW w:w="1035" w:type="dxa"/>
                  <w:vAlign w:val="center"/>
                </w:tcPr>
                <w:p w14:paraId="520AB639">
                  <w:pPr>
                    <w:widowControl/>
                    <w:adjustRightInd w:val="0"/>
                    <w:snapToGrid w:val="0"/>
                    <w:jc w:val="center"/>
                    <w:rPr>
                      <w:kern w:val="0"/>
                      <w:szCs w:val="21"/>
                    </w:rPr>
                  </w:pPr>
                  <w:r>
                    <w:rPr>
                      <w:rFonts w:hint="eastAsia"/>
                      <w:szCs w:val="21"/>
                    </w:rPr>
                    <w:t>氮氧化物</w:t>
                  </w:r>
                </w:p>
              </w:tc>
              <w:tc>
                <w:tcPr>
                  <w:tcW w:w="1326" w:type="dxa"/>
                  <w:vMerge w:val="continue"/>
                  <w:vAlign w:val="center"/>
                </w:tcPr>
                <w:p w14:paraId="520AB63A">
                  <w:pPr>
                    <w:widowControl/>
                    <w:adjustRightInd w:val="0"/>
                    <w:snapToGrid w:val="0"/>
                    <w:jc w:val="center"/>
                    <w:rPr>
                      <w:kern w:val="0"/>
                      <w:szCs w:val="21"/>
                    </w:rPr>
                  </w:pPr>
                </w:p>
              </w:tc>
              <w:tc>
                <w:tcPr>
                  <w:tcW w:w="828" w:type="dxa"/>
                  <w:vAlign w:val="center"/>
                </w:tcPr>
                <w:p w14:paraId="520AB63B">
                  <w:pPr>
                    <w:widowControl/>
                    <w:adjustRightInd w:val="0"/>
                    <w:snapToGrid w:val="0"/>
                    <w:jc w:val="center"/>
                    <w:rPr>
                      <w:kern w:val="0"/>
                      <w:szCs w:val="21"/>
                    </w:rPr>
                  </w:pPr>
                  <w:r>
                    <w:rPr>
                      <w:rFonts w:hint="eastAsia"/>
                      <w:kern w:val="0"/>
                      <w:szCs w:val="21"/>
                    </w:rPr>
                    <w:t>/</w:t>
                  </w:r>
                </w:p>
              </w:tc>
              <w:tc>
                <w:tcPr>
                  <w:tcW w:w="1100" w:type="dxa"/>
                  <w:vAlign w:val="center"/>
                </w:tcPr>
                <w:p w14:paraId="520AB63C">
                  <w:pPr>
                    <w:widowControl/>
                    <w:adjustRightInd w:val="0"/>
                    <w:snapToGrid w:val="0"/>
                    <w:jc w:val="center"/>
                    <w:rPr>
                      <w:kern w:val="0"/>
                      <w:szCs w:val="21"/>
                    </w:rPr>
                  </w:pPr>
                  <w:r>
                    <w:rPr>
                      <w:rFonts w:hint="eastAsia"/>
                      <w:kern w:val="0"/>
                      <w:szCs w:val="21"/>
                    </w:rPr>
                    <w:t>/</w:t>
                  </w:r>
                </w:p>
              </w:tc>
              <w:tc>
                <w:tcPr>
                  <w:tcW w:w="1085" w:type="dxa"/>
                  <w:vAlign w:val="center"/>
                </w:tcPr>
                <w:p w14:paraId="520AB63D">
                  <w:pPr>
                    <w:widowControl/>
                    <w:adjustRightInd w:val="0"/>
                    <w:snapToGrid w:val="0"/>
                    <w:jc w:val="center"/>
                    <w:rPr>
                      <w:kern w:val="0"/>
                      <w:szCs w:val="21"/>
                    </w:rPr>
                  </w:pPr>
                  <w:r>
                    <w:rPr>
                      <w:rFonts w:hint="eastAsia"/>
                      <w:kern w:val="0"/>
                      <w:szCs w:val="21"/>
                    </w:rPr>
                    <w:t>/</w:t>
                  </w:r>
                </w:p>
              </w:tc>
              <w:tc>
                <w:tcPr>
                  <w:tcW w:w="827" w:type="dxa"/>
                  <w:vAlign w:val="center"/>
                </w:tcPr>
                <w:p w14:paraId="520AB63E">
                  <w:pPr>
                    <w:widowControl/>
                    <w:adjustRightInd w:val="0"/>
                    <w:snapToGrid w:val="0"/>
                    <w:jc w:val="center"/>
                    <w:rPr>
                      <w:kern w:val="0"/>
                      <w:szCs w:val="21"/>
                    </w:rPr>
                  </w:pPr>
                  <w:r>
                    <w:rPr>
                      <w:rFonts w:eastAsia="等线"/>
                      <w:szCs w:val="21"/>
                    </w:rPr>
                    <w:t>8370</w:t>
                  </w:r>
                </w:p>
              </w:tc>
              <w:tc>
                <w:tcPr>
                  <w:tcW w:w="1100" w:type="dxa"/>
                  <w:vAlign w:val="center"/>
                </w:tcPr>
                <w:p w14:paraId="520AB63F">
                  <w:pPr>
                    <w:widowControl/>
                    <w:adjustRightInd w:val="0"/>
                    <w:snapToGrid w:val="0"/>
                    <w:jc w:val="center"/>
                    <w:rPr>
                      <w:kern w:val="0"/>
                      <w:szCs w:val="21"/>
                    </w:rPr>
                  </w:pPr>
                  <w:r>
                    <w:rPr>
                      <w:rFonts w:eastAsia="等线"/>
                      <w:szCs w:val="21"/>
                    </w:rPr>
                    <w:t>12</w:t>
                  </w:r>
                </w:p>
              </w:tc>
              <w:tc>
                <w:tcPr>
                  <w:tcW w:w="1116" w:type="dxa"/>
                  <w:vAlign w:val="center"/>
                </w:tcPr>
                <w:p w14:paraId="520AB640">
                  <w:pPr>
                    <w:widowControl/>
                    <w:adjustRightInd w:val="0"/>
                    <w:snapToGrid w:val="0"/>
                    <w:jc w:val="center"/>
                    <w:rPr>
                      <w:kern w:val="0"/>
                      <w:szCs w:val="21"/>
                    </w:rPr>
                  </w:pPr>
                  <w:r>
                    <w:rPr>
                      <w:rFonts w:eastAsia="等线"/>
                      <w:szCs w:val="21"/>
                    </w:rPr>
                    <w:t>0.1</w:t>
                  </w:r>
                </w:p>
              </w:tc>
              <w:tc>
                <w:tcPr>
                  <w:tcW w:w="943" w:type="dxa"/>
                  <w:vAlign w:val="center"/>
                </w:tcPr>
                <w:p w14:paraId="520AB641">
                  <w:pPr>
                    <w:widowControl/>
                    <w:adjustRightInd w:val="0"/>
                    <w:snapToGrid w:val="0"/>
                    <w:jc w:val="center"/>
                    <w:rPr>
                      <w:kern w:val="0"/>
                      <w:szCs w:val="21"/>
                    </w:rPr>
                  </w:pPr>
                  <w:r>
                    <w:rPr>
                      <w:rFonts w:eastAsia="等线"/>
                      <w:szCs w:val="21"/>
                    </w:rPr>
                    <w:t>1500</w:t>
                  </w:r>
                </w:p>
              </w:tc>
              <w:tc>
                <w:tcPr>
                  <w:tcW w:w="1396" w:type="dxa"/>
                  <w:vAlign w:val="center"/>
                </w:tcPr>
                <w:p w14:paraId="520AB642">
                  <w:pPr>
                    <w:widowControl/>
                    <w:adjustRightInd w:val="0"/>
                    <w:snapToGrid w:val="0"/>
                    <w:jc w:val="center"/>
                    <w:rPr>
                      <w:kern w:val="0"/>
                      <w:szCs w:val="21"/>
                    </w:rPr>
                  </w:pPr>
                  <w:r>
                    <w:rPr>
                      <w:rFonts w:eastAsia="等线"/>
                      <w:szCs w:val="21"/>
                    </w:rPr>
                    <w:t>0.1579</w:t>
                  </w:r>
                </w:p>
              </w:tc>
            </w:tr>
            <w:tr w14:paraId="520AB65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Align w:val="center"/>
                </w:tcPr>
                <w:p w14:paraId="520AB644">
                  <w:pPr>
                    <w:adjustRightInd w:val="0"/>
                    <w:snapToGrid w:val="0"/>
                    <w:jc w:val="center"/>
                    <w:rPr>
                      <w:kern w:val="0"/>
                      <w:szCs w:val="21"/>
                    </w:rPr>
                  </w:pPr>
                  <w:r>
                    <w:rPr>
                      <w:rFonts w:hint="eastAsia"/>
                      <w:kern w:val="0"/>
                      <w:szCs w:val="21"/>
                    </w:rPr>
                    <w:t>2</w:t>
                  </w:r>
                  <w:r>
                    <w:rPr>
                      <w:kern w:val="0"/>
                      <w:szCs w:val="21"/>
                    </w:rPr>
                    <w:t>025.4.23</w:t>
                  </w:r>
                </w:p>
              </w:tc>
              <w:tc>
                <w:tcPr>
                  <w:tcW w:w="749" w:type="dxa"/>
                  <w:vAlign w:val="center"/>
                </w:tcPr>
                <w:p w14:paraId="520AB645">
                  <w:pPr>
                    <w:widowControl/>
                    <w:adjustRightInd w:val="0"/>
                    <w:snapToGrid w:val="0"/>
                    <w:jc w:val="center"/>
                    <w:rPr>
                      <w:kern w:val="0"/>
                      <w:szCs w:val="21"/>
                    </w:rPr>
                  </w:pPr>
                  <w:r>
                    <w:rPr>
                      <w:kern w:val="0"/>
                      <w:szCs w:val="21"/>
                    </w:rPr>
                    <w:t>DA008</w:t>
                  </w:r>
                </w:p>
              </w:tc>
              <w:tc>
                <w:tcPr>
                  <w:tcW w:w="1035" w:type="dxa"/>
                  <w:vAlign w:val="center"/>
                </w:tcPr>
                <w:p w14:paraId="520AB646">
                  <w:pPr>
                    <w:widowControl/>
                    <w:adjustRightInd w:val="0"/>
                    <w:snapToGrid w:val="0"/>
                    <w:jc w:val="center"/>
                    <w:rPr>
                      <w:kern w:val="0"/>
                      <w:szCs w:val="21"/>
                    </w:rPr>
                  </w:pPr>
                  <w:r>
                    <w:rPr>
                      <w:kern w:val="0"/>
                      <w:szCs w:val="21"/>
                    </w:rPr>
                    <w:t>铬酸雾</w:t>
                  </w:r>
                </w:p>
              </w:tc>
              <w:tc>
                <w:tcPr>
                  <w:tcW w:w="1326" w:type="dxa"/>
                  <w:vMerge w:val="continue"/>
                  <w:vAlign w:val="center"/>
                </w:tcPr>
                <w:p w14:paraId="520AB647">
                  <w:pPr>
                    <w:widowControl/>
                    <w:adjustRightInd w:val="0"/>
                    <w:snapToGrid w:val="0"/>
                    <w:jc w:val="center"/>
                    <w:rPr>
                      <w:kern w:val="0"/>
                      <w:szCs w:val="21"/>
                    </w:rPr>
                  </w:pPr>
                </w:p>
              </w:tc>
              <w:tc>
                <w:tcPr>
                  <w:tcW w:w="828" w:type="dxa"/>
                  <w:vAlign w:val="center"/>
                </w:tcPr>
                <w:p w14:paraId="520AB648">
                  <w:pPr>
                    <w:widowControl/>
                    <w:adjustRightInd w:val="0"/>
                    <w:snapToGrid w:val="0"/>
                    <w:jc w:val="center"/>
                    <w:rPr>
                      <w:kern w:val="0"/>
                      <w:szCs w:val="21"/>
                    </w:rPr>
                  </w:pPr>
                  <w:r>
                    <w:rPr>
                      <w:rFonts w:hint="eastAsia"/>
                      <w:kern w:val="0"/>
                      <w:szCs w:val="21"/>
                    </w:rPr>
                    <w:t>/</w:t>
                  </w:r>
                </w:p>
              </w:tc>
              <w:tc>
                <w:tcPr>
                  <w:tcW w:w="1100" w:type="dxa"/>
                  <w:vAlign w:val="center"/>
                </w:tcPr>
                <w:p w14:paraId="520AB649">
                  <w:pPr>
                    <w:widowControl/>
                    <w:adjustRightInd w:val="0"/>
                    <w:snapToGrid w:val="0"/>
                    <w:jc w:val="center"/>
                    <w:rPr>
                      <w:kern w:val="0"/>
                      <w:szCs w:val="21"/>
                    </w:rPr>
                  </w:pPr>
                  <w:r>
                    <w:rPr>
                      <w:rFonts w:hint="eastAsia"/>
                      <w:kern w:val="0"/>
                      <w:szCs w:val="21"/>
                    </w:rPr>
                    <w:t>/</w:t>
                  </w:r>
                </w:p>
              </w:tc>
              <w:tc>
                <w:tcPr>
                  <w:tcW w:w="1085" w:type="dxa"/>
                  <w:vAlign w:val="center"/>
                </w:tcPr>
                <w:p w14:paraId="520AB64A">
                  <w:pPr>
                    <w:widowControl/>
                    <w:adjustRightInd w:val="0"/>
                    <w:snapToGrid w:val="0"/>
                    <w:jc w:val="center"/>
                    <w:rPr>
                      <w:kern w:val="0"/>
                      <w:szCs w:val="21"/>
                    </w:rPr>
                  </w:pPr>
                  <w:r>
                    <w:rPr>
                      <w:rFonts w:hint="eastAsia"/>
                      <w:kern w:val="0"/>
                      <w:szCs w:val="21"/>
                    </w:rPr>
                    <w:t>/</w:t>
                  </w:r>
                </w:p>
              </w:tc>
              <w:tc>
                <w:tcPr>
                  <w:tcW w:w="827" w:type="dxa"/>
                  <w:vAlign w:val="center"/>
                </w:tcPr>
                <w:p w14:paraId="520AB64B">
                  <w:pPr>
                    <w:widowControl/>
                    <w:adjustRightInd w:val="0"/>
                    <w:snapToGrid w:val="0"/>
                    <w:jc w:val="center"/>
                    <w:rPr>
                      <w:kern w:val="0"/>
                      <w:szCs w:val="21"/>
                    </w:rPr>
                  </w:pPr>
                  <w:r>
                    <w:rPr>
                      <w:rFonts w:eastAsia="等线"/>
                      <w:szCs w:val="21"/>
                    </w:rPr>
                    <w:t>8320</w:t>
                  </w:r>
                </w:p>
              </w:tc>
              <w:tc>
                <w:tcPr>
                  <w:tcW w:w="1100" w:type="dxa"/>
                  <w:vAlign w:val="center"/>
                </w:tcPr>
                <w:p w14:paraId="520AB64C">
                  <w:pPr>
                    <w:widowControl/>
                    <w:adjustRightInd w:val="0"/>
                    <w:snapToGrid w:val="0"/>
                    <w:jc w:val="center"/>
                    <w:rPr>
                      <w:kern w:val="0"/>
                      <w:szCs w:val="21"/>
                    </w:rPr>
                  </w:pPr>
                  <w:r>
                    <w:rPr>
                      <w:rFonts w:eastAsia="等线"/>
                      <w:szCs w:val="21"/>
                    </w:rPr>
                    <w:t>0.019</w:t>
                  </w:r>
                </w:p>
              </w:tc>
              <w:tc>
                <w:tcPr>
                  <w:tcW w:w="1116" w:type="dxa"/>
                  <w:vAlign w:val="center"/>
                </w:tcPr>
                <w:p w14:paraId="520AB64D">
                  <w:pPr>
                    <w:widowControl/>
                    <w:adjustRightInd w:val="0"/>
                    <w:snapToGrid w:val="0"/>
                    <w:jc w:val="center"/>
                    <w:rPr>
                      <w:kern w:val="0"/>
                      <w:szCs w:val="21"/>
                    </w:rPr>
                  </w:pPr>
                  <w:r>
                    <w:rPr>
                      <w:rFonts w:eastAsia="等线"/>
                      <w:szCs w:val="21"/>
                    </w:rPr>
                    <w:t>0.000161</w:t>
                  </w:r>
                </w:p>
              </w:tc>
              <w:tc>
                <w:tcPr>
                  <w:tcW w:w="943" w:type="dxa"/>
                  <w:vAlign w:val="center"/>
                </w:tcPr>
                <w:p w14:paraId="520AB64E">
                  <w:pPr>
                    <w:widowControl/>
                    <w:adjustRightInd w:val="0"/>
                    <w:snapToGrid w:val="0"/>
                    <w:jc w:val="center"/>
                    <w:rPr>
                      <w:kern w:val="0"/>
                      <w:szCs w:val="21"/>
                    </w:rPr>
                  </w:pPr>
                  <w:r>
                    <w:rPr>
                      <w:rFonts w:eastAsia="等线"/>
                      <w:szCs w:val="21"/>
                    </w:rPr>
                    <w:t>1500</w:t>
                  </w:r>
                </w:p>
              </w:tc>
              <w:tc>
                <w:tcPr>
                  <w:tcW w:w="1396" w:type="dxa"/>
                  <w:vAlign w:val="center"/>
                </w:tcPr>
                <w:p w14:paraId="520AB64F">
                  <w:pPr>
                    <w:widowControl/>
                    <w:adjustRightInd w:val="0"/>
                    <w:snapToGrid w:val="0"/>
                    <w:jc w:val="center"/>
                    <w:rPr>
                      <w:kern w:val="0"/>
                      <w:szCs w:val="21"/>
                    </w:rPr>
                  </w:pPr>
                  <w:r>
                    <w:rPr>
                      <w:rFonts w:eastAsia="等线"/>
                      <w:szCs w:val="21"/>
                    </w:rPr>
                    <w:t>0.0003</w:t>
                  </w:r>
                </w:p>
              </w:tc>
            </w:tr>
            <w:tr w14:paraId="520AB65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restart"/>
                  <w:vAlign w:val="center"/>
                </w:tcPr>
                <w:p w14:paraId="520AB651">
                  <w:pPr>
                    <w:adjustRightInd w:val="0"/>
                    <w:snapToGrid w:val="0"/>
                    <w:jc w:val="center"/>
                    <w:rPr>
                      <w:kern w:val="0"/>
                      <w:szCs w:val="21"/>
                    </w:rPr>
                  </w:pPr>
                  <w:r>
                    <w:rPr>
                      <w:rFonts w:hint="eastAsia"/>
                      <w:kern w:val="0"/>
                      <w:szCs w:val="21"/>
                    </w:rPr>
                    <w:t>2</w:t>
                  </w:r>
                  <w:r>
                    <w:rPr>
                      <w:kern w:val="0"/>
                      <w:szCs w:val="21"/>
                    </w:rPr>
                    <w:t>025.4.23</w:t>
                  </w:r>
                </w:p>
              </w:tc>
              <w:tc>
                <w:tcPr>
                  <w:tcW w:w="749" w:type="dxa"/>
                  <w:vMerge w:val="restart"/>
                  <w:vAlign w:val="center"/>
                </w:tcPr>
                <w:p w14:paraId="520AB652">
                  <w:pPr>
                    <w:widowControl/>
                    <w:adjustRightInd w:val="0"/>
                    <w:snapToGrid w:val="0"/>
                    <w:jc w:val="center"/>
                    <w:rPr>
                      <w:kern w:val="0"/>
                      <w:szCs w:val="21"/>
                    </w:rPr>
                  </w:pPr>
                  <w:r>
                    <w:rPr>
                      <w:kern w:val="0"/>
                      <w:szCs w:val="21"/>
                    </w:rPr>
                    <w:t>DA01</w:t>
                  </w:r>
                  <w:r>
                    <w:rPr>
                      <w:rFonts w:hint="eastAsia"/>
                      <w:kern w:val="0"/>
                      <w:szCs w:val="21"/>
                    </w:rPr>
                    <w:t>0</w:t>
                  </w:r>
                </w:p>
              </w:tc>
              <w:tc>
                <w:tcPr>
                  <w:tcW w:w="1035" w:type="dxa"/>
                  <w:vAlign w:val="center"/>
                </w:tcPr>
                <w:p w14:paraId="520AB653">
                  <w:pPr>
                    <w:widowControl/>
                    <w:adjustRightInd w:val="0"/>
                    <w:snapToGrid w:val="0"/>
                    <w:jc w:val="center"/>
                    <w:rPr>
                      <w:kern w:val="0"/>
                      <w:szCs w:val="21"/>
                    </w:rPr>
                  </w:pPr>
                  <w:r>
                    <w:rPr>
                      <w:kern w:val="0"/>
                      <w:szCs w:val="21"/>
                    </w:rPr>
                    <w:t>硫酸雾</w:t>
                  </w:r>
                </w:p>
              </w:tc>
              <w:tc>
                <w:tcPr>
                  <w:tcW w:w="1326" w:type="dxa"/>
                  <w:vMerge w:val="restart"/>
                  <w:vAlign w:val="center"/>
                </w:tcPr>
                <w:p w14:paraId="520AB654">
                  <w:pPr>
                    <w:widowControl/>
                    <w:adjustRightInd w:val="0"/>
                    <w:snapToGrid w:val="0"/>
                    <w:jc w:val="center"/>
                    <w:rPr>
                      <w:kern w:val="0"/>
                      <w:szCs w:val="21"/>
                    </w:rPr>
                  </w:pPr>
                  <w:r>
                    <w:rPr>
                      <w:kern w:val="0"/>
                      <w:szCs w:val="21"/>
                    </w:rPr>
                    <w:t>电镀污水处理站</w:t>
                  </w:r>
                </w:p>
              </w:tc>
              <w:tc>
                <w:tcPr>
                  <w:tcW w:w="828" w:type="dxa"/>
                  <w:vMerge w:val="restart"/>
                  <w:vAlign w:val="center"/>
                </w:tcPr>
                <w:p w14:paraId="520AB655">
                  <w:pPr>
                    <w:widowControl/>
                    <w:adjustRightInd w:val="0"/>
                    <w:snapToGrid w:val="0"/>
                    <w:jc w:val="center"/>
                    <w:rPr>
                      <w:kern w:val="0"/>
                      <w:szCs w:val="21"/>
                    </w:rPr>
                  </w:pPr>
                  <w:r>
                    <w:rPr>
                      <w:kern w:val="0"/>
                      <w:szCs w:val="21"/>
                    </w:rPr>
                    <w:t>/</w:t>
                  </w:r>
                </w:p>
              </w:tc>
              <w:tc>
                <w:tcPr>
                  <w:tcW w:w="1100" w:type="dxa"/>
                  <w:vAlign w:val="center"/>
                </w:tcPr>
                <w:p w14:paraId="520AB656">
                  <w:pPr>
                    <w:widowControl/>
                    <w:adjustRightInd w:val="0"/>
                    <w:snapToGrid w:val="0"/>
                    <w:jc w:val="center"/>
                    <w:rPr>
                      <w:kern w:val="0"/>
                      <w:szCs w:val="21"/>
                    </w:rPr>
                  </w:pPr>
                  <w:r>
                    <w:rPr>
                      <w:kern w:val="0"/>
                      <w:szCs w:val="21"/>
                    </w:rPr>
                    <w:t>/</w:t>
                  </w:r>
                </w:p>
              </w:tc>
              <w:tc>
                <w:tcPr>
                  <w:tcW w:w="1085" w:type="dxa"/>
                  <w:vAlign w:val="center"/>
                </w:tcPr>
                <w:p w14:paraId="520AB657">
                  <w:pPr>
                    <w:widowControl/>
                    <w:adjustRightInd w:val="0"/>
                    <w:snapToGrid w:val="0"/>
                    <w:jc w:val="center"/>
                    <w:rPr>
                      <w:kern w:val="0"/>
                      <w:szCs w:val="21"/>
                    </w:rPr>
                  </w:pPr>
                  <w:r>
                    <w:rPr>
                      <w:kern w:val="0"/>
                      <w:szCs w:val="21"/>
                    </w:rPr>
                    <w:t>/</w:t>
                  </w:r>
                </w:p>
              </w:tc>
              <w:tc>
                <w:tcPr>
                  <w:tcW w:w="827" w:type="dxa"/>
                  <w:vAlign w:val="center"/>
                </w:tcPr>
                <w:p w14:paraId="520AB658">
                  <w:pPr>
                    <w:widowControl/>
                    <w:adjustRightInd w:val="0"/>
                    <w:snapToGrid w:val="0"/>
                    <w:jc w:val="center"/>
                    <w:rPr>
                      <w:kern w:val="0"/>
                      <w:szCs w:val="21"/>
                    </w:rPr>
                  </w:pPr>
                  <w:r>
                    <w:rPr>
                      <w:rFonts w:eastAsia="等线"/>
                      <w:szCs w:val="21"/>
                    </w:rPr>
                    <w:t>3550</w:t>
                  </w:r>
                </w:p>
              </w:tc>
              <w:tc>
                <w:tcPr>
                  <w:tcW w:w="1100" w:type="dxa"/>
                  <w:vAlign w:val="center"/>
                </w:tcPr>
                <w:p w14:paraId="520AB659">
                  <w:pPr>
                    <w:widowControl/>
                    <w:adjustRightInd w:val="0"/>
                    <w:snapToGrid w:val="0"/>
                    <w:jc w:val="center"/>
                    <w:rPr>
                      <w:kern w:val="0"/>
                      <w:szCs w:val="21"/>
                    </w:rPr>
                  </w:pPr>
                  <w:r>
                    <w:rPr>
                      <w:rFonts w:eastAsia="等线"/>
                      <w:szCs w:val="21"/>
                    </w:rPr>
                    <w:t>4.08</w:t>
                  </w:r>
                </w:p>
              </w:tc>
              <w:tc>
                <w:tcPr>
                  <w:tcW w:w="1116" w:type="dxa"/>
                  <w:vAlign w:val="center"/>
                </w:tcPr>
                <w:p w14:paraId="520AB65A">
                  <w:pPr>
                    <w:widowControl/>
                    <w:adjustRightInd w:val="0"/>
                    <w:snapToGrid w:val="0"/>
                    <w:jc w:val="center"/>
                    <w:rPr>
                      <w:kern w:val="0"/>
                      <w:szCs w:val="21"/>
                    </w:rPr>
                  </w:pPr>
                  <w:r>
                    <w:rPr>
                      <w:rFonts w:eastAsia="等线"/>
                      <w:szCs w:val="21"/>
                    </w:rPr>
                    <w:t>0.014</w:t>
                  </w:r>
                </w:p>
              </w:tc>
              <w:tc>
                <w:tcPr>
                  <w:tcW w:w="943" w:type="dxa"/>
                  <w:vAlign w:val="center"/>
                </w:tcPr>
                <w:p w14:paraId="520AB65B">
                  <w:pPr>
                    <w:widowControl/>
                    <w:adjustRightInd w:val="0"/>
                    <w:snapToGrid w:val="0"/>
                    <w:jc w:val="center"/>
                    <w:rPr>
                      <w:kern w:val="0"/>
                      <w:szCs w:val="21"/>
                    </w:rPr>
                  </w:pPr>
                  <w:r>
                    <w:rPr>
                      <w:szCs w:val="21"/>
                    </w:rPr>
                    <w:t>2000</w:t>
                  </w:r>
                </w:p>
              </w:tc>
              <w:tc>
                <w:tcPr>
                  <w:tcW w:w="1396" w:type="dxa"/>
                  <w:vAlign w:val="center"/>
                </w:tcPr>
                <w:p w14:paraId="520AB65C">
                  <w:pPr>
                    <w:widowControl/>
                    <w:adjustRightInd w:val="0"/>
                    <w:snapToGrid w:val="0"/>
                    <w:jc w:val="center"/>
                    <w:rPr>
                      <w:szCs w:val="21"/>
                    </w:rPr>
                  </w:pPr>
                  <w:r>
                    <w:rPr>
                      <w:rFonts w:eastAsia="等线"/>
                      <w:szCs w:val="21"/>
                    </w:rPr>
                    <w:t>0.0295</w:t>
                  </w:r>
                </w:p>
              </w:tc>
            </w:tr>
            <w:tr w14:paraId="520AB66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5E">
                  <w:pPr>
                    <w:adjustRightInd w:val="0"/>
                    <w:snapToGrid w:val="0"/>
                    <w:jc w:val="center"/>
                    <w:rPr>
                      <w:kern w:val="0"/>
                      <w:szCs w:val="21"/>
                    </w:rPr>
                  </w:pPr>
                </w:p>
              </w:tc>
              <w:tc>
                <w:tcPr>
                  <w:tcW w:w="749" w:type="dxa"/>
                  <w:vMerge w:val="continue"/>
                  <w:vAlign w:val="center"/>
                </w:tcPr>
                <w:p w14:paraId="520AB65F">
                  <w:pPr>
                    <w:widowControl/>
                    <w:adjustRightInd w:val="0"/>
                    <w:snapToGrid w:val="0"/>
                    <w:jc w:val="center"/>
                    <w:rPr>
                      <w:kern w:val="0"/>
                      <w:szCs w:val="21"/>
                    </w:rPr>
                  </w:pPr>
                </w:p>
              </w:tc>
              <w:tc>
                <w:tcPr>
                  <w:tcW w:w="1035" w:type="dxa"/>
                  <w:vAlign w:val="center"/>
                </w:tcPr>
                <w:p w14:paraId="520AB660">
                  <w:pPr>
                    <w:widowControl/>
                    <w:adjustRightInd w:val="0"/>
                    <w:snapToGrid w:val="0"/>
                    <w:jc w:val="center"/>
                    <w:rPr>
                      <w:kern w:val="0"/>
                      <w:szCs w:val="21"/>
                    </w:rPr>
                  </w:pPr>
                  <w:r>
                    <w:rPr>
                      <w:kern w:val="0"/>
                      <w:szCs w:val="21"/>
                    </w:rPr>
                    <w:t>氯化氢</w:t>
                  </w:r>
                </w:p>
              </w:tc>
              <w:tc>
                <w:tcPr>
                  <w:tcW w:w="1326" w:type="dxa"/>
                  <w:vMerge w:val="continue"/>
                  <w:vAlign w:val="center"/>
                </w:tcPr>
                <w:p w14:paraId="520AB661">
                  <w:pPr>
                    <w:widowControl/>
                    <w:adjustRightInd w:val="0"/>
                    <w:snapToGrid w:val="0"/>
                    <w:jc w:val="center"/>
                    <w:rPr>
                      <w:kern w:val="0"/>
                      <w:szCs w:val="21"/>
                    </w:rPr>
                  </w:pPr>
                </w:p>
              </w:tc>
              <w:tc>
                <w:tcPr>
                  <w:tcW w:w="828" w:type="dxa"/>
                  <w:vMerge w:val="continue"/>
                  <w:vAlign w:val="center"/>
                </w:tcPr>
                <w:p w14:paraId="520AB662">
                  <w:pPr>
                    <w:widowControl/>
                    <w:adjustRightInd w:val="0"/>
                    <w:snapToGrid w:val="0"/>
                    <w:jc w:val="center"/>
                    <w:rPr>
                      <w:kern w:val="0"/>
                      <w:szCs w:val="21"/>
                    </w:rPr>
                  </w:pPr>
                </w:p>
              </w:tc>
              <w:tc>
                <w:tcPr>
                  <w:tcW w:w="1100" w:type="dxa"/>
                  <w:vAlign w:val="center"/>
                </w:tcPr>
                <w:p w14:paraId="520AB663">
                  <w:pPr>
                    <w:widowControl/>
                    <w:adjustRightInd w:val="0"/>
                    <w:snapToGrid w:val="0"/>
                    <w:jc w:val="center"/>
                    <w:rPr>
                      <w:kern w:val="0"/>
                      <w:szCs w:val="21"/>
                    </w:rPr>
                  </w:pPr>
                  <w:r>
                    <w:rPr>
                      <w:kern w:val="0"/>
                      <w:szCs w:val="21"/>
                    </w:rPr>
                    <w:t>/</w:t>
                  </w:r>
                </w:p>
              </w:tc>
              <w:tc>
                <w:tcPr>
                  <w:tcW w:w="1085" w:type="dxa"/>
                  <w:vAlign w:val="center"/>
                </w:tcPr>
                <w:p w14:paraId="520AB664">
                  <w:pPr>
                    <w:widowControl/>
                    <w:adjustRightInd w:val="0"/>
                    <w:snapToGrid w:val="0"/>
                    <w:jc w:val="center"/>
                    <w:rPr>
                      <w:kern w:val="0"/>
                      <w:szCs w:val="21"/>
                    </w:rPr>
                  </w:pPr>
                  <w:r>
                    <w:rPr>
                      <w:kern w:val="0"/>
                      <w:szCs w:val="21"/>
                    </w:rPr>
                    <w:t>/</w:t>
                  </w:r>
                </w:p>
              </w:tc>
              <w:tc>
                <w:tcPr>
                  <w:tcW w:w="827" w:type="dxa"/>
                  <w:vAlign w:val="center"/>
                </w:tcPr>
                <w:p w14:paraId="520AB665">
                  <w:pPr>
                    <w:widowControl/>
                    <w:adjustRightInd w:val="0"/>
                    <w:snapToGrid w:val="0"/>
                    <w:jc w:val="center"/>
                    <w:rPr>
                      <w:kern w:val="0"/>
                      <w:szCs w:val="21"/>
                    </w:rPr>
                  </w:pPr>
                  <w:r>
                    <w:rPr>
                      <w:rFonts w:eastAsia="等线"/>
                      <w:szCs w:val="21"/>
                    </w:rPr>
                    <w:t>3570</w:t>
                  </w:r>
                </w:p>
              </w:tc>
              <w:tc>
                <w:tcPr>
                  <w:tcW w:w="1100" w:type="dxa"/>
                  <w:vAlign w:val="center"/>
                </w:tcPr>
                <w:p w14:paraId="520AB666">
                  <w:pPr>
                    <w:widowControl/>
                    <w:adjustRightInd w:val="0"/>
                    <w:snapToGrid w:val="0"/>
                    <w:jc w:val="center"/>
                    <w:rPr>
                      <w:kern w:val="0"/>
                      <w:szCs w:val="21"/>
                    </w:rPr>
                  </w:pPr>
                  <w:r>
                    <w:rPr>
                      <w:rFonts w:eastAsia="等线"/>
                      <w:szCs w:val="21"/>
                    </w:rPr>
                    <w:t>3.3</w:t>
                  </w:r>
                </w:p>
              </w:tc>
              <w:tc>
                <w:tcPr>
                  <w:tcW w:w="1116" w:type="dxa"/>
                  <w:vAlign w:val="center"/>
                </w:tcPr>
                <w:p w14:paraId="520AB667">
                  <w:pPr>
                    <w:widowControl/>
                    <w:adjustRightInd w:val="0"/>
                    <w:snapToGrid w:val="0"/>
                    <w:jc w:val="center"/>
                    <w:rPr>
                      <w:kern w:val="0"/>
                      <w:szCs w:val="21"/>
                    </w:rPr>
                  </w:pPr>
                  <w:r>
                    <w:rPr>
                      <w:rFonts w:eastAsia="等线"/>
                      <w:szCs w:val="21"/>
                    </w:rPr>
                    <w:t>0.012</w:t>
                  </w:r>
                </w:p>
              </w:tc>
              <w:tc>
                <w:tcPr>
                  <w:tcW w:w="943" w:type="dxa"/>
                  <w:vAlign w:val="center"/>
                </w:tcPr>
                <w:p w14:paraId="520AB668">
                  <w:pPr>
                    <w:widowControl/>
                    <w:adjustRightInd w:val="0"/>
                    <w:snapToGrid w:val="0"/>
                    <w:jc w:val="center"/>
                    <w:rPr>
                      <w:kern w:val="0"/>
                      <w:szCs w:val="21"/>
                    </w:rPr>
                  </w:pPr>
                  <w:r>
                    <w:rPr>
                      <w:szCs w:val="21"/>
                    </w:rPr>
                    <w:t>2000</w:t>
                  </w:r>
                </w:p>
              </w:tc>
              <w:tc>
                <w:tcPr>
                  <w:tcW w:w="1396" w:type="dxa"/>
                  <w:vAlign w:val="center"/>
                </w:tcPr>
                <w:p w14:paraId="520AB669">
                  <w:pPr>
                    <w:widowControl/>
                    <w:adjustRightInd w:val="0"/>
                    <w:snapToGrid w:val="0"/>
                    <w:jc w:val="center"/>
                    <w:rPr>
                      <w:szCs w:val="21"/>
                    </w:rPr>
                  </w:pPr>
                  <w:r>
                    <w:rPr>
                      <w:rFonts w:eastAsia="等线"/>
                      <w:szCs w:val="21"/>
                    </w:rPr>
                    <w:t>0.0253</w:t>
                  </w:r>
                </w:p>
              </w:tc>
            </w:tr>
            <w:tr w14:paraId="520AB67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6B">
                  <w:pPr>
                    <w:adjustRightInd w:val="0"/>
                    <w:snapToGrid w:val="0"/>
                    <w:jc w:val="center"/>
                    <w:rPr>
                      <w:kern w:val="0"/>
                      <w:szCs w:val="21"/>
                    </w:rPr>
                  </w:pPr>
                </w:p>
              </w:tc>
              <w:tc>
                <w:tcPr>
                  <w:tcW w:w="749" w:type="dxa"/>
                  <w:vMerge w:val="continue"/>
                  <w:vAlign w:val="center"/>
                </w:tcPr>
                <w:p w14:paraId="520AB66C">
                  <w:pPr>
                    <w:widowControl/>
                    <w:adjustRightInd w:val="0"/>
                    <w:snapToGrid w:val="0"/>
                    <w:jc w:val="center"/>
                    <w:rPr>
                      <w:kern w:val="0"/>
                      <w:szCs w:val="21"/>
                    </w:rPr>
                  </w:pPr>
                </w:p>
              </w:tc>
              <w:tc>
                <w:tcPr>
                  <w:tcW w:w="1035" w:type="dxa"/>
                  <w:vAlign w:val="center"/>
                </w:tcPr>
                <w:p w14:paraId="520AB66D">
                  <w:pPr>
                    <w:widowControl/>
                    <w:adjustRightInd w:val="0"/>
                    <w:snapToGrid w:val="0"/>
                    <w:jc w:val="center"/>
                    <w:rPr>
                      <w:kern w:val="0"/>
                      <w:szCs w:val="21"/>
                    </w:rPr>
                  </w:pPr>
                  <w:r>
                    <w:rPr>
                      <w:kern w:val="0"/>
                      <w:szCs w:val="21"/>
                    </w:rPr>
                    <w:t>铬酸雾</w:t>
                  </w:r>
                </w:p>
              </w:tc>
              <w:tc>
                <w:tcPr>
                  <w:tcW w:w="1326" w:type="dxa"/>
                  <w:vMerge w:val="continue"/>
                  <w:vAlign w:val="center"/>
                </w:tcPr>
                <w:p w14:paraId="520AB66E">
                  <w:pPr>
                    <w:widowControl/>
                    <w:adjustRightInd w:val="0"/>
                    <w:snapToGrid w:val="0"/>
                    <w:jc w:val="center"/>
                    <w:rPr>
                      <w:kern w:val="0"/>
                      <w:szCs w:val="21"/>
                    </w:rPr>
                  </w:pPr>
                </w:p>
              </w:tc>
              <w:tc>
                <w:tcPr>
                  <w:tcW w:w="828" w:type="dxa"/>
                  <w:vMerge w:val="continue"/>
                  <w:vAlign w:val="center"/>
                </w:tcPr>
                <w:p w14:paraId="520AB66F">
                  <w:pPr>
                    <w:widowControl/>
                    <w:adjustRightInd w:val="0"/>
                    <w:snapToGrid w:val="0"/>
                    <w:jc w:val="center"/>
                    <w:rPr>
                      <w:kern w:val="0"/>
                      <w:szCs w:val="21"/>
                    </w:rPr>
                  </w:pPr>
                </w:p>
              </w:tc>
              <w:tc>
                <w:tcPr>
                  <w:tcW w:w="1100" w:type="dxa"/>
                  <w:vAlign w:val="center"/>
                </w:tcPr>
                <w:p w14:paraId="520AB670">
                  <w:pPr>
                    <w:widowControl/>
                    <w:adjustRightInd w:val="0"/>
                    <w:snapToGrid w:val="0"/>
                    <w:jc w:val="center"/>
                    <w:rPr>
                      <w:kern w:val="0"/>
                      <w:szCs w:val="21"/>
                    </w:rPr>
                  </w:pPr>
                  <w:r>
                    <w:rPr>
                      <w:kern w:val="0"/>
                      <w:szCs w:val="21"/>
                    </w:rPr>
                    <w:t>/</w:t>
                  </w:r>
                </w:p>
              </w:tc>
              <w:tc>
                <w:tcPr>
                  <w:tcW w:w="1085" w:type="dxa"/>
                  <w:vAlign w:val="center"/>
                </w:tcPr>
                <w:p w14:paraId="520AB671">
                  <w:pPr>
                    <w:widowControl/>
                    <w:adjustRightInd w:val="0"/>
                    <w:snapToGrid w:val="0"/>
                    <w:jc w:val="center"/>
                    <w:rPr>
                      <w:kern w:val="0"/>
                      <w:szCs w:val="21"/>
                    </w:rPr>
                  </w:pPr>
                  <w:r>
                    <w:rPr>
                      <w:kern w:val="0"/>
                      <w:szCs w:val="21"/>
                    </w:rPr>
                    <w:t>/</w:t>
                  </w:r>
                </w:p>
              </w:tc>
              <w:tc>
                <w:tcPr>
                  <w:tcW w:w="827" w:type="dxa"/>
                  <w:vAlign w:val="center"/>
                </w:tcPr>
                <w:p w14:paraId="520AB672">
                  <w:pPr>
                    <w:widowControl/>
                    <w:adjustRightInd w:val="0"/>
                    <w:snapToGrid w:val="0"/>
                    <w:jc w:val="center"/>
                    <w:rPr>
                      <w:kern w:val="0"/>
                      <w:szCs w:val="21"/>
                    </w:rPr>
                  </w:pPr>
                  <w:r>
                    <w:rPr>
                      <w:rFonts w:eastAsia="等线"/>
                      <w:szCs w:val="21"/>
                    </w:rPr>
                    <w:t>3610</w:t>
                  </w:r>
                </w:p>
              </w:tc>
              <w:tc>
                <w:tcPr>
                  <w:tcW w:w="1100" w:type="dxa"/>
                  <w:vAlign w:val="center"/>
                </w:tcPr>
                <w:p w14:paraId="520AB673">
                  <w:pPr>
                    <w:widowControl/>
                    <w:adjustRightInd w:val="0"/>
                    <w:snapToGrid w:val="0"/>
                    <w:jc w:val="center"/>
                    <w:rPr>
                      <w:kern w:val="0"/>
                      <w:szCs w:val="21"/>
                    </w:rPr>
                  </w:pPr>
                  <w:r>
                    <w:rPr>
                      <w:rFonts w:eastAsia="等线"/>
                      <w:szCs w:val="21"/>
                    </w:rPr>
                    <w:t>0.039</w:t>
                  </w:r>
                </w:p>
              </w:tc>
              <w:tc>
                <w:tcPr>
                  <w:tcW w:w="1116" w:type="dxa"/>
                  <w:vAlign w:val="center"/>
                </w:tcPr>
                <w:p w14:paraId="520AB674">
                  <w:pPr>
                    <w:widowControl/>
                    <w:adjustRightInd w:val="0"/>
                    <w:snapToGrid w:val="0"/>
                    <w:jc w:val="center"/>
                    <w:rPr>
                      <w:kern w:val="0"/>
                      <w:szCs w:val="21"/>
                    </w:rPr>
                  </w:pPr>
                  <w:r>
                    <w:rPr>
                      <w:rFonts w:eastAsia="等线"/>
                      <w:szCs w:val="21"/>
                    </w:rPr>
                    <w:t>0.000142</w:t>
                  </w:r>
                </w:p>
              </w:tc>
              <w:tc>
                <w:tcPr>
                  <w:tcW w:w="943" w:type="dxa"/>
                  <w:vAlign w:val="center"/>
                </w:tcPr>
                <w:p w14:paraId="520AB675">
                  <w:pPr>
                    <w:widowControl/>
                    <w:adjustRightInd w:val="0"/>
                    <w:snapToGrid w:val="0"/>
                    <w:jc w:val="center"/>
                    <w:rPr>
                      <w:kern w:val="0"/>
                      <w:szCs w:val="21"/>
                    </w:rPr>
                  </w:pPr>
                  <w:r>
                    <w:rPr>
                      <w:szCs w:val="21"/>
                    </w:rPr>
                    <w:t>2000</w:t>
                  </w:r>
                </w:p>
              </w:tc>
              <w:tc>
                <w:tcPr>
                  <w:tcW w:w="1396" w:type="dxa"/>
                  <w:vAlign w:val="center"/>
                </w:tcPr>
                <w:p w14:paraId="520AB676">
                  <w:pPr>
                    <w:widowControl/>
                    <w:adjustRightInd w:val="0"/>
                    <w:snapToGrid w:val="0"/>
                    <w:jc w:val="center"/>
                    <w:rPr>
                      <w:szCs w:val="21"/>
                    </w:rPr>
                  </w:pPr>
                  <w:r>
                    <w:rPr>
                      <w:rFonts w:eastAsia="等线"/>
                      <w:szCs w:val="21"/>
                    </w:rPr>
                    <w:t>0.0003</w:t>
                  </w:r>
                </w:p>
              </w:tc>
            </w:tr>
            <w:tr w14:paraId="520AB68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78">
                  <w:pPr>
                    <w:adjustRightInd w:val="0"/>
                    <w:snapToGrid w:val="0"/>
                    <w:jc w:val="center"/>
                    <w:rPr>
                      <w:kern w:val="0"/>
                      <w:szCs w:val="21"/>
                    </w:rPr>
                  </w:pPr>
                </w:p>
              </w:tc>
              <w:tc>
                <w:tcPr>
                  <w:tcW w:w="749" w:type="dxa"/>
                  <w:vMerge w:val="continue"/>
                  <w:vAlign w:val="center"/>
                </w:tcPr>
                <w:p w14:paraId="520AB679">
                  <w:pPr>
                    <w:widowControl/>
                    <w:adjustRightInd w:val="0"/>
                    <w:snapToGrid w:val="0"/>
                    <w:jc w:val="center"/>
                    <w:rPr>
                      <w:kern w:val="0"/>
                      <w:szCs w:val="21"/>
                    </w:rPr>
                  </w:pPr>
                </w:p>
              </w:tc>
              <w:tc>
                <w:tcPr>
                  <w:tcW w:w="1035" w:type="dxa"/>
                  <w:vAlign w:val="center"/>
                </w:tcPr>
                <w:p w14:paraId="520AB67A">
                  <w:pPr>
                    <w:widowControl/>
                    <w:adjustRightInd w:val="0"/>
                    <w:snapToGrid w:val="0"/>
                    <w:jc w:val="center"/>
                    <w:rPr>
                      <w:kern w:val="0"/>
                      <w:szCs w:val="21"/>
                    </w:rPr>
                  </w:pPr>
                  <w:r>
                    <w:rPr>
                      <w:kern w:val="0"/>
                      <w:szCs w:val="21"/>
                    </w:rPr>
                    <w:t>氰化氢</w:t>
                  </w:r>
                </w:p>
              </w:tc>
              <w:tc>
                <w:tcPr>
                  <w:tcW w:w="1326" w:type="dxa"/>
                  <w:vMerge w:val="continue"/>
                  <w:vAlign w:val="center"/>
                </w:tcPr>
                <w:p w14:paraId="520AB67B">
                  <w:pPr>
                    <w:widowControl/>
                    <w:adjustRightInd w:val="0"/>
                    <w:snapToGrid w:val="0"/>
                    <w:jc w:val="center"/>
                    <w:rPr>
                      <w:kern w:val="0"/>
                      <w:szCs w:val="21"/>
                    </w:rPr>
                  </w:pPr>
                </w:p>
              </w:tc>
              <w:tc>
                <w:tcPr>
                  <w:tcW w:w="828" w:type="dxa"/>
                  <w:vMerge w:val="continue"/>
                  <w:vAlign w:val="center"/>
                </w:tcPr>
                <w:p w14:paraId="520AB67C">
                  <w:pPr>
                    <w:widowControl/>
                    <w:adjustRightInd w:val="0"/>
                    <w:snapToGrid w:val="0"/>
                    <w:jc w:val="center"/>
                    <w:rPr>
                      <w:kern w:val="0"/>
                      <w:szCs w:val="21"/>
                    </w:rPr>
                  </w:pPr>
                </w:p>
              </w:tc>
              <w:tc>
                <w:tcPr>
                  <w:tcW w:w="1100" w:type="dxa"/>
                  <w:vAlign w:val="center"/>
                </w:tcPr>
                <w:p w14:paraId="520AB67D">
                  <w:pPr>
                    <w:widowControl/>
                    <w:adjustRightInd w:val="0"/>
                    <w:snapToGrid w:val="0"/>
                    <w:jc w:val="center"/>
                    <w:rPr>
                      <w:kern w:val="0"/>
                      <w:szCs w:val="21"/>
                    </w:rPr>
                  </w:pPr>
                  <w:r>
                    <w:rPr>
                      <w:kern w:val="0"/>
                      <w:szCs w:val="21"/>
                    </w:rPr>
                    <w:t>/</w:t>
                  </w:r>
                </w:p>
              </w:tc>
              <w:tc>
                <w:tcPr>
                  <w:tcW w:w="1085" w:type="dxa"/>
                  <w:vAlign w:val="center"/>
                </w:tcPr>
                <w:p w14:paraId="520AB67E">
                  <w:pPr>
                    <w:widowControl/>
                    <w:adjustRightInd w:val="0"/>
                    <w:snapToGrid w:val="0"/>
                    <w:jc w:val="center"/>
                    <w:rPr>
                      <w:kern w:val="0"/>
                      <w:szCs w:val="21"/>
                    </w:rPr>
                  </w:pPr>
                  <w:r>
                    <w:rPr>
                      <w:kern w:val="0"/>
                      <w:szCs w:val="21"/>
                    </w:rPr>
                    <w:t>/</w:t>
                  </w:r>
                </w:p>
              </w:tc>
              <w:tc>
                <w:tcPr>
                  <w:tcW w:w="827" w:type="dxa"/>
                  <w:vAlign w:val="center"/>
                </w:tcPr>
                <w:p w14:paraId="520AB67F">
                  <w:pPr>
                    <w:widowControl/>
                    <w:adjustRightInd w:val="0"/>
                    <w:snapToGrid w:val="0"/>
                    <w:jc w:val="center"/>
                    <w:rPr>
                      <w:kern w:val="0"/>
                      <w:szCs w:val="21"/>
                    </w:rPr>
                  </w:pPr>
                  <w:r>
                    <w:rPr>
                      <w:rFonts w:eastAsia="等线"/>
                      <w:szCs w:val="21"/>
                    </w:rPr>
                    <w:t>3570</w:t>
                  </w:r>
                </w:p>
              </w:tc>
              <w:tc>
                <w:tcPr>
                  <w:tcW w:w="1100" w:type="dxa"/>
                  <w:vAlign w:val="center"/>
                </w:tcPr>
                <w:p w14:paraId="520AB680">
                  <w:pPr>
                    <w:widowControl/>
                    <w:adjustRightInd w:val="0"/>
                    <w:snapToGrid w:val="0"/>
                    <w:jc w:val="center"/>
                    <w:rPr>
                      <w:kern w:val="0"/>
                      <w:szCs w:val="21"/>
                    </w:rPr>
                  </w:pPr>
                  <w:r>
                    <w:rPr>
                      <w:rFonts w:eastAsia="等线"/>
                      <w:szCs w:val="21"/>
                    </w:rPr>
                    <w:t>0.33</w:t>
                  </w:r>
                </w:p>
              </w:tc>
              <w:tc>
                <w:tcPr>
                  <w:tcW w:w="1116" w:type="dxa"/>
                  <w:vAlign w:val="center"/>
                </w:tcPr>
                <w:p w14:paraId="520AB681">
                  <w:pPr>
                    <w:widowControl/>
                    <w:adjustRightInd w:val="0"/>
                    <w:snapToGrid w:val="0"/>
                    <w:jc w:val="center"/>
                    <w:rPr>
                      <w:kern w:val="0"/>
                      <w:szCs w:val="21"/>
                    </w:rPr>
                  </w:pPr>
                  <w:r>
                    <w:rPr>
                      <w:rFonts w:eastAsia="等线"/>
                      <w:szCs w:val="21"/>
                    </w:rPr>
                    <w:t>0.00118</w:t>
                  </w:r>
                </w:p>
              </w:tc>
              <w:tc>
                <w:tcPr>
                  <w:tcW w:w="943" w:type="dxa"/>
                  <w:vAlign w:val="center"/>
                </w:tcPr>
                <w:p w14:paraId="520AB682">
                  <w:pPr>
                    <w:widowControl/>
                    <w:adjustRightInd w:val="0"/>
                    <w:snapToGrid w:val="0"/>
                    <w:jc w:val="center"/>
                    <w:rPr>
                      <w:kern w:val="0"/>
                      <w:szCs w:val="21"/>
                    </w:rPr>
                  </w:pPr>
                  <w:r>
                    <w:rPr>
                      <w:szCs w:val="21"/>
                    </w:rPr>
                    <w:t>2000</w:t>
                  </w:r>
                </w:p>
              </w:tc>
              <w:tc>
                <w:tcPr>
                  <w:tcW w:w="1396" w:type="dxa"/>
                  <w:vAlign w:val="center"/>
                </w:tcPr>
                <w:p w14:paraId="520AB683">
                  <w:pPr>
                    <w:widowControl/>
                    <w:adjustRightInd w:val="0"/>
                    <w:snapToGrid w:val="0"/>
                    <w:jc w:val="center"/>
                    <w:rPr>
                      <w:szCs w:val="21"/>
                    </w:rPr>
                  </w:pPr>
                  <w:r>
                    <w:rPr>
                      <w:rFonts w:eastAsia="等线"/>
                      <w:szCs w:val="21"/>
                    </w:rPr>
                    <w:t>0.0025</w:t>
                  </w:r>
                </w:p>
              </w:tc>
            </w:tr>
            <w:tr w14:paraId="520AB69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85">
                  <w:pPr>
                    <w:adjustRightInd w:val="0"/>
                    <w:snapToGrid w:val="0"/>
                    <w:jc w:val="center"/>
                    <w:rPr>
                      <w:kern w:val="0"/>
                      <w:szCs w:val="21"/>
                    </w:rPr>
                  </w:pPr>
                </w:p>
              </w:tc>
              <w:tc>
                <w:tcPr>
                  <w:tcW w:w="749" w:type="dxa"/>
                  <w:vMerge w:val="continue"/>
                  <w:vAlign w:val="center"/>
                </w:tcPr>
                <w:p w14:paraId="520AB686">
                  <w:pPr>
                    <w:widowControl/>
                    <w:adjustRightInd w:val="0"/>
                    <w:snapToGrid w:val="0"/>
                    <w:jc w:val="center"/>
                    <w:rPr>
                      <w:kern w:val="0"/>
                      <w:szCs w:val="21"/>
                    </w:rPr>
                  </w:pPr>
                </w:p>
              </w:tc>
              <w:tc>
                <w:tcPr>
                  <w:tcW w:w="1035" w:type="dxa"/>
                  <w:vAlign w:val="center"/>
                </w:tcPr>
                <w:p w14:paraId="520AB687">
                  <w:pPr>
                    <w:widowControl/>
                    <w:adjustRightInd w:val="0"/>
                    <w:snapToGrid w:val="0"/>
                    <w:jc w:val="center"/>
                    <w:rPr>
                      <w:kern w:val="0"/>
                      <w:szCs w:val="21"/>
                    </w:rPr>
                  </w:pPr>
                  <w:r>
                    <w:rPr>
                      <w:rFonts w:hint="eastAsia"/>
                      <w:kern w:val="0"/>
                      <w:szCs w:val="21"/>
                    </w:rPr>
                    <w:t>氮氧化物</w:t>
                  </w:r>
                </w:p>
              </w:tc>
              <w:tc>
                <w:tcPr>
                  <w:tcW w:w="1326" w:type="dxa"/>
                  <w:vMerge w:val="continue"/>
                  <w:vAlign w:val="center"/>
                </w:tcPr>
                <w:p w14:paraId="520AB688">
                  <w:pPr>
                    <w:widowControl/>
                    <w:adjustRightInd w:val="0"/>
                    <w:snapToGrid w:val="0"/>
                    <w:jc w:val="center"/>
                    <w:rPr>
                      <w:kern w:val="0"/>
                      <w:szCs w:val="21"/>
                    </w:rPr>
                  </w:pPr>
                </w:p>
              </w:tc>
              <w:tc>
                <w:tcPr>
                  <w:tcW w:w="828" w:type="dxa"/>
                  <w:vMerge w:val="continue"/>
                  <w:vAlign w:val="center"/>
                </w:tcPr>
                <w:p w14:paraId="520AB689">
                  <w:pPr>
                    <w:widowControl/>
                    <w:adjustRightInd w:val="0"/>
                    <w:snapToGrid w:val="0"/>
                    <w:jc w:val="center"/>
                    <w:rPr>
                      <w:kern w:val="0"/>
                      <w:szCs w:val="21"/>
                    </w:rPr>
                  </w:pPr>
                </w:p>
              </w:tc>
              <w:tc>
                <w:tcPr>
                  <w:tcW w:w="1100" w:type="dxa"/>
                  <w:vAlign w:val="center"/>
                </w:tcPr>
                <w:p w14:paraId="520AB68A">
                  <w:pPr>
                    <w:widowControl/>
                    <w:adjustRightInd w:val="0"/>
                    <w:snapToGrid w:val="0"/>
                    <w:jc w:val="center"/>
                    <w:rPr>
                      <w:kern w:val="0"/>
                      <w:szCs w:val="21"/>
                    </w:rPr>
                  </w:pPr>
                  <w:r>
                    <w:rPr>
                      <w:rFonts w:hint="eastAsia"/>
                      <w:kern w:val="0"/>
                      <w:szCs w:val="21"/>
                    </w:rPr>
                    <w:t>/</w:t>
                  </w:r>
                </w:p>
              </w:tc>
              <w:tc>
                <w:tcPr>
                  <w:tcW w:w="1085" w:type="dxa"/>
                  <w:vAlign w:val="center"/>
                </w:tcPr>
                <w:p w14:paraId="520AB68B">
                  <w:pPr>
                    <w:widowControl/>
                    <w:adjustRightInd w:val="0"/>
                    <w:snapToGrid w:val="0"/>
                    <w:jc w:val="center"/>
                    <w:rPr>
                      <w:kern w:val="0"/>
                      <w:szCs w:val="21"/>
                    </w:rPr>
                  </w:pPr>
                  <w:r>
                    <w:rPr>
                      <w:rFonts w:hint="eastAsia"/>
                      <w:kern w:val="0"/>
                      <w:szCs w:val="21"/>
                    </w:rPr>
                    <w:t>/</w:t>
                  </w:r>
                </w:p>
              </w:tc>
              <w:tc>
                <w:tcPr>
                  <w:tcW w:w="827" w:type="dxa"/>
                  <w:vAlign w:val="center"/>
                </w:tcPr>
                <w:p w14:paraId="520AB68C">
                  <w:pPr>
                    <w:widowControl/>
                    <w:adjustRightInd w:val="0"/>
                    <w:snapToGrid w:val="0"/>
                    <w:jc w:val="center"/>
                    <w:rPr>
                      <w:kern w:val="0"/>
                      <w:szCs w:val="21"/>
                    </w:rPr>
                  </w:pPr>
                  <w:r>
                    <w:rPr>
                      <w:rFonts w:eastAsia="等线"/>
                      <w:szCs w:val="21"/>
                    </w:rPr>
                    <w:t>3610</w:t>
                  </w:r>
                </w:p>
              </w:tc>
              <w:tc>
                <w:tcPr>
                  <w:tcW w:w="1100" w:type="dxa"/>
                  <w:vAlign w:val="center"/>
                </w:tcPr>
                <w:p w14:paraId="520AB68D">
                  <w:pPr>
                    <w:widowControl/>
                    <w:adjustRightInd w:val="0"/>
                    <w:snapToGrid w:val="0"/>
                    <w:jc w:val="center"/>
                    <w:rPr>
                      <w:kern w:val="0"/>
                      <w:szCs w:val="21"/>
                    </w:rPr>
                  </w:pPr>
                  <w:r>
                    <w:rPr>
                      <w:rFonts w:eastAsia="等线"/>
                      <w:szCs w:val="21"/>
                    </w:rPr>
                    <w:t>ND</w:t>
                  </w:r>
                </w:p>
              </w:tc>
              <w:tc>
                <w:tcPr>
                  <w:tcW w:w="1116" w:type="dxa"/>
                  <w:vAlign w:val="center"/>
                </w:tcPr>
                <w:p w14:paraId="520AB68E">
                  <w:pPr>
                    <w:widowControl/>
                    <w:adjustRightInd w:val="0"/>
                    <w:snapToGrid w:val="0"/>
                    <w:jc w:val="center"/>
                    <w:rPr>
                      <w:kern w:val="0"/>
                      <w:szCs w:val="21"/>
                    </w:rPr>
                  </w:pPr>
                  <w:r>
                    <w:rPr>
                      <w:rFonts w:eastAsia="等线"/>
                      <w:szCs w:val="21"/>
                    </w:rPr>
                    <w:t>/</w:t>
                  </w:r>
                </w:p>
              </w:tc>
              <w:tc>
                <w:tcPr>
                  <w:tcW w:w="943" w:type="dxa"/>
                  <w:vAlign w:val="center"/>
                </w:tcPr>
                <w:p w14:paraId="520AB68F">
                  <w:pPr>
                    <w:widowControl/>
                    <w:adjustRightInd w:val="0"/>
                    <w:snapToGrid w:val="0"/>
                    <w:jc w:val="center"/>
                    <w:rPr>
                      <w:szCs w:val="21"/>
                    </w:rPr>
                  </w:pPr>
                  <w:r>
                    <w:rPr>
                      <w:rFonts w:hint="eastAsia"/>
                      <w:szCs w:val="21"/>
                    </w:rPr>
                    <w:t>2</w:t>
                  </w:r>
                  <w:r>
                    <w:rPr>
                      <w:szCs w:val="21"/>
                    </w:rPr>
                    <w:t>000</w:t>
                  </w:r>
                </w:p>
              </w:tc>
              <w:tc>
                <w:tcPr>
                  <w:tcW w:w="1396" w:type="dxa"/>
                  <w:vAlign w:val="center"/>
                </w:tcPr>
                <w:p w14:paraId="520AB690">
                  <w:pPr>
                    <w:widowControl/>
                    <w:adjustRightInd w:val="0"/>
                    <w:snapToGrid w:val="0"/>
                    <w:jc w:val="center"/>
                    <w:rPr>
                      <w:szCs w:val="21"/>
                    </w:rPr>
                  </w:pPr>
                  <w:r>
                    <w:rPr>
                      <w:rFonts w:eastAsia="等线"/>
                      <w:szCs w:val="21"/>
                    </w:rPr>
                    <w:t>0.0114</w:t>
                  </w:r>
                  <w:r>
                    <w:rPr>
                      <w:rFonts w:hint="eastAsia" w:ascii="宋体" w:hAnsi="宋体"/>
                      <w:szCs w:val="21"/>
                      <w:vertAlign w:val="superscript"/>
                    </w:rPr>
                    <w:t>①</w:t>
                  </w:r>
                </w:p>
              </w:tc>
            </w:tr>
            <w:tr w14:paraId="520AB69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Align w:val="center"/>
                </w:tcPr>
                <w:p w14:paraId="520AB692">
                  <w:pPr>
                    <w:adjustRightInd w:val="0"/>
                    <w:snapToGrid w:val="0"/>
                    <w:jc w:val="center"/>
                    <w:rPr>
                      <w:kern w:val="0"/>
                      <w:szCs w:val="21"/>
                    </w:rPr>
                  </w:pPr>
                  <w:r>
                    <w:rPr>
                      <w:rFonts w:hint="eastAsia"/>
                      <w:kern w:val="0"/>
                      <w:szCs w:val="21"/>
                    </w:rPr>
                    <w:t>2</w:t>
                  </w:r>
                  <w:r>
                    <w:rPr>
                      <w:kern w:val="0"/>
                      <w:szCs w:val="21"/>
                    </w:rPr>
                    <w:t>025.4.22</w:t>
                  </w:r>
                </w:p>
              </w:tc>
              <w:tc>
                <w:tcPr>
                  <w:tcW w:w="749" w:type="dxa"/>
                  <w:vMerge w:val="restart"/>
                  <w:vAlign w:val="center"/>
                </w:tcPr>
                <w:p w14:paraId="520AB693">
                  <w:pPr>
                    <w:widowControl/>
                    <w:adjustRightInd w:val="0"/>
                    <w:snapToGrid w:val="0"/>
                    <w:jc w:val="center"/>
                    <w:rPr>
                      <w:kern w:val="0"/>
                      <w:szCs w:val="21"/>
                    </w:rPr>
                  </w:pPr>
                  <w:r>
                    <w:rPr>
                      <w:kern w:val="0"/>
                      <w:szCs w:val="21"/>
                    </w:rPr>
                    <w:t>DA0</w:t>
                  </w:r>
                  <w:r>
                    <w:rPr>
                      <w:rFonts w:hint="eastAsia"/>
                      <w:kern w:val="0"/>
                      <w:szCs w:val="21"/>
                    </w:rPr>
                    <w:t>11</w:t>
                  </w:r>
                </w:p>
              </w:tc>
              <w:tc>
                <w:tcPr>
                  <w:tcW w:w="1035" w:type="dxa"/>
                  <w:vAlign w:val="center"/>
                </w:tcPr>
                <w:p w14:paraId="520AB694">
                  <w:pPr>
                    <w:widowControl/>
                    <w:adjustRightInd w:val="0"/>
                    <w:snapToGrid w:val="0"/>
                    <w:jc w:val="center"/>
                    <w:rPr>
                      <w:kern w:val="0"/>
                      <w:szCs w:val="21"/>
                    </w:rPr>
                  </w:pPr>
                  <w:r>
                    <w:rPr>
                      <w:rFonts w:hint="eastAsia"/>
                      <w:kern w:val="0"/>
                      <w:szCs w:val="21"/>
                    </w:rPr>
                    <w:t>颗粒物</w:t>
                  </w:r>
                </w:p>
              </w:tc>
              <w:tc>
                <w:tcPr>
                  <w:tcW w:w="1326" w:type="dxa"/>
                  <w:vMerge w:val="restart"/>
                  <w:vAlign w:val="center"/>
                </w:tcPr>
                <w:p w14:paraId="520AB695">
                  <w:pPr>
                    <w:widowControl/>
                    <w:adjustRightInd w:val="0"/>
                    <w:snapToGrid w:val="0"/>
                    <w:jc w:val="center"/>
                    <w:rPr>
                      <w:kern w:val="0"/>
                      <w:szCs w:val="21"/>
                    </w:rPr>
                  </w:pPr>
                  <w:r>
                    <w:rPr>
                      <w:kern w:val="0"/>
                      <w:szCs w:val="21"/>
                    </w:rPr>
                    <w:t>喷涂生产线</w:t>
                  </w:r>
                </w:p>
              </w:tc>
              <w:tc>
                <w:tcPr>
                  <w:tcW w:w="828" w:type="dxa"/>
                  <w:vAlign w:val="center"/>
                </w:tcPr>
                <w:p w14:paraId="520AB696">
                  <w:pPr>
                    <w:widowControl/>
                    <w:adjustRightInd w:val="0"/>
                    <w:snapToGrid w:val="0"/>
                    <w:jc w:val="center"/>
                    <w:rPr>
                      <w:kern w:val="0"/>
                      <w:szCs w:val="21"/>
                    </w:rPr>
                  </w:pPr>
                  <w:r>
                    <w:rPr>
                      <w:rFonts w:hint="eastAsia"/>
                      <w:kern w:val="0"/>
                      <w:szCs w:val="21"/>
                    </w:rPr>
                    <w:t>/</w:t>
                  </w:r>
                </w:p>
              </w:tc>
              <w:tc>
                <w:tcPr>
                  <w:tcW w:w="1100" w:type="dxa"/>
                  <w:vAlign w:val="center"/>
                </w:tcPr>
                <w:p w14:paraId="520AB697">
                  <w:pPr>
                    <w:widowControl/>
                    <w:adjustRightInd w:val="0"/>
                    <w:snapToGrid w:val="0"/>
                    <w:jc w:val="center"/>
                    <w:rPr>
                      <w:kern w:val="0"/>
                      <w:szCs w:val="21"/>
                    </w:rPr>
                  </w:pPr>
                  <w:r>
                    <w:rPr>
                      <w:rFonts w:hint="eastAsia"/>
                      <w:kern w:val="0"/>
                      <w:szCs w:val="21"/>
                    </w:rPr>
                    <w:t>/</w:t>
                  </w:r>
                </w:p>
              </w:tc>
              <w:tc>
                <w:tcPr>
                  <w:tcW w:w="1085" w:type="dxa"/>
                  <w:vAlign w:val="center"/>
                </w:tcPr>
                <w:p w14:paraId="520AB698">
                  <w:pPr>
                    <w:widowControl/>
                    <w:adjustRightInd w:val="0"/>
                    <w:snapToGrid w:val="0"/>
                    <w:jc w:val="center"/>
                    <w:rPr>
                      <w:kern w:val="0"/>
                      <w:szCs w:val="21"/>
                    </w:rPr>
                  </w:pPr>
                  <w:r>
                    <w:rPr>
                      <w:rFonts w:hint="eastAsia"/>
                      <w:kern w:val="0"/>
                      <w:szCs w:val="21"/>
                    </w:rPr>
                    <w:t>/</w:t>
                  </w:r>
                </w:p>
              </w:tc>
              <w:tc>
                <w:tcPr>
                  <w:tcW w:w="827" w:type="dxa"/>
                  <w:vAlign w:val="center"/>
                </w:tcPr>
                <w:p w14:paraId="520AB699">
                  <w:pPr>
                    <w:adjustRightInd w:val="0"/>
                    <w:snapToGrid w:val="0"/>
                    <w:jc w:val="center"/>
                    <w:rPr>
                      <w:kern w:val="0"/>
                      <w:szCs w:val="21"/>
                    </w:rPr>
                  </w:pPr>
                  <w:r>
                    <w:rPr>
                      <w:rFonts w:hint="eastAsia"/>
                      <w:kern w:val="0"/>
                      <w:szCs w:val="21"/>
                    </w:rPr>
                    <w:t>1</w:t>
                  </w:r>
                  <w:r>
                    <w:rPr>
                      <w:kern w:val="0"/>
                      <w:szCs w:val="21"/>
                    </w:rPr>
                    <w:t>8200</w:t>
                  </w:r>
                </w:p>
              </w:tc>
              <w:tc>
                <w:tcPr>
                  <w:tcW w:w="1100" w:type="dxa"/>
                  <w:vAlign w:val="center"/>
                </w:tcPr>
                <w:p w14:paraId="520AB69A">
                  <w:pPr>
                    <w:widowControl/>
                    <w:adjustRightInd w:val="0"/>
                    <w:snapToGrid w:val="0"/>
                    <w:jc w:val="center"/>
                    <w:rPr>
                      <w:kern w:val="0"/>
                      <w:szCs w:val="21"/>
                    </w:rPr>
                  </w:pPr>
                  <w:r>
                    <w:rPr>
                      <w:rFonts w:hint="eastAsia"/>
                      <w:kern w:val="0"/>
                      <w:szCs w:val="21"/>
                    </w:rPr>
                    <w:t>1</w:t>
                  </w:r>
                  <w:r>
                    <w:rPr>
                      <w:kern w:val="0"/>
                      <w:szCs w:val="21"/>
                    </w:rPr>
                    <w:t>.3</w:t>
                  </w:r>
                </w:p>
              </w:tc>
              <w:tc>
                <w:tcPr>
                  <w:tcW w:w="1116" w:type="dxa"/>
                  <w:vAlign w:val="center"/>
                </w:tcPr>
                <w:p w14:paraId="520AB69B">
                  <w:pPr>
                    <w:widowControl/>
                    <w:adjustRightInd w:val="0"/>
                    <w:snapToGrid w:val="0"/>
                    <w:jc w:val="center"/>
                    <w:rPr>
                      <w:kern w:val="0"/>
                      <w:szCs w:val="21"/>
                    </w:rPr>
                  </w:pPr>
                  <w:r>
                    <w:rPr>
                      <w:rFonts w:hint="eastAsia"/>
                      <w:kern w:val="0"/>
                      <w:szCs w:val="21"/>
                    </w:rPr>
                    <w:t>0</w:t>
                  </w:r>
                  <w:r>
                    <w:rPr>
                      <w:kern w:val="0"/>
                      <w:szCs w:val="21"/>
                    </w:rPr>
                    <w:t>.024</w:t>
                  </w:r>
                </w:p>
              </w:tc>
              <w:tc>
                <w:tcPr>
                  <w:tcW w:w="943" w:type="dxa"/>
                  <w:vAlign w:val="center"/>
                </w:tcPr>
                <w:p w14:paraId="520AB69C">
                  <w:pPr>
                    <w:widowControl/>
                    <w:adjustRightInd w:val="0"/>
                    <w:snapToGrid w:val="0"/>
                    <w:jc w:val="center"/>
                    <w:rPr>
                      <w:kern w:val="0"/>
                      <w:szCs w:val="21"/>
                    </w:rPr>
                  </w:pPr>
                  <w:r>
                    <w:rPr>
                      <w:szCs w:val="21"/>
                    </w:rPr>
                    <w:t>2000</w:t>
                  </w:r>
                </w:p>
              </w:tc>
              <w:tc>
                <w:tcPr>
                  <w:tcW w:w="1396" w:type="dxa"/>
                  <w:vAlign w:val="center"/>
                </w:tcPr>
                <w:p w14:paraId="520AB69D">
                  <w:pPr>
                    <w:widowControl/>
                    <w:adjustRightInd w:val="0"/>
                    <w:snapToGrid w:val="0"/>
                    <w:jc w:val="center"/>
                    <w:rPr>
                      <w:szCs w:val="21"/>
                    </w:rPr>
                  </w:pPr>
                  <w:r>
                    <w:rPr>
                      <w:rFonts w:eastAsia="等线"/>
                      <w:szCs w:val="21"/>
                    </w:rPr>
                    <w:t>0.1200</w:t>
                  </w:r>
                </w:p>
              </w:tc>
            </w:tr>
            <w:tr w14:paraId="520AB6A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restart"/>
                  <w:vAlign w:val="center"/>
                </w:tcPr>
                <w:p w14:paraId="520AB69F">
                  <w:pPr>
                    <w:adjustRightInd w:val="0"/>
                    <w:snapToGrid w:val="0"/>
                    <w:jc w:val="center"/>
                    <w:rPr>
                      <w:kern w:val="0"/>
                      <w:szCs w:val="21"/>
                    </w:rPr>
                  </w:pPr>
                  <w:r>
                    <w:rPr>
                      <w:rFonts w:hint="eastAsia"/>
                      <w:kern w:val="0"/>
                      <w:szCs w:val="21"/>
                    </w:rPr>
                    <w:t>2</w:t>
                  </w:r>
                  <w:r>
                    <w:rPr>
                      <w:kern w:val="0"/>
                      <w:szCs w:val="21"/>
                    </w:rPr>
                    <w:t>025.1.1-5.31</w:t>
                  </w:r>
                  <w:r>
                    <w:rPr>
                      <w:rFonts w:hint="eastAsia"/>
                      <w:kern w:val="0"/>
                      <w:szCs w:val="21"/>
                    </w:rPr>
                    <w:t>在线数据日均值</w:t>
                  </w:r>
                </w:p>
              </w:tc>
              <w:tc>
                <w:tcPr>
                  <w:tcW w:w="749" w:type="dxa"/>
                  <w:vMerge w:val="continue"/>
                  <w:vAlign w:val="center"/>
                </w:tcPr>
                <w:p w14:paraId="520AB6A0">
                  <w:pPr>
                    <w:widowControl/>
                    <w:adjustRightInd w:val="0"/>
                    <w:snapToGrid w:val="0"/>
                    <w:jc w:val="center"/>
                    <w:rPr>
                      <w:kern w:val="0"/>
                      <w:szCs w:val="21"/>
                    </w:rPr>
                  </w:pPr>
                </w:p>
              </w:tc>
              <w:tc>
                <w:tcPr>
                  <w:tcW w:w="1035" w:type="dxa"/>
                  <w:vAlign w:val="center"/>
                </w:tcPr>
                <w:p w14:paraId="520AB6A1">
                  <w:pPr>
                    <w:widowControl/>
                    <w:adjustRightInd w:val="0"/>
                    <w:snapToGrid w:val="0"/>
                    <w:jc w:val="center"/>
                    <w:rPr>
                      <w:kern w:val="0"/>
                      <w:szCs w:val="21"/>
                    </w:rPr>
                  </w:pPr>
                  <w:r>
                    <w:rPr>
                      <w:kern w:val="0"/>
                      <w:szCs w:val="21"/>
                    </w:rPr>
                    <w:t>非甲烷总烃</w:t>
                  </w:r>
                </w:p>
              </w:tc>
              <w:tc>
                <w:tcPr>
                  <w:tcW w:w="1326" w:type="dxa"/>
                  <w:vMerge w:val="continue"/>
                  <w:vAlign w:val="center"/>
                </w:tcPr>
                <w:p w14:paraId="520AB6A2">
                  <w:pPr>
                    <w:widowControl/>
                    <w:adjustRightInd w:val="0"/>
                    <w:snapToGrid w:val="0"/>
                    <w:jc w:val="center"/>
                    <w:rPr>
                      <w:kern w:val="0"/>
                      <w:szCs w:val="21"/>
                    </w:rPr>
                  </w:pPr>
                </w:p>
              </w:tc>
              <w:tc>
                <w:tcPr>
                  <w:tcW w:w="828" w:type="dxa"/>
                  <w:vMerge w:val="restart"/>
                  <w:vAlign w:val="center"/>
                </w:tcPr>
                <w:p w14:paraId="520AB6A3">
                  <w:pPr>
                    <w:widowControl/>
                    <w:adjustRightInd w:val="0"/>
                    <w:snapToGrid w:val="0"/>
                    <w:jc w:val="center"/>
                    <w:rPr>
                      <w:kern w:val="0"/>
                      <w:szCs w:val="21"/>
                    </w:rPr>
                  </w:pPr>
                  <w:r>
                    <w:rPr>
                      <w:kern w:val="0"/>
                      <w:szCs w:val="21"/>
                    </w:rPr>
                    <w:t>/</w:t>
                  </w:r>
                </w:p>
              </w:tc>
              <w:tc>
                <w:tcPr>
                  <w:tcW w:w="1100" w:type="dxa"/>
                  <w:vAlign w:val="center"/>
                </w:tcPr>
                <w:p w14:paraId="520AB6A4">
                  <w:pPr>
                    <w:widowControl/>
                    <w:adjustRightInd w:val="0"/>
                    <w:snapToGrid w:val="0"/>
                    <w:jc w:val="center"/>
                    <w:rPr>
                      <w:kern w:val="0"/>
                      <w:szCs w:val="21"/>
                    </w:rPr>
                  </w:pPr>
                  <w:r>
                    <w:rPr>
                      <w:kern w:val="0"/>
                      <w:szCs w:val="21"/>
                    </w:rPr>
                    <w:t>/</w:t>
                  </w:r>
                </w:p>
              </w:tc>
              <w:tc>
                <w:tcPr>
                  <w:tcW w:w="1085" w:type="dxa"/>
                  <w:vAlign w:val="center"/>
                </w:tcPr>
                <w:p w14:paraId="520AB6A5">
                  <w:pPr>
                    <w:widowControl/>
                    <w:adjustRightInd w:val="0"/>
                    <w:snapToGrid w:val="0"/>
                    <w:jc w:val="center"/>
                    <w:rPr>
                      <w:kern w:val="0"/>
                      <w:szCs w:val="21"/>
                    </w:rPr>
                  </w:pPr>
                  <w:r>
                    <w:rPr>
                      <w:kern w:val="0"/>
                      <w:szCs w:val="21"/>
                    </w:rPr>
                    <w:t>/</w:t>
                  </w:r>
                </w:p>
              </w:tc>
              <w:tc>
                <w:tcPr>
                  <w:tcW w:w="827" w:type="dxa"/>
                  <w:vMerge w:val="restart"/>
                  <w:vAlign w:val="center"/>
                </w:tcPr>
                <w:p w14:paraId="520AB6A6">
                  <w:pPr>
                    <w:widowControl/>
                    <w:adjustRightInd w:val="0"/>
                    <w:snapToGrid w:val="0"/>
                    <w:jc w:val="center"/>
                    <w:rPr>
                      <w:kern w:val="0"/>
                      <w:szCs w:val="21"/>
                    </w:rPr>
                  </w:pPr>
                  <w:r>
                    <w:rPr>
                      <w:rFonts w:hint="eastAsia"/>
                      <w:szCs w:val="21"/>
                    </w:rPr>
                    <w:t>14284</w:t>
                  </w:r>
                </w:p>
              </w:tc>
              <w:tc>
                <w:tcPr>
                  <w:tcW w:w="1100" w:type="dxa"/>
                  <w:vAlign w:val="center"/>
                </w:tcPr>
                <w:p w14:paraId="520AB6A7">
                  <w:pPr>
                    <w:widowControl/>
                    <w:adjustRightInd w:val="0"/>
                    <w:snapToGrid w:val="0"/>
                    <w:jc w:val="center"/>
                    <w:rPr>
                      <w:kern w:val="0"/>
                      <w:szCs w:val="21"/>
                    </w:rPr>
                  </w:pPr>
                  <w:r>
                    <w:rPr>
                      <w:rFonts w:eastAsia="等线"/>
                      <w:szCs w:val="21"/>
                    </w:rPr>
                    <w:t>1.994</w:t>
                  </w:r>
                </w:p>
              </w:tc>
              <w:tc>
                <w:tcPr>
                  <w:tcW w:w="1116" w:type="dxa"/>
                  <w:vAlign w:val="center"/>
                </w:tcPr>
                <w:p w14:paraId="520AB6A8">
                  <w:pPr>
                    <w:widowControl/>
                    <w:adjustRightInd w:val="0"/>
                    <w:snapToGrid w:val="0"/>
                    <w:jc w:val="center"/>
                    <w:rPr>
                      <w:kern w:val="0"/>
                      <w:szCs w:val="21"/>
                    </w:rPr>
                  </w:pPr>
                  <w:r>
                    <w:rPr>
                      <w:rFonts w:eastAsia="等线"/>
                      <w:szCs w:val="21"/>
                    </w:rPr>
                    <w:t>0.0285</w:t>
                  </w:r>
                </w:p>
              </w:tc>
              <w:tc>
                <w:tcPr>
                  <w:tcW w:w="943" w:type="dxa"/>
                  <w:vAlign w:val="center"/>
                </w:tcPr>
                <w:p w14:paraId="520AB6A9">
                  <w:pPr>
                    <w:widowControl/>
                    <w:adjustRightInd w:val="0"/>
                    <w:snapToGrid w:val="0"/>
                    <w:jc w:val="center"/>
                    <w:rPr>
                      <w:kern w:val="0"/>
                      <w:szCs w:val="21"/>
                    </w:rPr>
                  </w:pPr>
                  <w:r>
                    <w:rPr>
                      <w:szCs w:val="21"/>
                    </w:rPr>
                    <w:t>2000</w:t>
                  </w:r>
                </w:p>
              </w:tc>
              <w:tc>
                <w:tcPr>
                  <w:tcW w:w="1396" w:type="dxa"/>
                  <w:vAlign w:val="center"/>
                </w:tcPr>
                <w:p w14:paraId="520AB6AA">
                  <w:pPr>
                    <w:widowControl/>
                    <w:adjustRightInd w:val="0"/>
                    <w:snapToGrid w:val="0"/>
                    <w:jc w:val="center"/>
                    <w:rPr>
                      <w:szCs w:val="21"/>
                    </w:rPr>
                  </w:pPr>
                  <w:r>
                    <w:rPr>
                      <w:rFonts w:eastAsia="等线"/>
                      <w:sz w:val="22"/>
                      <w:szCs w:val="22"/>
                    </w:rPr>
                    <w:t>0.1629</w:t>
                  </w:r>
                </w:p>
              </w:tc>
            </w:tr>
            <w:tr w14:paraId="520AB6B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AC">
                  <w:pPr>
                    <w:adjustRightInd w:val="0"/>
                    <w:snapToGrid w:val="0"/>
                    <w:jc w:val="center"/>
                    <w:rPr>
                      <w:kern w:val="0"/>
                      <w:szCs w:val="21"/>
                    </w:rPr>
                  </w:pPr>
                </w:p>
              </w:tc>
              <w:tc>
                <w:tcPr>
                  <w:tcW w:w="749" w:type="dxa"/>
                  <w:vMerge w:val="continue"/>
                  <w:vAlign w:val="center"/>
                </w:tcPr>
                <w:p w14:paraId="520AB6AD">
                  <w:pPr>
                    <w:widowControl/>
                    <w:adjustRightInd w:val="0"/>
                    <w:snapToGrid w:val="0"/>
                    <w:jc w:val="center"/>
                    <w:rPr>
                      <w:kern w:val="0"/>
                      <w:szCs w:val="21"/>
                    </w:rPr>
                  </w:pPr>
                </w:p>
              </w:tc>
              <w:tc>
                <w:tcPr>
                  <w:tcW w:w="1035" w:type="dxa"/>
                  <w:vAlign w:val="center"/>
                </w:tcPr>
                <w:p w14:paraId="520AB6AE">
                  <w:pPr>
                    <w:widowControl/>
                    <w:adjustRightInd w:val="0"/>
                    <w:snapToGrid w:val="0"/>
                    <w:jc w:val="center"/>
                    <w:rPr>
                      <w:kern w:val="0"/>
                      <w:szCs w:val="21"/>
                    </w:rPr>
                  </w:pPr>
                  <w:r>
                    <w:rPr>
                      <w:kern w:val="0"/>
                      <w:szCs w:val="21"/>
                    </w:rPr>
                    <w:t>苯</w:t>
                  </w:r>
                </w:p>
              </w:tc>
              <w:tc>
                <w:tcPr>
                  <w:tcW w:w="1326" w:type="dxa"/>
                  <w:vMerge w:val="continue"/>
                  <w:vAlign w:val="center"/>
                </w:tcPr>
                <w:p w14:paraId="520AB6AF">
                  <w:pPr>
                    <w:widowControl/>
                    <w:adjustRightInd w:val="0"/>
                    <w:snapToGrid w:val="0"/>
                    <w:jc w:val="center"/>
                    <w:rPr>
                      <w:kern w:val="0"/>
                      <w:szCs w:val="21"/>
                    </w:rPr>
                  </w:pPr>
                </w:p>
              </w:tc>
              <w:tc>
                <w:tcPr>
                  <w:tcW w:w="828" w:type="dxa"/>
                  <w:vMerge w:val="continue"/>
                  <w:vAlign w:val="center"/>
                </w:tcPr>
                <w:p w14:paraId="520AB6B0">
                  <w:pPr>
                    <w:widowControl/>
                    <w:adjustRightInd w:val="0"/>
                    <w:snapToGrid w:val="0"/>
                    <w:jc w:val="center"/>
                    <w:rPr>
                      <w:kern w:val="0"/>
                      <w:szCs w:val="21"/>
                    </w:rPr>
                  </w:pPr>
                </w:p>
              </w:tc>
              <w:tc>
                <w:tcPr>
                  <w:tcW w:w="1100" w:type="dxa"/>
                  <w:vAlign w:val="center"/>
                </w:tcPr>
                <w:p w14:paraId="520AB6B1">
                  <w:pPr>
                    <w:widowControl/>
                    <w:adjustRightInd w:val="0"/>
                    <w:snapToGrid w:val="0"/>
                    <w:jc w:val="center"/>
                    <w:rPr>
                      <w:kern w:val="0"/>
                      <w:szCs w:val="21"/>
                    </w:rPr>
                  </w:pPr>
                  <w:r>
                    <w:rPr>
                      <w:kern w:val="0"/>
                      <w:szCs w:val="21"/>
                    </w:rPr>
                    <w:t>/</w:t>
                  </w:r>
                </w:p>
              </w:tc>
              <w:tc>
                <w:tcPr>
                  <w:tcW w:w="1085" w:type="dxa"/>
                  <w:vAlign w:val="center"/>
                </w:tcPr>
                <w:p w14:paraId="520AB6B2">
                  <w:pPr>
                    <w:widowControl/>
                    <w:adjustRightInd w:val="0"/>
                    <w:snapToGrid w:val="0"/>
                    <w:jc w:val="center"/>
                    <w:rPr>
                      <w:kern w:val="0"/>
                      <w:szCs w:val="21"/>
                    </w:rPr>
                  </w:pPr>
                  <w:r>
                    <w:rPr>
                      <w:kern w:val="0"/>
                      <w:szCs w:val="21"/>
                    </w:rPr>
                    <w:t>/</w:t>
                  </w:r>
                </w:p>
              </w:tc>
              <w:tc>
                <w:tcPr>
                  <w:tcW w:w="827" w:type="dxa"/>
                  <w:vMerge w:val="continue"/>
                  <w:vAlign w:val="center"/>
                </w:tcPr>
                <w:p w14:paraId="520AB6B3">
                  <w:pPr>
                    <w:widowControl/>
                    <w:adjustRightInd w:val="0"/>
                    <w:snapToGrid w:val="0"/>
                    <w:jc w:val="center"/>
                    <w:rPr>
                      <w:kern w:val="0"/>
                      <w:szCs w:val="21"/>
                    </w:rPr>
                  </w:pPr>
                </w:p>
              </w:tc>
              <w:tc>
                <w:tcPr>
                  <w:tcW w:w="1100" w:type="dxa"/>
                  <w:vAlign w:val="center"/>
                </w:tcPr>
                <w:p w14:paraId="520AB6B4">
                  <w:pPr>
                    <w:widowControl/>
                    <w:adjustRightInd w:val="0"/>
                    <w:snapToGrid w:val="0"/>
                    <w:jc w:val="center"/>
                    <w:rPr>
                      <w:kern w:val="0"/>
                      <w:szCs w:val="21"/>
                    </w:rPr>
                  </w:pPr>
                  <w:r>
                    <w:rPr>
                      <w:rFonts w:eastAsia="等线"/>
                      <w:szCs w:val="21"/>
                    </w:rPr>
                    <w:t>0.194</w:t>
                  </w:r>
                </w:p>
              </w:tc>
              <w:tc>
                <w:tcPr>
                  <w:tcW w:w="1116" w:type="dxa"/>
                  <w:vAlign w:val="center"/>
                </w:tcPr>
                <w:p w14:paraId="520AB6B5">
                  <w:pPr>
                    <w:widowControl/>
                    <w:adjustRightInd w:val="0"/>
                    <w:snapToGrid w:val="0"/>
                    <w:jc w:val="center"/>
                    <w:rPr>
                      <w:kern w:val="0"/>
                      <w:szCs w:val="21"/>
                    </w:rPr>
                  </w:pPr>
                  <w:r>
                    <w:rPr>
                      <w:rFonts w:eastAsia="等线"/>
                      <w:szCs w:val="21"/>
                    </w:rPr>
                    <w:t>0.0028</w:t>
                  </w:r>
                </w:p>
              </w:tc>
              <w:tc>
                <w:tcPr>
                  <w:tcW w:w="943" w:type="dxa"/>
                  <w:vAlign w:val="center"/>
                </w:tcPr>
                <w:p w14:paraId="520AB6B6">
                  <w:pPr>
                    <w:widowControl/>
                    <w:adjustRightInd w:val="0"/>
                    <w:snapToGrid w:val="0"/>
                    <w:jc w:val="center"/>
                    <w:rPr>
                      <w:kern w:val="0"/>
                      <w:szCs w:val="21"/>
                    </w:rPr>
                  </w:pPr>
                  <w:r>
                    <w:rPr>
                      <w:szCs w:val="21"/>
                    </w:rPr>
                    <w:t>2000</w:t>
                  </w:r>
                </w:p>
              </w:tc>
              <w:tc>
                <w:tcPr>
                  <w:tcW w:w="1396" w:type="dxa"/>
                  <w:vAlign w:val="center"/>
                </w:tcPr>
                <w:p w14:paraId="520AB6B7">
                  <w:pPr>
                    <w:widowControl/>
                    <w:adjustRightInd w:val="0"/>
                    <w:snapToGrid w:val="0"/>
                    <w:jc w:val="center"/>
                    <w:rPr>
                      <w:szCs w:val="21"/>
                    </w:rPr>
                  </w:pPr>
                  <w:r>
                    <w:rPr>
                      <w:rFonts w:eastAsia="等线"/>
                      <w:sz w:val="22"/>
                      <w:szCs w:val="22"/>
                    </w:rPr>
                    <w:t>0.0160</w:t>
                  </w:r>
                </w:p>
              </w:tc>
            </w:tr>
            <w:tr w14:paraId="520AB6C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B9">
                  <w:pPr>
                    <w:adjustRightInd w:val="0"/>
                    <w:snapToGrid w:val="0"/>
                    <w:jc w:val="center"/>
                    <w:rPr>
                      <w:kern w:val="0"/>
                      <w:szCs w:val="21"/>
                    </w:rPr>
                  </w:pPr>
                </w:p>
              </w:tc>
              <w:tc>
                <w:tcPr>
                  <w:tcW w:w="749" w:type="dxa"/>
                  <w:vMerge w:val="continue"/>
                  <w:vAlign w:val="center"/>
                </w:tcPr>
                <w:p w14:paraId="520AB6BA">
                  <w:pPr>
                    <w:widowControl/>
                    <w:adjustRightInd w:val="0"/>
                    <w:snapToGrid w:val="0"/>
                    <w:jc w:val="center"/>
                    <w:rPr>
                      <w:kern w:val="0"/>
                      <w:szCs w:val="21"/>
                    </w:rPr>
                  </w:pPr>
                </w:p>
              </w:tc>
              <w:tc>
                <w:tcPr>
                  <w:tcW w:w="1035" w:type="dxa"/>
                  <w:vAlign w:val="center"/>
                </w:tcPr>
                <w:p w14:paraId="520AB6BB">
                  <w:pPr>
                    <w:widowControl/>
                    <w:adjustRightInd w:val="0"/>
                    <w:snapToGrid w:val="0"/>
                    <w:jc w:val="center"/>
                    <w:rPr>
                      <w:kern w:val="0"/>
                      <w:szCs w:val="21"/>
                    </w:rPr>
                  </w:pPr>
                  <w:r>
                    <w:rPr>
                      <w:kern w:val="0"/>
                      <w:szCs w:val="21"/>
                    </w:rPr>
                    <w:t>甲苯</w:t>
                  </w:r>
                </w:p>
              </w:tc>
              <w:tc>
                <w:tcPr>
                  <w:tcW w:w="1326" w:type="dxa"/>
                  <w:vMerge w:val="continue"/>
                  <w:vAlign w:val="center"/>
                </w:tcPr>
                <w:p w14:paraId="520AB6BC">
                  <w:pPr>
                    <w:widowControl/>
                    <w:adjustRightInd w:val="0"/>
                    <w:snapToGrid w:val="0"/>
                    <w:jc w:val="center"/>
                    <w:rPr>
                      <w:kern w:val="0"/>
                      <w:szCs w:val="21"/>
                    </w:rPr>
                  </w:pPr>
                </w:p>
              </w:tc>
              <w:tc>
                <w:tcPr>
                  <w:tcW w:w="828" w:type="dxa"/>
                  <w:vMerge w:val="continue"/>
                  <w:vAlign w:val="center"/>
                </w:tcPr>
                <w:p w14:paraId="520AB6BD">
                  <w:pPr>
                    <w:widowControl/>
                    <w:adjustRightInd w:val="0"/>
                    <w:snapToGrid w:val="0"/>
                    <w:jc w:val="center"/>
                    <w:rPr>
                      <w:kern w:val="0"/>
                      <w:szCs w:val="21"/>
                    </w:rPr>
                  </w:pPr>
                </w:p>
              </w:tc>
              <w:tc>
                <w:tcPr>
                  <w:tcW w:w="1100" w:type="dxa"/>
                  <w:vAlign w:val="center"/>
                </w:tcPr>
                <w:p w14:paraId="520AB6BE">
                  <w:pPr>
                    <w:widowControl/>
                    <w:adjustRightInd w:val="0"/>
                    <w:snapToGrid w:val="0"/>
                    <w:jc w:val="center"/>
                    <w:rPr>
                      <w:kern w:val="0"/>
                      <w:szCs w:val="21"/>
                    </w:rPr>
                  </w:pPr>
                  <w:r>
                    <w:rPr>
                      <w:kern w:val="0"/>
                      <w:szCs w:val="21"/>
                    </w:rPr>
                    <w:t>/</w:t>
                  </w:r>
                </w:p>
              </w:tc>
              <w:tc>
                <w:tcPr>
                  <w:tcW w:w="1085" w:type="dxa"/>
                  <w:vAlign w:val="center"/>
                </w:tcPr>
                <w:p w14:paraId="520AB6BF">
                  <w:pPr>
                    <w:widowControl/>
                    <w:adjustRightInd w:val="0"/>
                    <w:snapToGrid w:val="0"/>
                    <w:jc w:val="center"/>
                    <w:rPr>
                      <w:kern w:val="0"/>
                      <w:szCs w:val="21"/>
                    </w:rPr>
                  </w:pPr>
                  <w:r>
                    <w:rPr>
                      <w:kern w:val="0"/>
                      <w:szCs w:val="21"/>
                    </w:rPr>
                    <w:t>/</w:t>
                  </w:r>
                </w:p>
              </w:tc>
              <w:tc>
                <w:tcPr>
                  <w:tcW w:w="827" w:type="dxa"/>
                  <w:vMerge w:val="continue"/>
                  <w:vAlign w:val="center"/>
                </w:tcPr>
                <w:p w14:paraId="520AB6C0">
                  <w:pPr>
                    <w:widowControl/>
                    <w:adjustRightInd w:val="0"/>
                    <w:snapToGrid w:val="0"/>
                    <w:jc w:val="center"/>
                    <w:rPr>
                      <w:kern w:val="0"/>
                      <w:szCs w:val="21"/>
                    </w:rPr>
                  </w:pPr>
                </w:p>
              </w:tc>
              <w:tc>
                <w:tcPr>
                  <w:tcW w:w="1100" w:type="dxa"/>
                  <w:vAlign w:val="center"/>
                </w:tcPr>
                <w:p w14:paraId="520AB6C1">
                  <w:pPr>
                    <w:widowControl/>
                    <w:adjustRightInd w:val="0"/>
                    <w:snapToGrid w:val="0"/>
                    <w:jc w:val="center"/>
                    <w:rPr>
                      <w:kern w:val="0"/>
                      <w:szCs w:val="21"/>
                    </w:rPr>
                  </w:pPr>
                  <w:r>
                    <w:rPr>
                      <w:rFonts w:eastAsia="等线"/>
                      <w:szCs w:val="21"/>
                    </w:rPr>
                    <w:t>0.387</w:t>
                  </w:r>
                </w:p>
              </w:tc>
              <w:tc>
                <w:tcPr>
                  <w:tcW w:w="1116" w:type="dxa"/>
                  <w:vAlign w:val="center"/>
                </w:tcPr>
                <w:p w14:paraId="520AB6C2">
                  <w:pPr>
                    <w:widowControl/>
                    <w:adjustRightInd w:val="0"/>
                    <w:snapToGrid w:val="0"/>
                    <w:jc w:val="center"/>
                    <w:rPr>
                      <w:kern w:val="0"/>
                      <w:szCs w:val="21"/>
                    </w:rPr>
                  </w:pPr>
                  <w:r>
                    <w:rPr>
                      <w:rFonts w:eastAsia="等线"/>
                      <w:szCs w:val="21"/>
                    </w:rPr>
                    <w:t>0.0055</w:t>
                  </w:r>
                </w:p>
              </w:tc>
              <w:tc>
                <w:tcPr>
                  <w:tcW w:w="943" w:type="dxa"/>
                  <w:vAlign w:val="center"/>
                </w:tcPr>
                <w:p w14:paraId="520AB6C3">
                  <w:pPr>
                    <w:widowControl/>
                    <w:adjustRightInd w:val="0"/>
                    <w:snapToGrid w:val="0"/>
                    <w:jc w:val="center"/>
                    <w:rPr>
                      <w:kern w:val="0"/>
                      <w:szCs w:val="21"/>
                    </w:rPr>
                  </w:pPr>
                  <w:r>
                    <w:rPr>
                      <w:szCs w:val="21"/>
                    </w:rPr>
                    <w:t>2000</w:t>
                  </w:r>
                </w:p>
              </w:tc>
              <w:tc>
                <w:tcPr>
                  <w:tcW w:w="1396" w:type="dxa"/>
                  <w:vAlign w:val="center"/>
                </w:tcPr>
                <w:p w14:paraId="520AB6C4">
                  <w:pPr>
                    <w:widowControl/>
                    <w:adjustRightInd w:val="0"/>
                    <w:snapToGrid w:val="0"/>
                    <w:jc w:val="center"/>
                    <w:rPr>
                      <w:szCs w:val="21"/>
                    </w:rPr>
                  </w:pPr>
                  <w:r>
                    <w:rPr>
                      <w:rFonts w:eastAsia="等线"/>
                      <w:sz w:val="22"/>
                      <w:szCs w:val="22"/>
                    </w:rPr>
                    <w:t>0.0314</w:t>
                  </w:r>
                </w:p>
              </w:tc>
            </w:tr>
            <w:tr w14:paraId="520AB6D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C6">
                  <w:pPr>
                    <w:adjustRightInd w:val="0"/>
                    <w:snapToGrid w:val="0"/>
                    <w:jc w:val="center"/>
                    <w:rPr>
                      <w:kern w:val="0"/>
                      <w:szCs w:val="21"/>
                    </w:rPr>
                  </w:pPr>
                </w:p>
              </w:tc>
              <w:tc>
                <w:tcPr>
                  <w:tcW w:w="749" w:type="dxa"/>
                  <w:vMerge w:val="continue"/>
                  <w:vAlign w:val="center"/>
                </w:tcPr>
                <w:p w14:paraId="520AB6C7">
                  <w:pPr>
                    <w:widowControl/>
                    <w:adjustRightInd w:val="0"/>
                    <w:snapToGrid w:val="0"/>
                    <w:jc w:val="center"/>
                    <w:rPr>
                      <w:kern w:val="0"/>
                      <w:szCs w:val="21"/>
                    </w:rPr>
                  </w:pPr>
                </w:p>
              </w:tc>
              <w:tc>
                <w:tcPr>
                  <w:tcW w:w="1035" w:type="dxa"/>
                  <w:vAlign w:val="center"/>
                </w:tcPr>
                <w:p w14:paraId="520AB6C8">
                  <w:pPr>
                    <w:widowControl/>
                    <w:adjustRightInd w:val="0"/>
                    <w:snapToGrid w:val="0"/>
                    <w:jc w:val="center"/>
                    <w:rPr>
                      <w:kern w:val="0"/>
                      <w:szCs w:val="21"/>
                    </w:rPr>
                  </w:pPr>
                  <w:r>
                    <w:rPr>
                      <w:kern w:val="0"/>
                      <w:szCs w:val="21"/>
                    </w:rPr>
                    <w:t>二甲苯</w:t>
                  </w:r>
                </w:p>
              </w:tc>
              <w:tc>
                <w:tcPr>
                  <w:tcW w:w="1326" w:type="dxa"/>
                  <w:vMerge w:val="continue"/>
                  <w:vAlign w:val="center"/>
                </w:tcPr>
                <w:p w14:paraId="520AB6C9">
                  <w:pPr>
                    <w:widowControl/>
                    <w:adjustRightInd w:val="0"/>
                    <w:snapToGrid w:val="0"/>
                    <w:jc w:val="center"/>
                    <w:rPr>
                      <w:kern w:val="0"/>
                      <w:szCs w:val="21"/>
                    </w:rPr>
                  </w:pPr>
                </w:p>
              </w:tc>
              <w:tc>
                <w:tcPr>
                  <w:tcW w:w="828" w:type="dxa"/>
                  <w:vMerge w:val="continue"/>
                  <w:vAlign w:val="center"/>
                </w:tcPr>
                <w:p w14:paraId="520AB6CA">
                  <w:pPr>
                    <w:widowControl/>
                    <w:adjustRightInd w:val="0"/>
                    <w:snapToGrid w:val="0"/>
                    <w:jc w:val="center"/>
                    <w:rPr>
                      <w:kern w:val="0"/>
                      <w:szCs w:val="21"/>
                    </w:rPr>
                  </w:pPr>
                </w:p>
              </w:tc>
              <w:tc>
                <w:tcPr>
                  <w:tcW w:w="1100" w:type="dxa"/>
                  <w:vAlign w:val="center"/>
                </w:tcPr>
                <w:p w14:paraId="520AB6CB">
                  <w:pPr>
                    <w:widowControl/>
                    <w:adjustRightInd w:val="0"/>
                    <w:snapToGrid w:val="0"/>
                    <w:jc w:val="center"/>
                    <w:rPr>
                      <w:kern w:val="0"/>
                      <w:szCs w:val="21"/>
                    </w:rPr>
                  </w:pPr>
                  <w:r>
                    <w:rPr>
                      <w:kern w:val="0"/>
                      <w:szCs w:val="21"/>
                    </w:rPr>
                    <w:t>/</w:t>
                  </w:r>
                </w:p>
              </w:tc>
              <w:tc>
                <w:tcPr>
                  <w:tcW w:w="1085" w:type="dxa"/>
                  <w:vAlign w:val="center"/>
                </w:tcPr>
                <w:p w14:paraId="520AB6CC">
                  <w:pPr>
                    <w:widowControl/>
                    <w:adjustRightInd w:val="0"/>
                    <w:snapToGrid w:val="0"/>
                    <w:jc w:val="center"/>
                    <w:rPr>
                      <w:kern w:val="0"/>
                      <w:szCs w:val="21"/>
                    </w:rPr>
                  </w:pPr>
                  <w:r>
                    <w:rPr>
                      <w:kern w:val="0"/>
                      <w:szCs w:val="21"/>
                    </w:rPr>
                    <w:t>/</w:t>
                  </w:r>
                </w:p>
              </w:tc>
              <w:tc>
                <w:tcPr>
                  <w:tcW w:w="827" w:type="dxa"/>
                  <w:vMerge w:val="continue"/>
                  <w:vAlign w:val="center"/>
                </w:tcPr>
                <w:p w14:paraId="520AB6CD">
                  <w:pPr>
                    <w:widowControl/>
                    <w:adjustRightInd w:val="0"/>
                    <w:snapToGrid w:val="0"/>
                    <w:jc w:val="center"/>
                    <w:rPr>
                      <w:kern w:val="0"/>
                      <w:szCs w:val="21"/>
                    </w:rPr>
                  </w:pPr>
                </w:p>
              </w:tc>
              <w:tc>
                <w:tcPr>
                  <w:tcW w:w="1100" w:type="dxa"/>
                  <w:vAlign w:val="center"/>
                </w:tcPr>
                <w:p w14:paraId="520AB6CE">
                  <w:pPr>
                    <w:widowControl/>
                    <w:adjustRightInd w:val="0"/>
                    <w:snapToGrid w:val="0"/>
                    <w:jc w:val="center"/>
                    <w:rPr>
                      <w:kern w:val="0"/>
                      <w:szCs w:val="21"/>
                    </w:rPr>
                  </w:pPr>
                  <w:r>
                    <w:rPr>
                      <w:rFonts w:eastAsia="等线"/>
                      <w:szCs w:val="21"/>
                    </w:rPr>
                    <w:t>0.642</w:t>
                  </w:r>
                </w:p>
              </w:tc>
              <w:tc>
                <w:tcPr>
                  <w:tcW w:w="1116" w:type="dxa"/>
                  <w:vAlign w:val="center"/>
                </w:tcPr>
                <w:p w14:paraId="520AB6CF">
                  <w:pPr>
                    <w:widowControl/>
                    <w:adjustRightInd w:val="0"/>
                    <w:snapToGrid w:val="0"/>
                    <w:jc w:val="center"/>
                    <w:rPr>
                      <w:kern w:val="0"/>
                      <w:szCs w:val="21"/>
                    </w:rPr>
                  </w:pPr>
                  <w:r>
                    <w:rPr>
                      <w:rFonts w:eastAsia="等线"/>
                      <w:szCs w:val="21"/>
                    </w:rPr>
                    <w:t>0.0092</w:t>
                  </w:r>
                </w:p>
              </w:tc>
              <w:tc>
                <w:tcPr>
                  <w:tcW w:w="943" w:type="dxa"/>
                  <w:vAlign w:val="center"/>
                </w:tcPr>
                <w:p w14:paraId="520AB6D0">
                  <w:pPr>
                    <w:widowControl/>
                    <w:adjustRightInd w:val="0"/>
                    <w:snapToGrid w:val="0"/>
                    <w:jc w:val="center"/>
                    <w:rPr>
                      <w:kern w:val="0"/>
                      <w:szCs w:val="21"/>
                    </w:rPr>
                  </w:pPr>
                  <w:r>
                    <w:rPr>
                      <w:szCs w:val="21"/>
                    </w:rPr>
                    <w:t>2000</w:t>
                  </w:r>
                </w:p>
              </w:tc>
              <w:tc>
                <w:tcPr>
                  <w:tcW w:w="1396" w:type="dxa"/>
                  <w:vAlign w:val="center"/>
                </w:tcPr>
                <w:p w14:paraId="520AB6D1">
                  <w:pPr>
                    <w:widowControl/>
                    <w:adjustRightInd w:val="0"/>
                    <w:snapToGrid w:val="0"/>
                    <w:jc w:val="center"/>
                    <w:rPr>
                      <w:szCs w:val="21"/>
                    </w:rPr>
                  </w:pPr>
                  <w:r>
                    <w:rPr>
                      <w:rFonts w:eastAsia="等线"/>
                      <w:sz w:val="22"/>
                      <w:szCs w:val="22"/>
                    </w:rPr>
                    <w:t>0.0526</w:t>
                  </w:r>
                </w:p>
              </w:tc>
            </w:tr>
            <w:tr w14:paraId="520AB6D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Align w:val="center"/>
                </w:tcPr>
                <w:p w14:paraId="520AB6D3">
                  <w:pPr>
                    <w:adjustRightInd w:val="0"/>
                    <w:snapToGrid w:val="0"/>
                    <w:jc w:val="center"/>
                    <w:rPr>
                      <w:kern w:val="0"/>
                      <w:szCs w:val="21"/>
                    </w:rPr>
                  </w:pPr>
                  <w:r>
                    <w:rPr>
                      <w:rFonts w:hint="eastAsia"/>
                      <w:kern w:val="0"/>
                      <w:szCs w:val="21"/>
                    </w:rPr>
                    <w:t>2</w:t>
                  </w:r>
                  <w:r>
                    <w:rPr>
                      <w:kern w:val="0"/>
                      <w:szCs w:val="21"/>
                    </w:rPr>
                    <w:t>025.4.28</w:t>
                  </w:r>
                </w:p>
              </w:tc>
              <w:tc>
                <w:tcPr>
                  <w:tcW w:w="749" w:type="dxa"/>
                  <w:vAlign w:val="center"/>
                </w:tcPr>
                <w:p w14:paraId="520AB6D4">
                  <w:pPr>
                    <w:widowControl/>
                    <w:adjustRightInd w:val="0"/>
                    <w:snapToGrid w:val="0"/>
                    <w:jc w:val="center"/>
                    <w:rPr>
                      <w:kern w:val="0"/>
                      <w:szCs w:val="21"/>
                    </w:rPr>
                  </w:pPr>
                  <w:r>
                    <w:rPr>
                      <w:kern w:val="0"/>
                      <w:szCs w:val="21"/>
                    </w:rPr>
                    <w:t>DA01</w:t>
                  </w:r>
                  <w:r>
                    <w:rPr>
                      <w:rFonts w:hint="eastAsia"/>
                      <w:kern w:val="0"/>
                      <w:szCs w:val="21"/>
                    </w:rPr>
                    <w:t>2</w:t>
                  </w:r>
                </w:p>
              </w:tc>
              <w:tc>
                <w:tcPr>
                  <w:tcW w:w="1035" w:type="dxa"/>
                  <w:vAlign w:val="center"/>
                </w:tcPr>
                <w:p w14:paraId="520AB6D5">
                  <w:pPr>
                    <w:widowControl/>
                    <w:adjustRightInd w:val="0"/>
                    <w:snapToGrid w:val="0"/>
                    <w:jc w:val="center"/>
                    <w:rPr>
                      <w:kern w:val="0"/>
                      <w:szCs w:val="21"/>
                    </w:rPr>
                  </w:pPr>
                  <w:r>
                    <w:rPr>
                      <w:kern w:val="0"/>
                      <w:szCs w:val="21"/>
                    </w:rPr>
                    <w:t>非甲烷总烃</w:t>
                  </w:r>
                </w:p>
              </w:tc>
              <w:tc>
                <w:tcPr>
                  <w:tcW w:w="1326" w:type="dxa"/>
                  <w:vAlign w:val="center"/>
                </w:tcPr>
                <w:p w14:paraId="520AB6D6">
                  <w:pPr>
                    <w:widowControl/>
                    <w:adjustRightInd w:val="0"/>
                    <w:snapToGrid w:val="0"/>
                    <w:jc w:val="center"/>
                    <w:rPr>
                      <w:kern w:val="0"/>
                      <w:szCs w:val="21"/>
                    </w:rPr>
                  </w:pPr>
                  <w:r>
                    <w:rPr>
                      <w:rFonts w:hint="eastAsia"/>
                      <w:kern w:val="0"/>
                      <w:szCs w:val="21"/>
                    </w:rPr>
                    <w:t>表面</w:t>
                  </w:r>
                  <w:r>
                    <w:rPr>
                      <w:kern w:val="0"/>
                      <w:szCs w:val="21"/>
                    </w:rPr>
                    <w:t>热处理</w:t>
                  </w:r>
                  <w:r>
                    <w:rPr>
                      <w:rFonts w:hint="eastAsia"/>
                      <w:kern w:val="0"/>
                      <w:szCs w:val="21"/>
                    </w:rPr>
                    <w:t>101#厂房</w:t>
                  </w:r>
                </w:p>
              </w:tc>
              <w:tc>
                <w:tcPr>
                  <w:tcW w:w="828" w:type="dxa"/>
                  <w:vAlign w:val="center"/>
                </w:tcPr>
                <w:p w14:paraId="520AB6D7">
                  <w:pPr>
                    <w:widowControl/>
                    <w:adjustRightInd w:val="0"/>
                    <w:snapToGrid w:val="0"/>
                    <w:jc w:val="center"/>
                    <w:rPr>
                      <w:kern w:val="0"/>
                      <w:szCs w:val="21"/>
                    </w:rPr>
                  </w:pPr>
                  <w:r>
                    <w:rPr>
                      <w:rFonts w:eastAsia="等线"/>
                      <w:szCs w:val="21"/>
                    </w:rPr>
                    <w:t>12200</w:t>
                  </w:r>
                </w:p>
              </w:tc>
              <w:tc>
                <w:tcPr>
                  <w:tcW w:w="1100" w:type="dxa"/>
                  <w:vAlign w:val="center"/>
                </w:tcPr>
                <w:p w14:paraId="520AB6D8">
                  <w:pPr>
                    <w:widowControl/>
                    <w:adjustRightInd w:val="0"/>
                    <w:snapToGrid w:val="0"/>
                    <w:jc w:val="center"/>
                    <w:rPr>
                      <w:kern w:val="0"/>
                      <w:szCs w:val="21"/>
                    </w:rPr>
                  </w:pPr>
                  <w:r>
                    <w:rPr>
                      <w:rFonts w:eastAsia="等线"/>
                      <w:szCs w:val="21"/>
                    </w:rPr>
                    <w:t>33.1</w:t>
                  </w:r>
                </w:p>
              </w:tc>
              <w:tc>
                <w:tcPr>
                  <w:tcW w:w="1085" w:type="dxa"/>
                  <w:vAlign w:val="center"/>
                </w:tcPr>
                <w:p w14:paraId="520AB6D9">
                  <w:pPr>
                    <w:widowControl/>
                    <w:adjustRightInd w:val="0"/>
                    <w:snapToGrid w:val="0"/>
                    <w:jc w:val="center"/>
                    <w:rPr>
                      <w:kern w:val="0"/>
                      <w:szCs w:val="21"/>
                    </w:rPr>
                  </w:pPr>
                  <w:r>
                    <w:rPr>
                      <w:rFonts w:eastAsia="等线"/>
                      <w:szCs w:val="21"/>
                    </w:rPr>
                    <w:t>0.405</w:t>
                  </w:r>
                </w:p>
              </w:tc>
              <w:tc>
                <w:tcPr>
                  <w:tcW w:w="827" w:type="dxa"/>
                  <w:vAlign w:val="center"/>
                </w:tcPr>
                <w:p w14:paraId="520AB6DA">
                  <w:pPr>
                    <w:widowControl/>
                    <w:adjustRightInd w:val="0"/>
                    <w:snapToGrid w:val="0"/>
                    <w:jc w:val="center"/>
                    <w:rPr>
                      <w:kern w:val="0"/>
                      <w:szCs w:val="21"/>
                    </w:rPr>
                  </w:pPr>
                  <w:r>
                    <w:rPr>
                      <w:rFonts w:eastAsia="等线"/>
                      <w:szCs w:val="21"/>
                    </w:rPr>
                    <w:t>15600</w:t>
                  </w:r>
                </w:p>
              </w:tc>
              <w:tc>
                <w:tcPr>
                  <w:tcW w:w="1100" w:type="dxa"/>
                  <w:vAlign w:val="center"/>
                </w:tcPr>
                <w:p w14:paraId="520AB6DB">
                  <w:pPr>
                    <w:widowControl/>
                    <w:adjustRightInd w:val="0"/>
                    <w:snapToGrid w:val="0"/>
                    <w:jc w:val="center"/>
                    <w:rPr>
                      <w:kern w:val="0"/>
                      <w:szCs w:val="21"/>
                    </w:rPr>
                  </w:pPr>
                  <w:r>
                    <w:rPr>
                      <w:rFonts w:eastAsia="等线"/>
                      <w:szCs w:val="21"/>
                    </w:rPr>
                    <w:t>3.34</w:t>
                  </w:r>
                </w:p>
              </w:tc>
              <w:tc>
                <w:tcPr>
                  <w:tcW w:w="1116" w:type="dxa"/>
                  <w:vAlign w:val="center"/>
                </w:tcPr>
                <w:p w14:paraId="520AB6DC">
                  <w:pPr>
                    <w:widowControl/>
                    <w:adjustRightInd w:val="0"/>
                    <w:snapToGrid w:val="0"/>
                    <w:jc w:val="center"/>
                    <w:rPr>
                      <w:kern w:val="0"/>
                      <w:szCs w:val="21"/>
                    </w:rPr>
                  </w:pPr>
                  <w:r>
                    <w:rPr>
                      <w:rFonts w:eastAsia="等线"/>
                      <w:szCs w:val="21"/>
                    </w:rPr>
                    <w:t>0.052</w:t>
                  </w:r>
                </w:p>
              </w:tc>
              <w:tc>
                <w:tcPr>
                  <w:tcW w:w="943" w:type="dxa"/>
                  <w:vAlign w:val="center"/>
                </w:tcPr>
                <w:p w14:paraId="520AB6DD">
                  <w:pPr>
                    <w:widowControl/>
                    <w:adjustRightInd w:val="0"/>
                    <w:snapToGrid w:val="0"/>
                    <w:jc w:val="center"/>
                    <w:rPr>
                      <w:kern w:val="0"/>
                      <w:szCs w:val="21"/>
                    </w:rPr>
                  </w:pPr>
                  <w:r>
                    <w:rPr>
                      <w:rFonts w:eastAsia="等线"/>
                      <w:szCs w:val="21"/>
                    </w:rPr>
                    <w:t>2000</w:t>
                  </w:r>
                </w:p>
              </w:tc>
              <w:tc>
                <w:tcPr>
                  <w:tcW w:w="1396" w:type="dxa"/>
                  <w:vAlign w:val="center"/>
                </w:tcPr>
                <w:p w14:paraId="520AB6DE">
                  <w:pPr>
                    <w:widowControl/>
                    <w:adjustRightInd w:val="0"/>
                    <w:snapToGrid w:val="0"/>
                    <w:jc w:val="center"/>
                    <w:rPr>
                      <w:szCs w:val="21"/>
                    </w:rPr>
                  </w:pPr>
                  <w:r>
                    <w:rPr>
                      <w:rFonts w:eastAsia="等线"/>
                      <w:szCs w:val="21"/>
                    </w:rPr>
                    <w:t>0.2971</w:t>
                  </w:r>
                </w:p>
              </w:tc>
            </w:tr>
            <w:tr w14:paraId="520AB6E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restart"/>
                  <w:vAlign w:val="center"/>
                </w:tcPr>
                <w:p w14:paraId="520AB6E0">
                  <w:pPr>
                    <w:adjustRightInd w:val="0"/>
                    <w:snapToGrid w:val="0"/>
                    <w:jc w:val="center"/>
                    <w:rPr>
                      <w:kern w:val="0"/>
                      <w:szCs w:val="21"/>
                    </w:rPr>
                  </w:pPr>
                  <w:r>
                    <w:rPr>
                      <w:rFonts w:hint="eastAsia"/>
                      <w:kern w:val="0"/>
                      <w:szCs w:val="21"/>
                    </w:rPr>
                    <w:t>2</w:t>
                  </w:r>
                  <w:r>
                    <w:rPr>
                      <w:kern w:val="0"/>
                      <w:szCs w:val="21"/>
                    </w:rPr>
                    <w:t>025.4.23</w:t>
                  </w:r>
                </w:p>
              </w:tc>
              <w:tc>
                <w:tcPr>
                  <w:tcW w:w="749" w:type="dxa"/>
                  <w:vAlign w:val="center"/>
                </w:tcPr>
                <w:p w14:paraId="520AB6E1">
                  <w:pPr>
                    <w:widowControl/>
                    <w:adjustRightInd w:val="0"/>
                    <w:snapToGrid w:val="0"/>
                    <w:jc w:val="center"/>
                    <w:rPr>
                      <w:kern w:val="0"/>
                      <w:szCs w:val="21"/>
                    </w:rPr>
                  </w:pPr>
                  <w:r>
                    <w:rPr>
                      <w:kern w:val="0"/>
                      <w:szCs w:val="21"/>
                    </w:rPr>
                    <w:t>DA01</w:t>
                  </w:r>
                  <w:r>
                    <w:rPr>
                      <w:rFonts w:hint="eastAsia"/>
                      <w:kern w:val="0"/>
                      <w:szCs w:val="21"/>
                    </w:rPr>
                    <w:t>4</w:t>
                  </w:r>
                </w:p>
              </w:tc>
              <w:tc>
                <w:tcPr>
                  <w:tcW w:w="1035" w:type="dxa"/>
                  <w:vAlign w:val="center"/>
                </w:tcPr>
                <w:p w14:paraId="520AB6E2">
                  <w:pPr>
                    <w:widowControl/>
                    <w:adjustRightInd w:val="0"/>
                    <w:snapToGrid w:val="0"/>
                    <w:jc w:val="center"/>
                    <w:rPr>
                      <w:kern w:val="0"/>
                      <w:szCs w:val="21"/>
                    </w:rPr>
                  </w:pPr>
                  <w:r>
                    <w:rPr>
                      <w:kern w:val="0"/>
                      <w:szCs w:val="21"/>
                    </w:rPr>
                    <w:t>非甲烷总烃</w:t>
                  </w:r>
                </w:p>
              </w:tc>
              <w:tc>
                <w:tcPr>
                  <w:tcW w:w="1326" w:type="dxa"/>
                  <w:vAlign w:val="center"/>
                </w:tcPr>
                <w:p w14:paraId="520AB6E3">
                  <w:pPr>
                    <w:widowControl/>
                    <w:adjustRightInd w:val="0"/>
                    <w:snapToGrid w:val="0"/>
                    <w:jc w:val="center"/>
                    <w:rPr>
                      <w:kern w:val="0"/>
                      <w:szCs w:val="21"/>
                    </w:rPr>
                  </w:pPr>
                  <w:r>
                    <w:rPr>
                      <w:kern w:val="0"/>
                      <w:szCs w:val="21"/>
                    </w:rPr>
                    <w:t>10</w:t>
                  </w:r>
                  <w:r>
                    <w:rPr>
                      <w:rFonts w:hint="eastAsia"/>
                      <w:kern w:val="0"/>
                      <w:szCs w:val="21"/>
                    </w:rPr>
                    <w:t>1#厂房</w:t>
                  </w:r>
                  <w:r>
                    <w:rPr>
                      <w:rFonts w:hint="eastAsia"/>
                      <w:szCs w:val="21"/>
                    </w:rPr>
                    <w:t>汽油清洗、</w:t>
                  </w:r>
                  <w:r>
                    <w:rPr>
                      <w:kern w:val="0"/>
                      <w:szCs w:val="21"/>
                    </w:rPr>
                    <w:t>油类间</w:t>
                  </w:r>
                </w:p>
              </w:tc>
              <w:tc>
                <w:tcPr>
                  <w:tcW w:w="828" w:type="dxa"/>
                  <w:vAlign w:val="center"/>
                </w:tcPr>
                <w:p w14:paraId="520AB6E4">
                  <w:pPr>
                    <w:widowControl/>
                    <w:adjustRightInd w:val="0"/>
                    <w:snapToGrid w:val="0"/>
                    <w:jc w:val="center"/>
                    <w:rPr>
                      <w:kern w:val="0"/>
                      <w:szCs w:val="21"/>
                    </w:rPr>
                  </w:pPr>
                  <w:r>
                    <w:rPr>
                      <w:rFonts w:eastAsia="等线"/>
                      <w:szCs w:val="21"/>
                    </w:rPr>
                    <w:t>8590</w:t>
                  </w:r>
                </w:p>
              </w:tc>
              <w:tc>
                <w:tcPr>
                  <w:tcW w:w="1100" w:type="dxa"/>
                  <w:vAlign w:val="center"/>
                </w:tcPr>
                <w:p w14:paraId="520AB6E5">
                  <w:pPr>
                    <w:widowControl/>
                    <w:adjustRightInd w:val="0"/>
                    <w:snapToGrid w:val="0"/>
                    <w:jc w:val="center"/>
                    <w:rPr>
                      <w:kern w:val="0"/>
                      <w:szCs w:val="21"/>
                    </w:rPr>
                  </w:pPr>
                  <w:r>
                    <w:rPr>
                      <w:rFonts w:eastAsia="等线"/>
                      <w:szCs w:val="21"/>
                    </w:rPr>
                    <w:t>34.8</w:t>
                  </w:r>
                </w:p>
              </w:tc>
              <w:tc>
                <w:tcPr>
                  <w:tcW w:w="1085" w:type="dxa"/>
                  <w:vAlign w:val="center"/>
                </w:tcPr>
                <w:p w14:paraId="520AB6E6">
                  <w:pPr>
                    <w:widowControl/>
                    <w:adjustRightInd w:val="0"/>
                    <w:snapToGrid w:val="0"/>
                    <w:jc w:val="center"/>
                    <w:rPr>
                      <w:kern w:val="0"/>
                      <w:szCs w:val="21"/>
                    </w:rPr>
                  </w:pPr>
                  <w:r>
                    <w:rPr>
                      <w:rFonts w:eastAsia="等线"/>
                      <w:szCs w:val="21"/>
                    </w:rPr>
                    <w:t>0.299</w:t>
                  </w:r>
                </w:p>
              </w:tc>
              <w:tc>
                <w:tcPr>
                  <w:tcW w:w="827" w:type="dxa"/>
                  <w:vAlign w:val="center"/>
                </w:tcPr>
                <w:p w14:paraId="520AB6E7">
                  <w:pPr>
                    <w:widowControl/>
                    <w:adjustRightInd w:val="0"/>
                    <w:snapToGrid w:val="0"/>
                    <w:jc w:val="center"/>
                    <w:rPr>
                      <w:kern w:val="0"/>
                      <w:szCs w:val="21"/>
                    </w:rPr>
                  </w:pPr>
                  <w:r>
                    <w:rPr>
                      <w:rFonts w:eastAsia="等线"/>
                      <w:szCs w:val="21"/>
                    </w:rPr>
                    <w:t>9160</w:t>
                  </w:r>
                </w:p>
              </w:tc>
              <w:tc>
                <w:tcPr>
                  <w:tcW w:w="1100" w:type="dxa"/>
                  <w:vAlign w:val="center"/>
                </w:tcPr>
                <w:p w14:paraId="520AB6E8">
                  <w:pPr>
                    <w:widowControl/>
                    <w:adjustRightInd w:val="0"/>
                    <w:snapToGrid w:val="0"/>
                    <w:jc w:val="center"/>
                    <w:rPr>
                      <w:kern w:val="0"/>
                      <w:szCs w:val="21"/>
                    </w:rPr>
                  </w:pPr>
                  <w:r>
                    <w:rPr>
                      <w:rFonts w:eastAsia="等线"/>
                      <w:szCs w:val="21"/>
                    </w:rPr>
                    <w:t>3.35</w:t>
                  </w:r>
                </w:p>
              </w:tc>
              <w:tc>
                <w:tcPr>
                  <w:tcW w:w="1116" w:type="dxa"/>
                  <w:vAlign w:val="center"/>
                </w:tcPr>
                <w:p w14:paraId="520AB6E9">
                  <w:pPr>
                    <w:widowControl/>
                    <w:adjustRightInd w:val="0"/>
                    <w:snapToGrid w:val="0"/>
                    <w:jc w:val="center"/>
                    <w:rPr>
                      <w:kern w:val="0"/>
                      <w:szCs w:val="21"/>
                    </w:rPr>
                  </w:pPr>
                  <w:r>
                    <w:rPr>
                      <w:rFonts w:eastAsia="等线"/>
                      <w:szCs w:val="21"/>
                    </w:rPr>
                    <w:t>0.031</w:t>
                  </w:r>
                </w:p>
              </w:tc>
              <w:tc>
                <w:tcPr>
                  <w:tcW w:w="943" w:type="dxa"/>
                  <w:vAlign w:val="center"/>
                </w:tcPr>
                <w:p w14:paraId="520AB6EA">
                  <w:pPr>
                    <w:widowControl/>
                    <w:adjustRightInd w:val="0"/>
                    <w:snapToGrid w:val="0"/>
                    <w:jc w:val="center"/>
                    <w:rPr>
                      <w:szCs w:val="21"/>
                    </w:rPr>
                  </w:pPr>
                  <w:r>
                    <w:rPr>
                      <w:rFonts w:eastAsia="等线"/>
                      <w:szCs w:val="21"/>
                    </w:rPr>
                    <w:t>2000</w:t>
                  </w:r>
                </w:p>
              </w:tc>
              <w:tc>
                <w:tcPr>
                  <w:tcW w:w="1396" w:type="dxa"/>
                  <w:vAlign w:val="center"/>
                </w:tcPr>
                <w:p w14:paraId="520AB6EB">
                  <w:pPr>
                    <w:widowControl/>
                    <w:adjustRightInd w:val="0"/>
                    <w:snapToGrid w:val="0"/>
                    <w:jc w:val="center"/>
                    <w:rPr>
                      <w:szCs w:val="21"/>
                    </w:rPr>
                  </w:pPr>
                  <w:r>
                    <w:rPr>
                      <w:rFonts w:eastAsia="等线"/>
                      <w:szCs w:val="21"/>
                    </w:rPr>
                    <w:t>0.1550</w:t>
                  </w:r>
                </w:p>
              </w:tc>
            </w:tr>
            <w:tr w14:paraId="520AB6F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ED">
                  <w:pPr>
                    <w:adjustRightInd w:val="0"/>
                    <w:snapToGrid w:val="0"/>
                    <w:jc w:val="center"/>
                    <w:rPr>
                      <w:kern w:val="0"/>
                      <w:szCs w:val="21"/>
                    </w:rPr>
                  </w:pPr>
                </w:p>
              </w:tc>
              <w:tc>
                <w:tcPr>
                  <w:tcW w:w="749" w:type="dxa"/>
                  <w:vAlign w:val="center"/>
                </w:tcPr>
                <w:p w14:paraId="520AB6EE">
                  <w:pPr>
                    <w:widowControl/>
                    <w:adjustRightInd w:val="0"/>
                    <w:snapToGrid w:val="0"/>
                    <w:jc w:val="center"/>
                    <w:rPr>
                      <w:kern w:val="0"/>
                      <w:szCs w:val="21"/>
                    </w:rPr>
                  </w:pPr>
                  <w:r>
                    <w:rPr>
                      <w:rFonts w:eastAsia="等线"/>
                      <w:szCs w:val="21"/>
                    </w:rPr>
                    <w:t>DA015</w:t>
                  </w:r>
                </w:p>
              </w:tc>
              <w:tc>
                <w:tcPr>
                  <w:tcW w:w="1035" w:type="dxa"/>
                  <w:vAlign w:val="center"/>
                </w:tcPr>
                <w:p w14:paraId="520AB6EF">
                  <w:pPr>
                    <w:widowControl/>
                    <w:adjustRightInd w:val="0"/>
                    <w:snapToGrid w:val="0"/>
                    <w:jc w:val="center"/>
                    <w:rPr>
                      <w:kern w:val="0"/>
                      <w:szCs w:val="21"/>
                    </w:rPr>
                  </w:pPr>
                  <w:r>
                    <w:rPr>
                      <w:rFonts w:hint="eastAsia"/>
                      <w:szCs w:val="21"/>
                    </w:rPr>
                    <w:t>颗粒物</w:t>
                  </w:r>
                </w:p>
              </w:tc>
              <w:tc>
                <w:tcPr>
                  <w:tcW w:w="1326" w:type="dxa"/>
                  <w:vAlign w:val="center"/>
                </w:tcPr>
                <w:p w14:paraId="520AB6F0">
                  <w:pPr>
                    <w:widowControl/>
                    <w:adjustRightInd w:val="0"/>
                    <w:snapToGrid w:val="0"/>
                    <w:jc w:val="center"/>
                    <w:rPr>
                      <w:kern w:val="0"/>
                      <w:szCs w:val="21"/>
                    </w:rPr>
                  </w:pPr>
                  <w:r>
                    <w:rPr>
                      <w:rFonts w:eastAsia="等线"/>
                      <w:szCs w:val="21"/>
                    </w:rPr>
                    <w:t>1205</w:t>
                  </w:r>
                  <w:r>
                    <w:rPr>
                      <w:rFonts w:hint="eastAsia"/>
                      <w:kern w:val="0"/>
                      <w:szCs w:val="21"/>
                    </w:rPr>
                    <w:t>#</w:t>
                  </w:r>
                  <w:r>
                    <w:rPr>
                      <w:rFonts w:hint="eastAsia"/>
                      <w:szCs w:val="21"/>
                    </w:rPr>
                    <w:t>厂房焊接</w:t>
                  </w:r>
                </w:p>
              </w:tc>
              <w:tc>
                <w:tcPr>
                  <w:tcW w:w="828" w:type="dxa"/>
                  <w:vAlign w:val="center"/>
                </w:tcPr>
                <w:p w14:paraId="520AB6F1">
                  <w:pPr>
                    <w:widowControl/>
                    <w:adjustRightInd w:val="0"/>
                    <w:snapToGrid w:val="0"/>
                    <w:jc w:val="center"/>
                    <w:rPr>
                      <w:kern w:val="0"/>
                      <w:szCs w:val="21"/>
                    </w:rPr>
                  </w:pPr>
                  <w:r>
                    <w:rPr>
                      <w:rFonts w:eastAsia="等线"/>
                      <w:szCs w:val="21"/>
                    </w:rPr>
                    <w:t>/</w:t>
                  </w:r>
                </w:p>
              </w:tc>
              <w:tc>
                <w:tcPr>
                  <w:tcW w:w="1100" w:type="dxa"/>
                  <w:vAlign w:val="center"/>
                </w:tcPr>
                <w:p w14:paraId="520AB6F2">
                  <w:pPr>
                    <w:widowControl/>
                    <w:adjustRightInd w:val="0"/>
                    <w:snapToGrid w:val="0"/>
                    <w:jc w:val="center"/>
                    <w:rPr>
                      <w:kern w:val="0"/>
                      <w:szCs w:val="21"/>
                    </w:rPr>
                  </w:pPr>
                  <w:r>
                    <w:rPr>
                      <w:rFonts w:eastAsia="等线"/>
                      <w:szCs w:val="21"/>
                    </w:rPr>
                    <w:t>/</w:t>
                  </w:r>
                </w:p>
              </w:tc>
              <w:tc>
                <w:tcPr>
                  <w:tcW w:w="1085" w:type="dxa"/>
                  <w:vAlign w:val="center"/>
                </w:tcPr>
                <w:p w14:paraId="520AB6F3">
                  <w:pPr>
                    <w:widowControl/>
                    <w:adjustRightInd w:val="0"/>
                    <w:snapToGrid w:val="0"/>
                    <w:jc w:val="center"/>
                    <w:rPr>
                      <w:kern w:val="0"/>
                      <w:szCs w:val="21"/>
                    </w:rPr>
                  </w:pPr>
                  <w:r>
                    <w:rPr>
                      <w:rFonts w:eastAsia="等线"/>
                      <w:szCs w:val="21"/>
                    </w:rPr>
                    <w:t>/</w:t>
                  </w:r>
                </w:p>
              </w:tc>
              <w:tc>
                <w:tcPr>
                  <w:tcW w:w="827" w:type="dxa"/>
                  <w:vAlign w:val="center"/>
                </w:tcPr>
                <w:p w14:paraId="520AB6F4">
                  <w:pPr>
                    <w:widowControl/>
                    <w:adjustRightInd w:val="0"/>
                    <w:snapToGrid w:val="0"/>
                    <w:jc w:val="center"/>
                    <w:rPr>
                      <w:kern w:val="0"/>
                      <w:szCs w:val="21"/>
                    </w:rPr>
                  </w:pPr>
                  <w:r>
                    <w:rPr>
                      <w:rFonts w:eastAsia="等线"/>
                      <w:szCs w:val="21"/>
                    </w:rPr>
                    <w:t>25600</w:t>
                  </w:r>
                </w:p>
              </w:tc>
              <w:tc>
                <w:tcPr>
                  <w:tcW w:w="1100" w:type="dxa"/>
                  <w:vAlign w:val="center"/>
                </w:tcPr>
                <w:p w14:paraId="520AB6F5">
                  <w:pPr>
                    <w:widowControl/>
                    <w:adjustRightInd w:val="0"/>
                    <w:snapToGrid w:val="0"/>
                    <w:jc w:val="center"/>
                    <w:rPr>
                      <w:kern w:val="0"/>
                      <w:szCs w:val="21"/>
                    </w:rPr>
                  </w:pPr>
                  <w:r>
                    <w:rPr>
                      <w:rFonts w:eastAsia="等线"/>
                      <w:szCs w:val="21"/>
                    </w:rPr>
                    <w:t>2.5</w:t>
                  </w:r>
                </w:p>
              </w:tc>
              <w:tc>
                <w:tcPr>
                  <w:tcW w:w="1116" w:type="dxa"/>
                  <w:vAlign w:val="center"/>
                </w:tcPr>
                <w:p w14:paraId="520AB6F6">
                  <w:pPr>
                    <w:widowControl/>
                    <w:adjustRightInd w:val="0"/>
                    <w:snapToGrid w:val="0"/>
                    <w:jc w:val="center"/>
                    <w:rPr>
                      <w:kern w:val="0"/>
                      <w:szCs w:val="21"/>
                    </w:rPr>
                  </w:pPr>
                  <w:r>
                    <w:rPr>
                      <w:rFonts w:eastAsia="等线"/>
                      <w:szCs w:val="21"/>
                    </w:rPr>
                    <w:t>0.063</w:t>
                  </w:r>
                </w:p>
              </w:tc>
              <w:tc>
                <w:tcPr>
                  <w:tcW w:w="943" w:type="dxa"/>
                  <w:vAlign w:val="center"/>
                </w:tcPr>
                <w:p w14:paraId="520AB6F7">
                  <w:pPr>
                    <w:widowControl/>
                    <w:adjustRightInd w:val="0"/>
                    <w:snapToGrid w:val="0"/>
                    <w:jc w:val="center"/>
                    <w:rPr>
                      <w:szCs w:val="21"/>
                    </w:rPr>
                  </w:pPr>
                  <w:r>
                    <w:rPr>
                      <w:rFonts w:eastAsia="等线"/>
                      <w:szCs w:val="21"/>
                    </w:rPr>
                    <w:t>1500</w:t>
                  </w:r>
                </w:p>
              </w:tc>
              <w:tc>
                <w:tcPr>
                  <w:tcW w:w="1396" w:type="dxa"/>
                  <w:vAlign w:val="center"/>
                </w:tcPr>
                <w:p w14:paraId="520AB6F8">
                  <w:pPr>
                    <w:widowControl/>
                    <w:adjustRightInd w:val="0"/>
                    <w:snapToGrid w:val="0"/>
                    <w:jc w:val="center"/>
                    <w:rPr>
                      <w:rFonts w:eastAsia="等线"/>
                      <w:sz w:val="22"/>
                      <w:szCs w:val="22"/>
                    </w:rPr>
                  </w:pPr>
                  <w:r>
                    <w:rPr>
                      <w:rFonts w:eastAsia="等线"/>
                      <w:szCs w:val="21"/>
                    </w:rPr>
                    <w:t>0.2363</w:t>
                  </w:r>
                </w:p>
              </w:tc>
            </w:tr>
            <w:tr w14:paraId="520AB70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6FA">
                  <w:pPr>
                    <w:adjustRightInd w:val="0"/>
                    <w:snapToGrid w:val="0"/>
                    <w:jc w:val="center"/>
                    <w:rPr>
                      <w:kern w:val="0"/>
                      <w:szCs w:val="21"/>
                    </w:rPr>
                  </w:pPr>
                </w:p>
              </w:tc>
              <w:tc>
                <w:tcPr>
                  <w:tcW w:w="749" w:type="dxa"/>
                  <w:vAlign w:val="center"/>
                </w:tcPr>
                <w:p w14:paraId="520AB6FB">
                  <w:pPr>
                    <w:widowControl/>
                    <w:adjustRightInd w:val="0"/>
                    <w:snapToGrid w:val="0"/>
                    <w:jc w:val="center"/>
                    <w:rPr>
                      <w:kern w:val="0"/>
                      <w:szCs w:val="21"/>
                    </w:rPr>
                  </w:pPr>
                  <w:r>
                    <w:rPr>
                      <w:kern w:val="0"/>
                      <w:szCs w:val="21"/>
                    </w:rPr>
                    <w:t>DA01</w:t>
                  </w:r>
                  <w:r>
                    <w:rPr>
                      <w:rFonts w:hint="eastAsia"/>
                      <w:kern w:val="0"/>
                      <w:szCs w:val="21"/>
                    </w:rPr>
                    <w:t>6</w:t>
                  </w:r>
                </w:p>
              </w:tc>
              <w:tc>
                <w:tcPr>
                  <w:tcW w:w="1035" w:type="dxa"/>
                  <w:vAlign w:val="center"/>
                </w:tcPr>
                <w:p w14:paraId="520AB6FC">
                  <w:pPr>
                    <w:widowControl/>
                    <w:adjustRightInd w:val="0"/>
                    <w:snapToGrid w:val="0"/>
                    <w:jc w:val="center"/>
                    <w:rPr>
                      <w:kern w:val="0"/>
                      <w:szCs w:val="21"/>
                    </w:rPr>
                  </w:pPr>
                  <w:r>
                    <w:rPr>
                      <w:kern w:val="0"/>
                      <w:szCs w:val="21"/>
                    </w:rPr>
                    <w:t>颗粒物</w:t>
                  </w:r>
                </w:p>
              </w:tc>
              <w:tc>
                <w:tcPr>
                  <w:tcW w:w="1326" w:type="dxa"/>
                  <w:vAlign w:val="center"/>
                </w:tcPr>
                <w:p w14:paraId="520AB6FD">
                  <w:pPr>
                    <w:widowControl/>
                    <w:adjustRightInd w:val="0"/>
                    <w:snapToGrid w:val="0"/>
                    <w:jc w:val="center"/>
                    <w:rPr>
                      <w:kern w:val="0"/>
                      <w:szCs w:val="21"/>
                    </w:rPr>
                  </w:pPr>
                  <w:r>
                    <w:rPr>
                      <w:kern w:val="0"/>
                      <w:szCs w:val="21"/>
                    </w:rPr>
                    <w:t>148</w:t>
                  </w:r>
                  <w:r>
                    <w:rPr>
                      <w:rFonts w:hint="eastAsia"/>
                      <w:kern w:val="0"/>
                      <w:szCs w:val="21"/>
                    </w:rPr>
                    <w:t>#厂房</w:t>
                  </w:r>
                  <w:r>
                    <w:rPr>
                      <w:kern w:val="0"/>
                      <w:szCs w:val="21"/>
                    </w:rPr>
                    <w:t>钎焊</w:t>
                  </w:r>
                </w:p>
              </w:tc>
              <w:tc>
                <w:tcPr>
                  <w:tcW w:w="828" w:type="dxa"/>
                  <w:vAlign w:val="center"/>
                </w:tcPr>
                <w:p w14:paraId="520AB6FE">
                  <w:pPr>
                    <w:widowControl/>
                    <w:adjustRightInd w:val="0"/>
                    <w:snapToGrid w:val="0"/>
                    <w:jc w:val="center"/>
                    <w:rPr>
                      <w:kern w:val="0"/>
                      <w:szCs w:val="21"/>
                    </w:rPr>
                  </w:pPr>
                  <w:r>
                    <w:rPr>
                      <w:rFonts w:eastAsia="等线"/>
                      <w:szCs w:val="21"/>
                    </w:rPr>
                    <w:t>/</w:t>
                  </w:r>
                </w:p>
              </w:tc>
              <w:tc>
                <w:tcPr>
                  <w:tcW w:w="1100" w:type="dxa"/>
                  <w:vAlign w:val="center"/>
                </w:tcPr>
                <w:p w14:paraId="520AB6FF">
                  <w:pPr>
                    <w:widowControl/>
                    <w:adjustRightInd w:val="0"/>
                    <w:snapToGrid w:val="0"/>
                    <w:jc w:val="center"/>
                    <w:rPr>
                      <w:kern w:val="0"/>
                      <w:szCs w:val="21"/>
                    </w:rPr>
                  </w:pPr>
                  <w:r>
                    <w:rPr>
                      <w:rFonts w:eastAsia="等线"/>
                      <w:szCs w:val="21"/>
                    </w:rPr>
                    <w:t>/</w:t>
                  </w:r>
                </w:p>
              </w:tc>
              <w:tc>
                <w:tcPr>
                  <w:tcW w:w="1085" w:type="dxa"/>
                  <w:vAlign w:val="center"/>
                </w:tcPr>
                <w:p w14:paraId="520AB700">
                  <w:pPr>
                    <w:widowControl/>
                    <w:adjustRightInd w:val="0"/>
                    <w:snapToGrid w:val="0"/>
                    <w:jc w:val="center"/>
                    <w:rPr>
                      <w:kern w:val="0"/>
                      <w:szCs w:val="21"/>
                    </w:rPr>
                  </w:pPr>
                  <w:r>
                    <w:rPr>
                      <w:rFonts w:eastAsia="等线"/>
                      <w:szCs w:val="21"/>
                    </w:rPr>
                    <w:t>/</w:t>
                  </w:r>
                </w:p>
              </w:tc>
              <w:tc>
                <w:tcPr>
                  <w:tcW w:w="827" w:type="dxa"/>
                  <w:vAlign w:val="center"/>
                </w:tcPr>
                <w:p w14:paraId="520AB701">
                  <w:pPr>
                    <w:widowControl/>
                    <w:adjustRightInd w:val="0"/>
                    <w:snapToGrid w:val="0"/>
                    <w:jc w:val="center"/>
                    <w:rPr>
                      <w:kern w:val="0"/>
                      <w:szCs w:val="21"/>
                    </w:rPr>
                  </w:pPr>
                  <w:r>
                    <w:rPr>
                      <w:rFonts w:eastAsia="等线"/>
                      <w:szCs w:val="21"/>
                    </w:rPr>
                    <w:t>9090</w:t>
                  </w:r>
                </w:p>
              </w:tc>
              <w:tc>
                <w:tcPr>
                  <w:tcW w:w="1100" w:type="dxa"/>
                  <w:vAlign w:val="center"/>
                </w:tcPr>
                <w:p w14:paraId="520AB702">
                  <w:pPr>
                    <w:widowControl/>
                    <w:adjustRightInd w:val="0"/>
                    <w:snapToGrid w:val="0"/>
                    <w:jc w:val="center"/>
                    <w:rPr>
                      <w:kern w:val="0"/>
                      <w:szCs w:val="21"/>
                    </w:rPr>
                  </w:pPr>
                  <w:r>
                    <w:rPr>
                      <w:rFonts w:eastAsia="等线"/>
                      <w:szCs w:val="21"/>
                    </w:rPr>
                    <w:t>2.4</w:t>
                  </w:r>
                </w:p>
              </w:tc>
              <w:tc>
                <w:tcPr>
                  <w:tcW w:w="1116" w:type="dxa"/>
                  <w:vAlign w:val="center"/>
                </w:tcPr>
                <w:p w14:paraId="520AB703">
                  <w:pPr>
                    <w:widowControl/>
                    <w:adjustRightInd w:val="0"/>
                    <w:snapToGrid w:val="0"/>
                    <w:jc w:val="center"/>
                    <w:rPr>
                      <w:kern w:val="0"/>
                      <w:szCs w:val="21"/>
                    </w:rPr>
                  </w:pPr>
                  <w:r>
                    <w:rPr>
                      <w:rFonts w:eastAsia="等线"/>
                      <w:szCs w:val="21"/>
                    </w:rPr>
                    <w:t>0.022</w:t>
                  </w:r>
                </w:p>
              </w:tc>
              <w:tc>
                <w:tcPr>
                  <w:tcW w:w="943" w:type="dxa"/>
                  <w:vAlign w:val="center"/>
                </w:tcPr>
                <w:p w14:paraId="520AB704">
                  <w:pPr>
                    <w:widowControl/>
                    <w:adjustRightInd w:val="0"/>
                    <w:snapToGrid w:val="0"/>
                    <w:jc w:val="center"/>
                    <w:rPr>
                      <w:kern w:val="0"/>
                      <w:szCs w:val="21"/>
                    </w:rPr>
                  </w:pPr>
                  <w:r>
                    <w:rPr>
                      <w:rFonts w:eastAsia="等线"/>
                      <w:szCs w:val="21"/>
                    </w:rPr>
                    <w:t>1500</w:t>
                  </w:r>
                </w:p>
              </w:tc>
              <w:tc>
                <w:tcPr>
                  <w:tcW w:w="1396" w:type="dxa"/>
                  <w:vAlign w:val="center"/>
                </w:tcPr>
                <w:p w14:paraId="520AB705">
                  <w:pPr>
                    <w:widowControl/>
                    <w:adjustRightInd w:val="0"/>
                    <w:snapToGrid w:val="0"/>
                    <w:jc w:val="center"/>
                    <w:rPr>
                      <w:szCs w:val="21"/>
                    </w:rPr>
                  </w:pPr>
                  <w:r>
                    <w:rPr>
                      <w:rFonts w:eastAsia="等线"/>
                      <w:szCs w:val="21"/>
                    </w:rPr>
                    <w:t>0.0825</w:t>
                  </w:r>
                </w:p>
              </w:tc>
            </w:tr>
            <w:tr w14:paraId="520AB71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Align w:val="center"/>
                </w:tcPr>
                <w:p w14:paraId="520AB707">
                  <w:pPr>
                    <w:adjustRightInd w:val="0"/>
                    <w:snapToGrid w:val="0"/>
                    <w:jc w:val="center"/>
                    <w:rPr>
                      <w:kern w:val="0"/>
                      <w:szCs w:val="21"/>
                    </w:rPr>
                  </w:pPr>
                  <w:r>
                    <w:rPr>
                      <w:rFonts w:hint="eastAsia"/>
                      <w:kern w:val="0"/>
                      <w:szCs w:val="21"/>
                    </w:rPr>
                    <w:t>2</w:t>
                  </w:r>
                  <w:r>
                    <w:rPr>
                      <w:kern w:val="0"/>
                      <w:szCs w:val="21"/>
                    </w:rPr>
                    <w:t>024.6.6</w:t>
                  </w:r>
                </w:p>
              </w:tc>
              <w:tc>
                <w:tcPr>
                  <w:tcW w:w="749" w:type="dxa"/>
                  <w:vAlign w:val="center"/>
                </w:tcPr>
                <w:p w14:paraId="520AB708">
                  <w:pPr>
                    <w:widowControl/>
                    <w:adjustRightInd w:val="0"/>
                    <w:snapToGrid w:val="0"/>
                    <w:jc w:val="center"/>
                    <w:rPr>
                      <w:kern w:val="0"/>
                      <w:szCs w:val="21"/>
                    </w:rPr>
                  </w:pPr>
                  <w:r>
                    <w:rPr>
                      <w:kern w:val="0"/>
                      <w:szCs w:val="21"/>
                    </w:rPr>
                    <w:t>DA01</w:t>
                  </w:r>
                  <w:r>
                    <w:rPr>
                      <w:rFonts w:hint="eastAsia"/>
                      <w:kern w:val="0"/>
                      <w:szCs w:val="21"/>
                    </w:rPr>
                    <w:t>7</w:t>
                  </w:r>
                </w:p>
              </w:tc>
              <w:tc>
                <w:tcPr>
                  <w:tcW w:w="1035" w:type="dxa"/>
                  <w:vAlign w:val="center"/>
                </w:tcPr>
                <w:p w14:paraId="520AB709">
                  <w:pPr>
                    <w:widowControl/>
                    <w:adjustRightInd w:val="0"/>
                    <w:snapToGrid w:val="0"/>
                    <w:jc w:val="center"/>
                    <w:rPr>
                      <w:kern w:val="0"/>
                      <w:szCs w:val="21"/>
                    </w:rPr>
                  </w:pPr>
                  <w:r>
                    <w:rPr>
                      <w:kern w:val="0"/>
                      <w:szCs w:val="21"/>
                    </w:rPr>
                    <w:t>非甲烷总烃</w:t>
                  </w:r>
                </w:p>
              </w:tc>
              <w:tc>
                <w:tcPr>
                  <w:tcW w:w="1326" w:type="dxa"/>
                  <w:vAlign w:val="center"/>
                </w:tcPr>
                <w:p w14:paraId="520AB70A">
                  <w:pPr>
                    <w:widowControl/>
                    <w:adjustRightInd w:val="0"/>
                    <w:snapToGrid w:val="0"/>
                    <w:jc w:val="center"/>
                    <w:rPr>
                      <w:kern w:val="0"/>
                      <w:szCs w:val="21"/>
                    </w:rPr>
                  </w:pPr>
                  <w:r>
                    <w:rPr>
                      <w:kern w:val="0"/>
                      <w:szCs w:val="21"/>
                    </w:rPr>
                    <w:t>168</w:t>
                  </w:r>
                  <w:r>
                    <w:rPr>
                      <w:rFonts w:hint="eastAsia"/>
                      <w:kern w:val="0"/>
                      <w:szCs w:val="21"/>
                    </w:rPr>
                    <w:t>#厂房</w:t>
                  </w:r>
                  <w:r>
                    <w:rPr>
                      <w:kern w:val="0"/>
                      <w:szCs w:val="21"/>
                    </w:rPr>
                    <w:t>油类试验</w:t>
                  </w:r>
                </w:p>
              </w:tc>
              <w:tc>
                <w:tcPr>
                  <w:tcW w:w="828" w:type="dxa"/>
                  <w:vAlign w:val="center"/>
                </w:tcPr>
                <w:p w14:paraId="520AB70B">
                  <w:pPr>
                    <w:widowControl/>
                    <w:adjustRightInd w:val="0"/>
                    <w:snapToGrid w:val="0"/>
                    <w:jc w:val="center"/>
                    <w:rPr>
                      <w:kern w:val="0"/>
                      <w:szCs w:val="21"/>
                    </w:rPr>
                  </w:pPr>
                  <w:r>
                    <w:rPr>
                      <w:rFonts w:eastAsia="等线"/>
                      <w:szCs w:val="21"/>
                    </w:rPr>
                    <w:t>6607</w:t>
                  </w:r>
                </w:p>
              </w:tc>
              <w:tc>
                <w:tcPr>
                  <w:tcW w:w="1100" w:type="dxa"/>
                  <w:vAlign w:val="center"/>
                </w:tcPr>
                <w:p w14:paraId="520AB70C">
                  <w:pPr>
                    <w:widowControl/>
                    <w:adjustRightInd w:val="0"/>
                    <w:snapToGrid w:val="0"/>
                    <w:jc w:val="center"/>
                    <w:rPr>
                      <w:kern w:val="0"/>
                      <w:szCs w:val="21"/>
                    </w:rPr>
                  </w:pPr>
                  <w:r>
                    <w:rPr>
                      <w:rFonts w:eastAsia="等线"/>
                      <w:szCs w:val="21"/>
                    </w:rPr>
                    <w:t>57.4</w:t>
                  </w:r>
                </w:p>
              </w:tc>
              <w:tc>
                <w:tcPr>
                  <w:tcW w:w="1085" w:type="dxa"/>
                  <w:vAlign w:val="center"/>
                </w:tcPr>
                <w:p w14:paraId="520AB70D">
                  <w:pPr>
                    <w:widowControl/>
                    <w:adjustRightInd w:val="0"/>
                    <w:snapToGrid w:val="0"/>
                    <w:jc w:val="center"/>
                    <w:rPr>
                      <w:kern w:val="0"/>
                      <w:szCs w:val="21"/>
                    </w:rPr>
                  </w:pPr>
                  <w:r>
                    <w:rPr>
                      <w:rFonts w:eastAsia="等线"/>
                      <w:szCs w:val="21"/>
                    </w:rPr>
                    <w:t>0.377</w:t>
                  </w:r>
                </w:p>
              </w:tc>
              <w:tc>
                <w:tcPr>
                  <w:tcW w:w="827" w:type="dxa"/>
                  <w:vAlign w:val="center"/>
                </w:tcPr>
                <w:p w14:paraId="520AB70E">
                  <w:pPr>
                    <w:widowControl/>
                    <w:adjustRightInd w:val="0"/>
                    <w:snapToGrid w:val="0"/>
                    <w:jc w:val="center"/>
                    <w:rPr>
                      <w:kern w:val="0"/>
                      <w:szCs w:val="21"/>
                    </w:rPr>
                  </w:pPr>
                  <w:r>
                    <w:rPr>
                      <w:rFonts w:eastAsia="等线"/>
                      <w:szCs w:val="21"/>
                    </w:rPr>
                    <w:t>7743</w:t>
                  </w:r>
                </w:p>
              </w:tc>
              <w:tc>
                <w:tcPr>
                  <w:tcW w:w="1100" w:type="dxa"/>
                  <w:vAlign w:val="center"/>
                </w:tcPr>
                <w:p w14:paraId="520AB70F">
                  <w:pPr>
                    <w:widowControl/>
                    <w:adjustRightInd w:val="0"/>
                    <w:snapToGrid w:val="0"/>
                    <w:jc w:val="center"/>
                    <w:rPr>
                      <w:kern w:val="0"/>
                      <w:szCs w:val="21"/>
                    </w:rPr>
                  </w:pPr>
                  <w:r>
                    <w:rPr>
                      <w:rFonts w:eastAsia="等线"/>
                      <w:szCs w:val="21"/>
                    </w:rPr>
                    <w:t>6.5</w:t>
                  </w:r>
                </w:p>
              </w:tc>
              <w:tc>
                <w:tcPr>
                  <w:tcW w:w="1116" w:type="dxa"/>
                  <w:vAlign w:val="center"/>
                </w:tcPr>
                <w:p w14:paraId="520AB710">
                  <w:pPr>
                    <w:widowControl/>
                    <w:adjustRightInd w:val="0"/>
                    <w:snapToGrid w:val="0"/>
                    <w:jc w:val="center"/>
                    <w:rPr>
                      <w:kern w:val="0"/>
                      <w:szCs w:val="21"/>
                    </w:rPr>
                  </w:pPr>
                  <w:r>
                    <w:rPr>
                      <w:rFonts w:eastAsia="等线"/>
                      <w:szCs w:val="21"/>
                    </w:rPr>
                    <w:t>0.0503</w:t>
                  </w:r>
                </w:p>
              </w:tc>
              <w:tc>
                <w:tcPr>
                  <w:tcW w:w="943" w:type="dxa"/>
                  <w:vAlign w:val="center"/>
                </w:tcPr>
                <w:p w14:paraId="520AB711">
                  <w:pPr>
                    <w:widowControl/>
                    <w:adjustRightInd w:val="0"/>
                    <w:snapToGrid w:val="0"/>
                    <w:jc w:val="center"/>
                    <w:rPr>
                      <w:kern w:val="0"/>
                      <w:szCs w:val="21"/>
                    </w:rPr>
                  </w:pPr>
                  <w:r>
                    <w:rPr>
                      <w:rFonts w:eastAsia="等线"/>
                      <w:szCs w:val="21"/>
                    </w:rPr>
                    <w:t>6000</w:t>
                  </w:r>
                </w:p>
              </w:tc>
              <w:tc>
                <w:tcPr>
                  <w:tcW w:w="1396" w:type="dxa"/>
                  <w:vAlign w:val="center"/>
                </w:tcPr>
                <w:p w14:paraId="520AB712">
                  <w:pPr>
                    <w:widowControl/>
                    <w:adjustRightInd w:val="0"/>
                    <w:snapToGrid w:val="0"/>
                    <w:jc w:val="center"/>
                    <w:rPr>
                      <w:szCs w:val="21"/>
                    </w:rPr>
                  </w:pPr>
                  <w:r>
                    <w:rPr>
                      <w:rFonts w:eastAsia="等线"/>
                      <w:szCs w:val="21"/>
                    </w:rPr>
                    <w:t>0.9431</w:t>
                  </w:r>
                </w:p>
              </w:tc>
            </w:tr>
            <w:tr w14:paraId="520AB72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Align w:val="center"/>
                </w:tcPr>
                <w:p w14:paraId="520AB714">
                  <w:pPr>
                    <w:adjustRightInd w:val="0"/>
                    <w:snapToGrid w:val="0"/>
                    <w:jc w:val="center"/>
                    <w:rPr>
                      <w:kern w:val="0"/>
                      <w:szCs w:val="21"/>
                    </w:rPr>
                  </w:pPr>
                  <w:r>
                    <w:rPr>
                      <w:rFonts w:hint="eastAsia"/>
                      <w:kern w:val="0"/>
                      <w:szCs w:val="21"/>
                    </w:rPr>
                    <w:t>2</w:t>
                  </w:r>
                  <w:r>
                    <w:rPr>
                      <w:kern w:val="0"/>
                      <w:szCs w:val="21"/>
                    </w:rPr>
                    <w:t>025.4.22</w:t>
                  </w:r>
                </w:p>
              </w:tc>
              <w:tc>
                <w:tcPr>
                  <w:tcW w:w="749" w:type="dxa"/>
                  <w:vAlign w:val="center"/>
                </w:tcPr>
                <w:p w14:paraId="520AB715">
                  <w:pPr>
                    <w:widowControl/>
                    <w:adjustRightInd w:val="0"/>
                    <w:snapToGrid w:val="0"/>
                    <w:jc w:val="center"/>
                    <w:rPr>
                      <w:kern w:val="0"/>
                      <w:szCs w:val="21"/>
                    </w:rPr>
                  </w:pPr>
                  <w:r>
                    <w:rPr>
                      <w:kern w:val="0"/>
                      <w:szCs w:val="21"/>
                    </w:rPr>
                    <w:t>DA0</w:t>
                  </w:r>
                  <w:r>
                    <w:rPr>
                      <w:rFonts w:hint="eastAsia"/>
                      <w:kern w:val="0"/>
                      <w:szCs w:val="21"/>
                    </w:rPr>
                    <w:t>18</w:t>
                  </w:r>
                </w:p>
              </w:tc>
              <w:tc>
                <w:tcPr>
                  <w:tcW w:w="1035" w:type="dxa"/>
                  <w:vAlign w:val="center"/>
                </w:tcPr>
                <w:p w14:paraId="520AB716">
                  <w:pPr>
                    <w:widowControl/>
                    <w:adjustRightInd w:val="0"/>
                    <w:snapToGrid w:val="0"/>
                    <w:jc w:val="center"/>
                    <w:rPr>
                      <w:kern w:val="0"/>
                      <w:szCs w:val="21"/>
                    </w:rPr>
                  </w:pPr>
                  <w:r>
                    <w:rPr>
                      <w:kern w:val="0"/>
                      <w:szCs w:val="21"/>
                    </w:rPr>
                    <w:t>非甲烷总烃</w:t>
                  </w:r>
                </w:p>
              </w:tc>
              <w:tc>
                <w:tcPr>
                  <w:tcW w:w="1326" w:type="dxa"/>
                  <w:vAlign w:val="center"/>
                </w:tcPr>
                <w:p w14:paraId="520AB717">
                  <w:pPr>
                    <w:widowControl/>
                    <w:adjustRightInd w:val="0"/>
                    <w:snapToGrid w:val="0"/>
                    <w:jc w:val="center"/>
                    <w:rPr>
                      <w:kern w:val="0"/>
                      <w:szCs w:val="21"/>
                    </w:rPr>
                  </w:pPr>
                  <w:r>
                    <w:rPr>
                      <w:kern w:val="0"/>
                      <w:szCs w:val="21"/>
                    </w:rPr>
                    <w:t>106</w:t>
                  </w:r>
                  <w:r>
                    <w:rPr>
                      <w:rFonts w:hint="eastAsia"/>
                      <w:kern w:val="0"/>
                      <w:szCs w:val="21"/>
                    </w:rPr>
                    <w:t>#厂房西北角</w:t>
                  </w:r>
                  <w:r>
                    <w:rPr>
                      <w:kern w:val="0"/>
                      <w:szCs w:val="21"/>
                    </w:rPr>
                    <w:t>汽油清洗</w:t>
                  </w:r>
                </w:p>
              </w:tc>
              <w:tc>
                <w:tcPr>
                  <w:tcW w:w="828" w:type="dxa"/>
                  <w:vAlign w:val="center"/>
                </w:tcPr>
                <w:p w14:paraId="520AB718">
                  <w:pPr>
                    <w:widowControl/>
                    <w:adjustRightInd w:val="0"/>
                    <w:snapToGrid w:val="0"/>
                    <w:jc w:val="center"/>
                    <w:rPr>
                      <w:kern w:val="0"/>
                      <w:szCs w:val="21"/>
                    </w:rPr>
                  </w:pPr>
                  <w:r>
                    <w:rPr>
                      <w:rFonts w:eastAsia="等线"/>
                      <w:szCs w:val="21"/>
                    </w:rPr>
                    <w:t>4090</w:t>
                  </w:r>
                </w:p>
              </w:tc>
              <w:tc>
                <w:tcPr>
                  <w:tcW w:w="1100" w:type="dxa"/>
                  <w:vAlign w:val="center"/>
                </w:tcPr>
                <w:p w14:paraId="520AB719">
                  <w:pPr>
                    <w:widowControl/>
                    <w:adjustRightInd w:val="0"/>
                    <w:snapToGrid w:val="0"/>
                    <w:jc w:val="center"/>
                    <w:rPr>
                      <w:kern w:val="0"/>
                      <w:szCs w:val="21"/>
                    </w:rPr>
                  </w:pPr>
                  <w:r>
                    <w:rPr>
                      <w:rFonts w:eastAsia="等线"/>
                      <w:szCs w:val="21"/>
                    </w:rPr>
                    <w:t>44.5</w:t>
                  </w:r>
                </w:p>
              </w:tc>
              <w:tc>
                <w:tcPr>
                  <w:tcW w:w="1085" w:type="dxa"/>
                  <w:vAlign w:val="center"/>
                </w:tcPr>
                <w:p w14:paraId="520AB71A">
                  <w:pPr>
                    <w:widowControl/>
                    <w:adjustRightInd w:val="0"/>
                    <w:snapToGrid w:val="0"/>
                    <w:jc w:val="center"/>
                    <w:rPr>
                      <w:kern w:val="0"/>
                      <w:szCs w:val="21"/>
                    </w:rPr>
                  </w:pPr>
                  <w:r>
                    <w:rPr>
                      <w:rFonts w:eastAsia="等线"/>
                      <w:szCs w:val="21"/>
                    </w:rPr>
                    <w:t>0.186</w:t>
                  </w:r>
                </w:p>
              </w:tc>
              <w:tc>
                <w:tcPr>
                  <w:tcW w:w="827" w:type="dxa"/>
                  <w:vAlign w:val="center"/>
                </w:tcPr>
                <w:p w14:paraId="520AB71B">
                  <w:pPr>
                    <w:widowControl/>
                    <w:adjustRightInd w:val="0"/>
                    <w:snapToGrid w:val="0"/>
                    <w:jc w:val="center"/>
                    <w:rPr>
                      <w:kern w:val="0"/>
                      <w:szCs w:val="21"/>
                    </w:rPr>
                  </w:pPr>
                  <w:r>
                    <w:rPr>
                      <w:rFonts w:eastAsia="等线"/>
                      <w:szCs w:val="21"/>
                    </w:rPr>
                    <w:t>4180</w:t>
                  </w:r>
                </w:p>
              </w:tc>
              <w:tc>
                <w:tcPr>
                  <w:tcW w:w="1100" w:type="dxa"/>
                  <w:vAlign w:val="center"/>
                </w:tcPr>
                <w:p w14:paraId="520AB71C">
                  <w:pPr>
                    <w:widowControl/>
                    <w:adjustRightInd w:val="0"/>
                    <w:snapToGrid w:val="0"/>
                    <w:jc w:val="center"/>
                    <w:rPr>
                      <w:kern w:val="0"/>
                      <w:szCs w:val="21"/>
                    </w:rPr>
                  </w:pPr>
                  <w:r>
                    <w:rPr>
                      <w:rFonts w:eastAsia="等线"/>
                      <w:szCs w:val="21"/>
                    </w:rPr>
                    <w:t>4.67</w:t>
                  </w:r>
                </w:p>
              </w:tc>
              <w:tc>
                <w:tcPr>
                  <w:tcW w:w="1116" w:type="dxa"/>
                  <w:vAlign w:val="center"/>
                </w:tcPr>
                <w:p w14:paraId="520AB71D">
                  <w:pPr>
                    <w:widowControl/>
                    <w:adjustRightInd w:val="0"/>
                    <w:snapToGrid w:val="0"/>
                    <w:jc w:val="center"/>
                    <w:rPr>
                      <w:kern w:val="0"/>
                      <w:szCs w:val="21"/>
                    </w:rPr>
                  </w:pPr>
                  <w:r>
                    <w:rPr>
                      <w:rFonts w:eastAsia="等线"/>
                      <w:szCs w:val="21"/>
                    </w:rPr>
                    <w:t>0.02</w:t>
                  </w:r>
                </w:p>
              </w:tc>
              <w:tc>
                <w:tcPr>
                  <w:tcW w:w="943" w:type="dxa"/>
                  <w:vAlign w:val="center"/>
                </w:tcPr>
                <w:p w14:paraId="520AB71E">
                  <w:pPr>
                    <w:widowControl/>
                    <w:adjustRightInd w:val="0"/>
                    <w:snapToGrid w:val="0"/>
                    <w:jc w:val="center"/>
                    <w:rPr>
                      <w:kern w:val="0"/>
                      <w:szCs w:val="21"/>
                    </w:rPr>
                  </w:pPr>
                  <w:r>
                    <w:rPr>
                      <w:rFonts w:eastAsia="等线"/>
                      <w:szCs w:val="21"/>
                    </w:rPr>
                    <w:t>2000</w:t>
                  </w:r>
                </w:p>
              </w:tc>
              <w:tc>
                <w:tcPr>
                  <w:tcW w:w="1396" w:type="dxa"/>
                  <w:vAlign w:val="center"/>
                </w:tcPr>
                <w:p w14:paraId="520AB71F">
                  <w:pPr>
                    <w:widowControl/>
                    <w:adjustRightInd w:val="0"/>
                    <w:snapToGrid w:val="0"/>
                    <w:jc w:val="center"/>
                    <w:rPr>
                      <w:szCs w:val="21"/>
                    </w:rPr>
                  </w:pPr>
                  <w:r>
                    <w:rPr>
                      <w:rFonts w:eastAsia="等线"/>
                      <w:szCs w:val="21"/>
                    </w:rPr>
                    <w:t>0.1000</w:t>
                  </w:r>
                </w:p>
              </w:tc>
            </w:tr>
            <w:tr w14:paraId="520AB72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Align w:val="center"/>
                </w:tcPr>
                <w:p w14:paraId="520AB721">
                  <w:pPr>
                    <w:adjustRightInd w:val="0"/>
                    <w:snapToGrid w:val="0"/>
                    <w:jc w:val="center"/>
                    <w:rPr>
                      <w:kern w:val="0"/>
                      <w:szCs w:val="21"/>
                    </w:rPr>
                  </w:pPr>
                  <w:r>
                    <w:rPr>
                      <w:rFonts w:hint="eastAsia"/>
                      <w:kern w:val="0"/>
                      <w:szCs w:val="21"/>
                    </w:rPr>
                    <w:t>2</w:t>
                  </w:r>
                  <w:r>
                    <w:rPr>
                      <w:kern w:val="0"/>
                      <w:szCs w:val="21"/>
                    </w:rPr>
                    <w:t>025.4.27</w:t>
                  </w:r>
                </w:p>
              </w:tc>
              <w:tc>
                <w:tcPr>
                  <w:tcW w:w="749" w:type="dxa"/>
                  <w:vAlign w:val="center"/>
                </w:tcPr>
                <w:p w14:paraId="520AB722">
                  <w:pPr>
                    <w:widowControl/>
                    <w:adjustRightInd w:val="0"/>
                    <w:snapToGrid w:val="0"/>
                    <w:jc w:val="center"/>
                    <w:rPr>
                      <w:kern w:val="0"/>
                      <w:szCs w:val="21"/>
                    </w:rPr>
                  </w:pPr>
                  <w:r>
                    <w:rPr>
                      <w:kern w:val="0"/>
                      <w:szCs w:val="21"/>
                    </w:rPr>
                    <w:t>DA0</w:t>
                  </w:r>
                  <w:r>
                    <w:rPr>
                      <w:rFonts w:hint="eastAsia"/>
                      <w:kern w:val="0"/>
                      <w:szCs w:val="21"/>
                    </w:rPr>
                    <w:t>22</w:t>
                  </w:r>
                </w:p>
              </w:tc>
              <w:tc>
                <w:tcPr>
                  <w:tcW w:w="1035" w:type="dxa"/>
                  <w:vAlign w:val="center"/>
                </w:tcPr>
                <w:p w14:paraId="520AB723">
                  <w:pPr>
                    <w:widowControl/>
                    <w:adjustRightInd w:val="0"/>
                    <w:snapToGrid w:val="0"/>
                    <w:jc w:val="center"/>
                    <w:rPr>
                      <w:kern w:val="0"/>
                      <w:szCs w:val="21"/>
                    </w:rPr>
                  </w:pPr>
                  <w:r>
                    <w:rPr>
                      <w:kern w:val="0"/>
                      <w:szCs w:val="21"/>
                    </w:rPr>
                    <w:t>非甲烷总烃</w:t>
                  </w:r>
                </w:p>
              </w:tc>
              <w:tc>
                <w:tcPr>
                  <w:tcW w:w="1326" w:type="dxa"/>
                  <w:vAlign w:val="center"/>
                </w:tcPr>
                <w:p w14:paraId="520AB724">
                  <w:pPr>
                    <w:widowControl/>
                    <w:adjustRightInd w:val="0"/>
                    <w:snapToGrid w:val="0"/>
                    <w:jc w:val="center"/>
                    <w:rPr>
                      <w:kern w:val="0"/>
                      <w:szCs w:val="21"/>
                    </w:rPr>
                  </w:pPr>
                  <w:r>
                    <w:rPr>
                      <w:rFonts w:hint="eastAsia"/>
                      <w:kern w:val="0"/>
                      <w:szCs w:val="21"/>
                    </w:rPr>
                    <w:t>危废贮存库</w:t>
                  </w:r>
                </w:p>
              </w:tc>
              <w:tc>
                <w:tcPr>
                  <w:tcW w:w="828" w:type="dxa"/>
                  <w:vAlign w:val="center"/>
                </w:tcPr>
                <w:p w14:paraId="520AB725">
                  <w:pPr>
                    <w:widowControl/>
                    <w:adjustRightInd w:val="0"/>
                    <w:snapToGrid w:val="0"/>
                    <w:jc w:val="center"/>
                    <w:rPr>
                      <w:kern w:val="0"/>
                      <w:szCs w:val="21"/>
                    </w:rPr>
                  </w:pPr>
                  <w:r>
                    <w:rPr>
                      <w:rFonts w:eastAsia="等线"/>
                      <w:szCs w:val="21"/>
                    </w:rPr>
                    <w:t>5870</w:t>
                  </w:r>
                </w:p>
              </w:tc>
              <w:tc>
                <w:tcPr>
                  <w:tcW w:w="1100" w:type="dxa"/>
                  <w:vAlign w:val="center"/>
                </w:tcPr>
                <w:p w14:paraId="520AB726">
                  <w:pPr>
                    <w:widowControl/>
                    <w:adjustRightInd w:val="0"/>
                    <w:snapToGrid w:val="0"/>
                    <w:jc w:val="center"/>
                    <w:rPr>
                      <w:kern w:val="0"/>
                      <w:szCs w:val="21"/>
                    </w:rPr>
                  </w:pPr>
                  <w:r>
                    <w:rPr>
                      <w:rFonts w:eastAsia="等线"/>
                      <w:szCs w:val="21"/>
                    </w:rPr>
                    <w:t>42.4</w:t>
                  </w:r>
                </w:p>
              </w:tc>
              <w:tc>
                <w:tcPr>
                  <w:tcW w:w="1085" w:type="dxa"/>
                  <w:vAlign w:val="center"/>
                </w:tcPr>
                <w:p w14:paraId="520AB727">
                  <w:pPr>
                    <w:widowControl/>
                    <w:adjustRightInd w:val="0"/>
                    <w:snapToGrid w:val="0"/>
                    <w:jc w:val="center"/>
                    <w:rPr>
                      <w:kern w:val="0"/>
                      <w:szCs w:val="21"/>
                    </w:rPr>
                  </w:pPr>
                  <w:r>
                    <w:rPr>
                      <w:rFonts w:eastAsia="等线"/>
                      <w:szCs w:val="21"/>
                    </w:rPr>
                    <w:t>0.257</w:t>
                  </w:r>
                </w:p>
              </w:tc>
              <w:tc>
                <w:tcPr>
                  <w:tcW w:w="827" w:type="dxa"/>
                  <w:vAlign w:val="center"/>
                </w:tcPr>
                <w:p w14:paraId="520AB728">
                  <w:pPr>
                    <w:widowControl/>
                    <w:adjustRightInd w:val="0"/>
                    <w:snapToGrid w:val="0"/>
                    <w:jc w:val="center"/>
                    <w:rPr>
                      <w:kern w:val="0"/>
                      <w:szCs w:val="21"/>
                    </w:rPr>
                  </w:pPr>
                  <w:r>
                    <w:rPr>
                      <w:rFonts w:eastAsia="等线"/>
                      <w:szCs w:val="21"/>
                    </w:rPr>
                    <w:t>6060</w:t>
                  </w:r>
                </w:p>
              </w:tc>
              <w:tc>
                <w:tcPr>
                  <w:tcW w:w="1100" w:type="dxa"/>
                  <w:vAlign w:val="center"/>
                </w:tcPr>
                <w:p w14:paraId="520AB729">
                  <w:pPr>
                    <w:widowControl/>
                    <w:adjustRightInd w:val="0"/>
                    <w:snapToGrid w:val="0"/>
                    <w:jc w:val="center"/>
                    <w:rPr>
                      <w:kern w:val="0"/>
                      <w:szCs w:val="21"/>
                    </w:rPr>
                  </w:pPr>
                  <w:r>
                    <w:rPr>
                      <w:rFonts w:eastAsia="等线"/>
                      <w:szCs w:val="21"/>
                    </w:rPr>
                    <w:t>4.55</w:t>
                  </w:r>
                </w:p>
              </w:tc>
              <w:tc>
                <w:tcPr>
                  <w:tcW w:w="1116" w:type="dxa"/>
                  <w:vAlign w:val="center"/>
                </w:tcPr>
                <w:p w14:paraId="520AB72A">
                  <w:pPr>
                    <w:widowControl/>
                    <w:adjustRightInd w:val="0"/>
                    <w:snapToGrid w:val="0"/>
                    <w:jc w:val="center"/>
                    <w:rPr>
                      <w:kern w:val="0"/>
                      <w:szCs w:val="21"/>
                    </w:rPr>
                  </w:pPr>
                  <w:r>
                    <w:rPr>
                      <w:rFonts w:eastAsia="等线"/>
                      <w:szCs w:val="21"/>
                    </w:rPr>
                    <w:t>0.027</w:t>
                  </w:r>
                </w:p>
              </w:tc>
              <w:tc>
                <w:tcPr>
                  <w:tcW w:w="943" w:type="dxa"/>
                  <w:vAlign w:val="center"/>
                </w:tcPr>
                <w:p w14:paraId="520AB72B">
                  <w:pPr>
                    <w:widowControl/>
                    <w:adjustRightInd w:val="0"/>
                    <w:snapToGrid w:val="0"/>
                    <w:jc w:val="center"/>
                    <w:rPr>
                      <w:kern w:val="0"/>
                      <w:szCs w:val="21"/>
                    </w:rPr>
                  </w:pPr>
                  <w:r>
                    <w:rPr>
                      <w:rFonts w:eastAsia="等线"/>
                      <w:szCs w:val="21"/>
                    </w:rPr>
                    <w:t>6000</w:t>
                  </w:r>
                </w:p>
              </w:tc>
              <w:tc>
                <w:tcPr>
                  <w:tcW w:w="1396" w:type="dxa"/>
                  <w:vAlign w:val="center"/>
                </w:tcPr>
                <w:p w14:paraId="520AB72C">
                  <w:pPr>
                    <w:widowControl/>
                    <w:adjustRightInd w:val="0"/>
                    <w:snapToGrid w:val="0"/>
                    <w:jc w:val="center"/>
                    <w:rPr>
                      <w:szCs w:val="21"/>
                    </w:rPr>
                  </w:pPr>
                  <w:r>
                    <w:rPr>
                      <w:rFonts w:eastAsia="等线"/>
                      <w:szCs w:val="21"/>
                    </w:rPr>
                    <w:t>0.4629</w:t>
                  </w:r>
                </w:p>
              </w:tc>
            </w:tr>
            <w:tr w14:paraId="520AB73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restart"/>
                  <w:vAlign w:val="center"/>
                </w:tcPr>
                <w:p w14:paraId="520AB72E">
                  <w:pPr>
                    <w:adjustRightInd w:val="0"/>
                    <w:snapToGrid w:val="0"/>
                    <w:jc w:val="center"/>
                    <w:rPr>
                      <w:kern w:val="0"/>
                      <w:szCs w:val="21"/>
                    </w:rPr>
                  </w:pPr>
                  <w:r>
                    <w:rPr>
                      <w:rFonts w:hint="eastAsia"/>
                      <w:kern w:val="0"/>
                      <w:szCs w:val="21"/>
                    </w:rPr>
                    <w:t>2</w:t>
                  </w:r>
                  <w:r>
                    <w:rPr>
                      <w:kern w:val="0"/>
                      <w:szCs w:val="21"/>
                    </w:rPr>
                    <w:t>025.4.28</w:t>
                  </w:r>
                </w:p>
              </w:tc>
              <w:tc>
                <w:tcPr>
                  <w:tcW w:w="749" w:type="dxa"/>
                  <w:vAlign w:val="center"/>
                </w:tcPr>
                <w:p w14:paraId="520AB72F">
                  <w:pPr>
                    <w:widowControl/>
                    <w:adjustRightInd w:val="0"/>
                    <w:snapToGrid w:val="0"/>
                    <w:jc w:val="center"/>
                    <w:rPr>
                      <w:kern w:val="0"/>
                      <w:szCs w:val="21"/>
                    </w:rPr>
                  </w:pPr>
                  <w:r>
                    <w:rPr>
                      <w:kern w:val="0"/>
                      <w:szCs w:val="21"/>
                    </w:rPr>
                    <w:t>DA025</w:t>
                  </w:r>
                </w:p>
              </w:tc>
              <w:tc>
                <w:tcPr>
                  <w:tcW w:w="1035" w:type="dxa"/>
                  <w:vAlign w:val="center"/>
                </w:tcPr>
                <w:p w14:paraId="520AB730">
                  <w:pPr>
                    <w:widowControl/>
                    <w:adjustRightInd w:val="0"/>
                    <w:snapToGrid w:val="0"/>
                    <w:jc w:val="center"/>
                    <w:rPr>
                      <w:kern w:val="0"/>
                      <w:szCs w:val="21"/>
                    </w:rPr>
                  </w:pPr>
                  <w:r>
                    <w:rPr>
                      <w:kern w:val="0"/>
                      <w:szCs w:val="21"/>
                    </w:rPr>
                    <w:t>非甲烷总烃</w:t>
                  </w:r>
                </w:p>
              </w:tc>
              <w:tc>
                <w:tcPr>
                  <w:tcW w:w="1326" w:type="dxa"/>
                  <w:vAlign w:val="center"/>
                </w:tcPr>
                <w:p w14:paraId="520AB731">
                  <w:pPr>
                    <w:widowControl/>
                    <w:adjustRightInd w:val="0"/>
                    <w:snapToGrid w:val="0"/>
                    <w:jc w:val="center"/>
                    <w:rPr>
                      <w:kern w:val="0"/>
                      <w:szCs w:val="21"/>
                    </w:rPr>
                  </w:pPr>
                  <w:r>
                    <w:rPr>
                      <w:kern w:val="0"/>
                      <w:szCs w:val="21"/>
                    </w:rPr>
                    <w:t>101</w:t>
                  </w:r>
                  <w:r>
                    <w:rPr>
                      <w:rFonts w:hint="eastAsia"/>
                      <w:kern w:val="0"/>
                      <w:szCs w:val="21"/>
                    </w:rPr>
                    <w:t>#厂房</w:t>
                  </w:r>
                  <w:r>
                    <w:rPr>
                      <w:kern w:val="0"/>
                      <w:szCs w:val="21"/>
                    </w:rPr>
                    <w:t>油类试验</w:t>
                  </w:r>
                  <w:r>
                    <w:rPr>
                      <w:rFonts w:hint="eastAsia"/>
                      <w:kern w:val="0"/>
                      <w:szCs w:val="21"/>
                    </w:rPr>
                    <w:t>1#</w:t>
                  </w:r>
                </w:p>
              </w:tc>
              <w:tc>
                <w:tcPr>
                  <w:tcW w:w="828" w:type="dxa"/>
                  <w:vAlign w:val="center"/>
                </w:tcPr>
                <w:p w14:paraId="520AB732">
                  <w:pPr>
                    <w:widowControl/>
                    <w:adjustRightInd w:val="0"/>
                    <w:snapToGrid w:val="0"/>
                    <w:jc w:val="center"/>
                    <w:rPr>
                      <w:kern w:val="0"/>
                      <w:szCs w:val="21"/>
                    </w:rPr>
                  </w:pPr>
                  <w:r>
                    <w:rPr>
                      <w:rFonts w:eastAsia="等线"/>
                      <w:szCs w:val="21"/>
                    </w:rPr>
                    <w:t>26400</w:t>
                  </w:r>
                </w:p>
              </w:tc>
              <w:tc>
                <w:tcPr>
                  <w:tcW w:w="1100" w:type="dxa"/>
                  <w:vAlign w:val="center"/>
                </w:tcPr>
                <w:p w14:paraId="520AB733">
                  <w:pPr>
                    <w:widowControl/>
                    <w:adjustRightInd w:val="0"/>
                    <w:snapToGrid w:val="0"/>
                    <w:jc w:val="center"/>
                    <w:rPr>
                      <w:kern w:val="0"/>
                      <w:szCs w:val="21"/>
                    </w:rPr>
                  </w:pPr>
                  <w:r>
                    <w:rPr>
                      <w:rFonts w:eastAsia="等线"/>
                      <w:szCs w:val="21"/>
                    </w:rPr>
                    <w:t>42.8</w:t>
                  </w:r>
                </w:p>
              </w:tc>
              <w:tc>
                <w:tcPr>
                  <w:tcW w:w="1085" w:type="dxa"/>
                  <w:vAlign w:val="center"/>
                </w:tcPr>
                <w:p w14:paraId="520AB734">
                  <w:pPr>
                    <w:widowControl/>
                    <w:adjustRightInd w:val="0"/>
                    <w:snapToGrid w:val="0"/>
                    <w:jc w:val="center"/>
                    <w:rPr>
                      <w:kern w:val="0"/>
                      <w:szCs w:val="21"/>
                    </w:rPr>
                  </w:pPr>
                  <w:r>
                    <w:rPr>
                      <w:rFonts w:eastAsia="等线"/>
                      <w:szCs w:val="21"/>
                    </w:rPr>
                    <w:t>1.129</w:t>
                  </w:r>
                </w:p>
              </w:tc>
              <w:tc>
                <w:tcPr>
                  <w:tcW w:w="827" w:type="dxa"/>
                  <w:vAlign w:val="center"/>
                </w:tcPr>
                <w:p w14:paraId="520AB735">
                  <w:pPr>
                    <w:widowControl/>
                    <w:adjustRightInd w:val="0"/>
                    <w:snapToGrid w:val="0"/>
                    <w:jc w:val="center"/>
                    <w:rPr>
                      <w:kern w:val="0"/>
                      <w:szCs w:val="21"/>
                    </w:rPr>
                  </w:pPr>
                  <w:r>
                    <w:rPr>
                      <w:rFonts w:eastAsia="等线"/>
                      <w:szCs w:val="21"/>
                    </w:rPr>
                    <w:t>30300</w:t>
                  </w:r>
                </w:p>
              </w:tc>
              <w:tc>
                <w:tcPr>
                  <w:tcW w:w="1100" w:type="dxa"/>
                  <w:vAlign w:val="center"/>
                </w:tcPr>
                <w:p w14:paraId="520AB736">
                  <w:pPr>
                    <w:widowControl/>
                    <w:adjustRightInd w:val="0"/>
                    <w:snapToGrid w:val="0"/>
                    <w:jc w:val="center"/>
                    <w:rPr>
                      <w:kern w:val="0"/>
                      <w:szCs w:val="21"/>
                    </w:rPr>
                  </w:pPr>
                  <w:r>
                    <w:rPr>
                      <w:rFonts w:eastAsia="等线"/>
                      <w:szCs w:val="21"/>
                    </w:rPr>
                    <w:t>3.52</w:t>
                  </w:r>
                </w:p>
              </w:tc>
              <w:tc>
                <w:tcPr>
                  <w:tcW w:w="1116" w:type="dxa"/>
                  <w:vAlign w:val="center"/>
                </w:tcPr>
                <w:p w14:paraId="520AB737">
                  <w:pPr>
                    <w:widowControl/>
                    <w:adjustRightInd w:val="0"/>
                    <w:snapToGrid w:val="0"/>
                    <w:jc w:val="center"/>
                    <w:rPr>
                      <w:kern w:val="0"/>
                      <w:szCs w:val="21"/>
                    </w:rPr>
                  </w:pPr>
                  <w:r>
                    <w:rPr>
                      <w:rFonts w:eastAsia="等线"/>
                      <w:szCs w:val="21"/>
                    </w:rPr>
                    <w:t>0.107</w:t>
                  </w:r>
                </w:p>
              </w:tc>
              <w:tc>
                <w:tcPr>
                  <w:tcW w:w="943" w:type="dxa"/>
                  <w:vAlign w:val="center"/>
                </w:tcPr>
                <w:p w14:paraId="520AB738">
                  <w:pPr>
                    <w:widowControl/>
                    <w:adjustRightInd w:val="0"/>
                    <w:snapToGrid w:val="0"/>
                    <w:jc w:val="center"/>
                    <w:rPr>
                      <w:szCs w:val="21"/>
                    </w:rPr>
                  </w:pPr>
                  <w:r>
                    <w:rPr>
                      <w:rFonts w:eastAsia="等线"/>
                      <w:szCs w:val="21"/>
                    </w:rPr>
                    <w:t>200</w:t>
                  </w:r>
                </w:p>
              </w:tc>
              <w:tc>
                <w:tcPr>
                  <w:tcW w:w="1396" w:type="dxa"/>
                  <w:vAlign w:val="center"/>
                </w:tcPr>
                <w:p w14:paraId="520AB739">
                  <w:pPr>
                    <w:widowControl/>
                    <w:adjustRightInd w:val="0"/>
                    <w:snapToGrid w:val="0"/>
                    <w:jc w:val="center"/>
                    <w:rPr>
                      <w:szCs w:val="21"/>
                    </w:rPr>
                  </w:pPr>
                  <w:r>
                    <w:rPr>
                      <w:rFonts w:eastAsia="等线"/>
                      <w:szCs w:val="21"/>
                    </w:rPr>
                    <w:t>0.0611</w:t>
                  </w:r>
                </w:p>
              </w:tc>
            </w:tr>
            <w:tr w14:paraId="520AB74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3B">
                  <w:pPr>
                    <w:adjustRightInd w:val="0"/>
                    <w:snapToGrid w:val="0"/>
                    <w:jc w:val="center"/>
                    <w:rPr>
                      <w:kern w:val="0"/>
                      <w:szCs w:val="21"/>
                    </w:rPr>
                  </w:pPr>
                </w:p>
              </w:tc>
              <w:tc>
                <w:tcPr>
                  <w:tcW w:w="749" w:type="dxa"/>
                  <w:vAlign w:val="center"/>
                </w:tcPr>
                <w:p w14:paraId="520AB73C">
                  <w:pPr>
                    <w:widowControl/>
                    <w:adjustRightInd w:val="0"/>
                    <w:snapToGrid w:val="0"/>
                    <w:jc w:val="center"/>
                    <w:rPr>
                      <w:kern w:val="0"/>
                      <w:szCs w:val="21"/>
                    </w:rPr>
                  </w:pPr>
                  <w:r>
                    <w:rPr>
                      <w:kern w:val="0"/>
                      <w:szCs w:val="21"/>
                    </w:rPr>
                    <w:t>DA026</w:t>
                  </w:r>
                </w:p>
              </w:tc>
              <w:tc>
                <w:tcPr>
                  <w:tcW w:w="1035" w:type="dxa"/>
                  <w:vAlign w:val="center"/>
                </w:tcPr>
                <w:p w14:paraId="520AB73D">
                  <w:pPr>
                    <w:widowControl/>
                    <w:adjustRightInd w:val="0"/>
                    <w:snapToGrid w:val="0"/>
                    <w:jc w:val="center"/>
                    <w:rPr>
                      <w:kern w:val="0"/>
                      <w:szCs w:val="21"/>
                    </w:rPr>
                  </w:pPr>
                  <w:r>
                    <w:rPr>
                      <w:kern w:val="0"/>
                      <w:szCs w:val="21"/>
                    </w:rPr>
                    <w:t>非甲烷总烃</w:t>
                  </w:r>
                </w:p>
              </w:tc>
              <w:tc>
                <w:tcPr>
                  <w:tcW w:w="1326" w:type="dxa"/>
                  <w:vAlign w:val="center"/>
                </w:tcPr>
                <w:p w14:paraId="520AB73E">
                  <w:pPr>
                    <w:widowControl/>
                    <w:adjustRightInd w:val="0"/>
                    <w:snapToGrid w:val="0"/>
                    <w:jc w:val="center"/>
                    <w:rPr>
                      <w:kern w:val="0"/>
                      <w:szCs w:val="21"/>
                    </w:rPr>
                  </w:pPr>
                  <w:r>
                    <w:rPr>
                      <w:kern w:val="0"/>
                      <w:szCs w:val="21"/>
                    </w:rPr>
                    <w:t>1206</w:t>
                  </w:r>
                  <w:r>
                    <w:rPr>
                      <w:rFonts w:hint="eastAsia"/>
                      <w:kern w:val="0"/>
                      <w:szCs w:val="21"/>
                    </w:rPr>
                    <w:t>#厂房</w:t>
                  </w:r>
                  <w:r>
                    <w:rPr>
                      <w:kern w:val="0"/>
                      <w:szCs w:val="21"/>
                    </w:rPr>
                    <w:t>油类试验</w:t>
                  </w:r>
                </w:p>
              </w:tc>
              <w:tc>
                <w:tcPr>
                  <w:tcW w:w="828" w:type="dxa"/>
                  <w:vAlign w:val="center"/>
                </w:tcPr>
                <w:p w14:paraId="520AB73F">
                  <w:pPr>
                    <w:widowControl/>
                    <w:adjustRightInd w:val="0"/>
                    <w:snapToGrid w:val="0"/>
                    <w:jc w:val="center"/>
                    <w:rPr>
                      <w:kern w:val="0"/>
                      <w:szCs w:val="21"/>
                    </w:rPr>
                  </w:pPr>
                  <w:r>
                    <w:rPr>
                      <w:rFonts w:eastAsia="等线"/>
                      <w:szCs w:val="21"/>
                    </w:rPr>
                    <w:t>20200</w:t>
                  </w:r>
                </w:p>
              </w:tc>
              <w:tc>
                <w:tcPr>
                  <w:tcW w:w="1100" w:type="dxa"/>
                  <w:vAlign w:val="center"/>
                </w:tcPr>
                <w:p w14:paraId="520AB740">
                  <w:pPr>
                    <w:widowControl/>
                    <w:adjustRightInd w:val="0"/>
                    <w:snapToGrid w:val="0"/>
                    <w:jc w:val="center"/>
                    <w:rPr>
                      <w:kern w:val="0"/>
                      <w:szCs w:val="21"/>
                    </w:rPr>
                  </w:pPr>
                  <w:r>
                    <w:rPr>
                      <w:rFonts w:eastAsia="等线"/>
                      <w:szCs w:val="21"/>
                    </w:rPr>
                    <w:t>43.4</w:t>
                  </w:r>
                </w:p>
              </w:tc>
              <w:tc>
                <w:tcPr>
                  <w:tcW w:w="1085" w:type="dxa"/>
                  <w:vAlign w:val="center"/>
                </w:tcPr>
                <w:p w14:paraId="520AB741">
                  <w:pPr>
                    <w:widowControl/>
                    <w:adjustRightInd w:val="0"/>
                    <w:snapToGrid w:val="0"/>
                    <w:jc w:val="center"/>
                    <w:rPr>
                      <w:kern w:val="0"/>
                      <w:szCs w:val="21"/>
                    </w:rPr>
                  </w:pPr>
                  <w:r>
                    <w:rPr>
                      <w:rFonts w:eastAsia="等线"/>
                      <w:szCs w:val="21"/>
                    </w:rPr>
                    <w:t>0.878</w:t>
                  </w:r>
                </w:p>
              </w:tc>
              <w:tc>
                <w:tcPr>
                  <w:tcW w:w="827" w:type="dxa"/>
                  <w:vAlign w:val="center"/>
                </w:tcPr>
                <w:p w14:paraId="520AB742">
                  <w:pPr>
                    <w:widowControl/>
                    <w:adjustRightInd w:val="0"/>
                    <w:snapToGrid w:val="0"/>
                    <w:jc w:val="center"/>
                    <w:rPr>
                      <w:kern w:val="0"/>
                      <w:szCs w:val="21"/>
                    </w:rPr>
                  </w:pPr>
                  <w:r>
                    <w:rPr>
                      <w:rFonts w:eastAsia="等线"/>
                      <w:szCs w:val="21"/>
                    </w:rPr>
                    <w:t>24200</w:t>
                  </w:r>
                </w:p>
              </w:tc>
              <w:tc>
                <w:tcPr>
                  <w:tcW w:w="1100" w:type="dxa"/>
                  <w:vAlign w:val="center"/>
                </w:tcPr>
                <w:p w14:paraId="520AB743">
                  <w:pPr>
                    <w:widowControl/>
                    <w:adjustRightInd w:val="0"/>
                    <w:snapToGrid w:val="0"/>
                    <w:jc w:val="center"/>
                    <w:rPr>
                      <w:kern w:val="0"/>
                      <w:szCs w:val="21"/>
                    </w:rPr>
                  </w:pPr>
                  <w:r>
                    <w:rPr>
                      <w:rFonts w:eastAsia="等线"/>
                      <w:szCs w:val="21"/>
                    </w:rPr>
                    <w:t>3.66</w:t>
                  </w:r>
                </w:p>
              </w:tc>
              <w:tc>
                <w:tcPr>
                  <w:tcW w:w="1116" w:type="dxa"/>
                  <w:vAlign w:val="center"/>
                </w:tcPr>
                <w:p w14:paraId="520AB744">
                  <w:pPr>
                    <w:widowControl/>
                    <w:adjustRightInd w:val="0"/>
                    <w:snapToGrid w:val="0"/>
                    <w:jc w:val="center"/>
                    <w:rPr>
                      <w:kern w:val="0"/>
                      <w:szCs w:val="21"/>
                    </w:rPr>
                  </w:pPr>
                  <w:r>
                    <w:rPr>
                      <w:rFonts w:eastAsia="等线"/>
                      <w:szCs w:val="21"/>
                    </w:rPr>
                    <w:t>0.088</w:t>
                  </w:r>
                </w:p>
              </w:tc>
              <w:tc>
                <w:tcPr>
                  <w:tcW w:w="943" w:type="dxa"/>
                  <w:vAlign w:val="center"/>
                </w:tcPr>
                <w:p w14:paraId="520AB745">
                  <w:pPr>
                    <w:widowControl/>
                    <w:adjustRightInd w:val="0"/>
                    <w:snapToGrid w:val="0"/>
                    <w:jc w:val="center"/>
                    <w:rPr>
                      <w:szCs w:val="21"/>
                    </w:rPr>
                  </w:pPr>
                  <w:r>
                    <w:rPr>
                      <w:rFonts w:eastAsia="等线"/>
                      <w:szCs w:val="21"/>
                    </w:rPr>
                    <w:t>200</w:t>
                  </w:r>
                </w:p>
              </w:tc>
              <w:tc>
                <w:tcPr>
                  <w:tcW w:w="1396" w:type="dxa"/>
                  <w:vAlign w:val="center"/>
                </w:tcPr>
                <w:p w14:paraId="520AB746">
                  <w:pPr>
                    <w:widowControl/>
                    <w:adjustRightInd w:val="0"/>
                    <w:snapToGrid w:val="0"/>
                    <w:jc w:val="center"/>
                    <w:rPr>
                      <w:szCs w:val="21"/>
                    </w:rPr>
                  </w:pPr>
                  <w:r>
                    <w:rPr>
                      <w:rFonts w:eastAsia="等线"/>
                      <w:szCs w:val="21"/>
                    </w:rPr>
                    <w:t>0.0503</w:t>
                  </w:r>
                </w:p>
              </w:tc>
            </w:tr>
            <w:tr w14:paraId="520AB75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restart"/>
                  <w:vAlign w:val="center"/>
                </w:tcPr>
                <w:p w14:paraId="520AB748">
                  <w:pPr>
                    <w:adjustRightInd w:val="0"/>
                    <w:snapToGrid w:val="0"/>
                    <w:jc w:val="center"/>
                    <w:rPr>
                      <w:kern w:val="0"/>
                      <w:szCs w:val="21"/>
                    </w:rPr>
                  </w:pPr>
                  <w:r>
                    <w:rPr>
                      <w:kern w:val="0"/>
                      <w:szCs w:val="21"/>
                    </w:rPr>
                    <w:t>在建工程（按照环评预测值填写）</w:t>
                  </w:r>
                </w:p>
              </w:tc>
              <w:tc>
                <w:tcPr>
                  <w:tcW w:w="749" w:type="dxa"/>
                  <w:vAlign w:val="center"/>
                </w:tcPr>
                <w:p w14:paraId="520AB749">
                  <w:pPr>
                    <w:widowControl/>
                    <w:adjustRightInd w:val="0"/>
                    <w:snapToGrid w:val="0"/>
                    <w:jc w:val="center"/>
                    <w:rPr>
                      <w:kern w:val="0"/>
                      <w:szCs w:val="21"/>
                    </w:rPr>
                  </w:pPr>
                  <w:r>
                    <w:rPr>
                      <w:rFonts w:eastAsia="等线"/>
                      <w:szCs w:val="21"/>
                    </w:rPr>
                    <w:t>DA013</w:t>
                  </w:r>
                </w:p>
              </w:tc>
              <w:tc>
                <w:tcPr>
                  <w:tcW w:w="1035" w:type="dxa"/>
                  <w:vAlign w:val="center"/>
                </w:tcPr>
                <w:p w14:paraId="520AB74A">
                  <w:pPr>
                    <w:widowControl/>
                    <w:adjustRightInd w:val="0"/>
                    <w:snapToGrid w:val="0"/>
                    <w:jc w:val="center"/>
                    <w:rPr>
                      <w:szCs w:val="21"/>
                    </w:rPr>
                  </w:pPr>
                  <w:r>
                    <w:rPr>
                      <w:rFonts w:hint="eastAsia"/>
                      <w:szCs w:val="21"/>
                    </w:rPr>
                    <w:t>颗粒物</w:t>
                  </w:r>
                </w:p>
              </w:tc>
              <w:tc>
                <w:tcPr>
                  <w:tcW w:w="1326" w:type="dxa"/>
                  <w:vAlign w:val="center"/>
                </w:tcPr>
                <w:p w14:paraId="520AB74B">
                  <w:pPr>
                    <w:widowControl/>
                    <w:adjustRightInd w:val="0"/>
                    <w:snapToGrid w:val="0"/>
                    <w:jc w:val="center"/>
                    <w:rPr>
                      <w:szCs w:val="21"/>
                    </w:rPr>
                  </w:pPr>
                  <w:r>
                    <w:rPr>
                      <w:rFonts w:eastAsia="等线"/>
                      <w:szCs w:val="21"/>
                    </w:rPr>
                    <w:t>101</w:t>
                  </w:r>
                  <w:r>
                    <w:rPr>
                      <w:rFonts w:hint="eastAsia"/>
                      <w:kern w:val="0"/>
                      <w:szCs w:val="21"/>
                    </w:rPr>
                    <w:t>#厂房</w:t>
                  </w:r>
                  <w:r>
                    <w:rPr>
                      <w:rFonts w:hint="eastAsia"/>
                      <w:szCs w:val="21"/>
                    </w:rPr>
                    <w:t>吹砂</w:t>
                  </w:r>
                </w:p>
              </w:tc>
              <w:tc>
                <w:tcPr>
                  <w:tcW w:w="828" w:type="dxa"/>
                  <w:vAlign w:val="center"/>
                </w:tcPr>
                <w:p w14:paraId="520AB74C">
                  <w:pPr>
                    <w:widowControl/>
                    <w:adjustRightInd w:val="0"/>
                    <w:snapToGrid w:val="0"/>
                    <w:jc w:val="center"/>
                    <w:rPr>
                      <w:kern w:val="0"/>
                      <w:szCs w:val="21"/>
                    </w:rPr>
                  </w:pPr>
                  <w:r>
                    <w:rPr>
                      <w:rFonts w:eastAsia="等线"/>
                      <w:szCs w:val="21"/>
                    </w:rPr>
                    <w:t>/</w:t>
                  </w:r>
                </w:p>
              </w:tc>
              <w:tc>
                <w:tcPr>
                  <w:tcW w:w="1100" w:type="dxa"/>
                  <w:vAlign w:val="center"/>
                </w:tcPr>
                <w:p w14:paraId="520AB74D">
                  <w:pPr>
                    <w:widowControl/>
                    <w:adjustRightInd w:val="0"/>
                    <w:snapToGrid w:val="0"/>
                    <w:jc w:val="center"/>
                    <w:rPr>
                      <w:kern w:val="0"/>
                      <w:szCs w:val="21"/>
                    </w:rPr>
                  </w:pPr>
                  <w:r>
                    <w:rPr>
                      <w:rFonts w:eastAsia="等线"/>
                      <w:szCs w:val="21"/>
                    </w:rPr>
                    <w:t>/</w:t>
                  </w:r>
                </w:p>
              </w:tc>
              <w:tc>
                <w:tcPr>
                  <w:tcW w:w="1085" w:type="dxa"/>
                  <w:vAlign w:val="center"/>
                </w:tcPr>
                <w:p w14:paraId="520AB74E">
                  <w:pPr>
                    <w:widowControl/>
                    <w:adjustRightInd w:val="0"/>
                    <w:snapToGrid w:val="0"/>
                    <w:jc w:val="center"/>
                    <w:rPr>
                      <w:kern w:val="0"/>
                      <w:szCs w:val="21"/>
                    </w:rPr>
                  </w:pPr>
                  <w:r>
                    <w:rPr>
                      <w:rFonts w:eastAsia="等线"/>
                      <w:szCs w:val="21"/>
                    </w:rPr>
                    <w:t>/</w:t>
                  </w:r>
                </w:p>
              </w:tc>
              <w:tc>
                <w:tcPr>
                  <w:tcW w:w="827" w:type="dxa"/>
                  <w:vAlign w:val="center"/>
                </w:tcPr>
                <w:p w14:paraId="520AB74F">
                  <w:pPr>
                    <w:widowControl/>
                    <w:adjustRightInd w:val="0"/>
                    <w:snapToGrid w:val="0"/>
                    <w:jc w:val="center"/>
                    <w:rPr>
                      <w:kern w:val="0"/>
                      <w:szCs w:val="21"/>
                    </w:rPr>
                  </w:pPr>
                  <w:r>
                    <w:rPr>
                      <w:rFonts w:eastAsia="等线"/>
                      <w:szCs w:val="21"/>
                    </w:rPr>
                    <w:t>1500</w:t>
                  </w:r>
                </w:p>
              </w:tc>
              <w:tc>
                <w:tcPr>
                  <w:tcW w:w="1100" w:type="dxa"/>
                  <w:vAlign w:val="center"/>
                </w:tcPr>
                <w:p w14:paraId="520AB750">
                  <w:pPr>
                    <w:widowControl/>
                    <w:adjustRightInd w:val="0"/>
                    <w:snapToGrid w:val="0"/>
                    <w:jc w:val="center"/>
                    <w:rPr>
                      <w:kern w:val="0"/>
                      <w:szCs w:val="21"/>
                    </w:rPr>
                  </w:pPr>
                  <w:r>
                    <w:rPr>
                      <w:rFonts w:eastAsia="等线"/>
                      <w:szCs w:val="21"/>
                    </w:rPr>
                    <w:t>2.6</w:t>
                  </w:r>
                </w:p>
              </w:tc>
              <w:tc>
                <w:tcPr>
                  <w:tcW w:w="1116" w:type="dxa"/>
                  <w:vAlign w:val="center"/>
                </w:tcPr>
                <w:p w14:paraId="520AB751">
                  <w:pPr>
                    <w:widowControl/>
                    <w:adjustRightInd w:val="0"/>
                    <w:snapToGrid w:val="0"/>
                    <w:jc w:val="center"/>
                    <w:rPr>
                      <w:kern w:val="0"/>
                      <w:szCs w:val="21"/>
                    </w:rPr>
                  </w:pPr>
                  <w:r>
                    <w:rPr>
                      <w:rFonts w:eastAsia="等线"/>
                      <w:szCs w:val="21"/>
                    </w:rPr>
                    <w:t>0.0039</w:t>
                  </w:r>
                </w:p>
              </w:tc>
              <w:tc>
                <w:tcPr>
                  <w:tcW w:w="943" w:type="dxa"/>
                  <w:vAlign w:val="center"/>
                </w:tcPr>
                <w:p w14:paraId="520AB752">
                  <w:pPr>
                    <w:widowControl/>
                    <w:adjustRightInd w:val="0"/>
                    <w:snapToGrid w:val="0"/>
                    <w:jc w:val="center"/>
                    <w:rPr>
                      <w:kern w:val="0"/>
                      <w:szCs w:val="21"/>
                    </w:rPr>
                  </w:pPr>
                  <w:r>
                    <w:rPr>
                      <w:rFonts w:eastAsia="等线"/>
                      <w:szCs w:val="21"/>
                    </w:rPr>
                    <w:t>1000</w:t>
                  </w:r>
                </w:p>
              </w:tc>
              <w:tc>
                <w:tcPr>
                  <w:tcW w:w="1396" w:type="dxa"/>
                  <w:vAlign w:val="center"/>
                </w:tcPr>
                <w:p w14:paraId="520AB753">
                  <w:pPr>
                    <w:widowControl/>
                    <w:adjustRightInd w:val="0"/>
                    <w:snapToGrid w:val="0"/>
                    <w:jc w:val="center"/>
                    <w:rPr>
                      <w:kern w:val="0"/>
                      <w:szCs w:val="21"/>
                    </w:rPr>
                  </w:pPr>
                  <w:r>
                    <w:rPr>
                      <w:rFonts w:eastAsia="等线"/>
                      <w:szCs w:val="21"/>
                    </w:rPr>
                    <w:t>0.0039</w:t>
                  </w:r>
                </w:p>
              </w:tc>
            </w:tr>
            <w:tr w14:paraId="520AB76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55">
                  <w:pPr>
                    <w:adjustRightInd w:val="0"/>
                    <w:snapToGrid w:val="0"/>
                    <w:jc w:val="center"/>
                    <w:rPr>
                      <w:kern w:val="0"/>
                      <w:szCs w:val="21"/>
                    </w:rPr>
                  </w:pPr>
                </w:p>
              </w:tc>
              <w:tc>
                <w:tcPr>
                  <w:tcW w:w="749" w:type="dxa"/>
                  <w:vAlign w:val="center"/>
                </w:tcPr>
                <w:p w14:paraId="520AB756">
                  <w:pPr>
                    <w:widowControl/>
                    <w:adjustRightInd w:val="0"/>
                    <w:snapToGrid w:val="0"/>
                    <w:jc w:val="center"/>
                    <w:rPr>
                      <w:kern w:val="0"/>
                      <w:szCs w:val="21"/>
                    </w:rPr>
                  </w:pPr>
                  <w:r>
                    <w:rPr>
                      <w:kern w:val="0"/>
                      <w:szCs w:val="21"/>
                    </w:rPr>
                    <w:t>DA017</w:t>
                  </w:r>
                </w:p>
              </w:tc>
              <w:tc>
                <w:tcPr>
                  <w:tcW w:w="1035" w:type="dxa"/>
                  <w:vAlign w:val="center"/>
                </w:tcPr>
                <w:p w14:paraId="520AB757">
                  <w:pPr>
                    <w:widowControl/>
                    <w:adjustRightInd w:val="0"/>
                    <w:snapToGrid w:val="0"/>
                    <w:jc w:val="center"/>
                    <w:rPr>
                      <w:szCs w:val="21"/>
                    </w:rPr>
                  </w:pPr>
                  <w:r>
                    <w:rPr>
                      <w:rFonts w:hint="eastAsia"/>
                      <w:szCs w:val="21"/>
                    </w:rPr>
                    <w:t>非甲烷总烃</w:t>
                  </w:r>
                </w:p>
              </w:tc>
              <w:tc>
                <w:tcPr>
                  <w:tcW w:w="1326" w:type="dxa"/>
                  <w:vAlign w:val="center"/>
                </w:tcPr>
                <w:p w14:paraId="520AB758">
                  <w:pPr>
                    <w:widowControl/>
                    <w:adjustRightInd w:val="0"/>
                    <w:snapToGrid w:val="0"/>
                    <w:jc w:val="center"/>
                    <w:rPr>
                      <w:szCs w:val="22"/>
                    </w:rPr>
                  </w:pPr>
                  <w:r>
                    <w:rPr>
                      <w:rFonts w:hint="eastAsia"/>
                      <w:szCs w:val="21"/>
                    </w:rPr>
                    <w:t>1</w:t>
                  </w:r>
                  <w:r>
                    <w:rPr>
                      <w:szCs w:val="21"/>
                    </w:rPr>
                    <w:t>68</w:t>
                  </w:r>
                  <w:r>
                    <w:rPr>
                      <w:rFonts w:hint="eastAsia"/>
                      <w:kern w:val="0"/>
                      <w:szCs w:val="21"/>
                    </w:rPr>
                    <w:t>#厂房</w:t>
                  </w:r>
                  <w:r>
                    <w:rPr>
                      <w:rFonts w:hint="eastAsia"/>
                      <w:szCs w:val="21"/>
                    </w:rPr>
                    <w:t>油类试验</w:t>
                  </w:r>
                </w:p>
              </w:tc>
              <w:tc>
                <w:tcPr>
                  <w:tcW w:w="828" w:type="dxa"/>
                  <w:vAlign w:val="center"/>
                </w:tcPr>
                <w:p w14:paraId="520AB759">
                  <w:pPr>
                    <w:widowControl/>
                    <w:adjustRightInd w:val="0"/>
                    <w:snapToGrid w:val="0"/>
                    <w:jc w:val="center"/>
                    <w:rPr>
                      <w:kern w:val="0"/>
                      <w:szCs w:val="21"/>
                    </w:rPr>
                  </w:pPr>
                  <w:r>
                    <w:rPr>
                      <w:kern w:val="0"/>
                      <w:szCs w:val="21"/>
                    </w:rPr>
                    <w:t>/</w:t>
                  </w:r>
                </w:p>
              </w:tc>
              <w:tc>
                <w:tcPr>
                  <w:tcW w:w="1100" w:type="dxa"/>
                  <w:vAlign w:val="center"/>
                </w:tcPr>
                <w:p w14:paraId="520AB75A">
                  <w:pPr>
                    <w:widowControl/>
                    <w:adjustRightInd w:val="0"/>
                    <w:snapToGrid w:val="0"/>
                    <w:jc w:val="center"/>
                    <w:rPr>
                      <w:kern w:val="0"/>
                      <w:szCs w:val="21"/>
                    </w:rPr>
                  </w:pPr>
                  <w:r>
                    <w:rPr>
                      <w:kern w:val="0"/>
                      <w:szCs w:val="21"/>
                    </w:rPr>
                    <w:t>/</w:t>
                  </w:r>
                </w:p>
              </w:tc>
              <w:tc>
                <w:tcPr>
                  <w:tcW w:w="1085" w:type="dxa"/>
                  <w:vAlign w:val="center"/>
                </w:tcPr>
                <w:p w14:paraId="520AB75B">
                  <w:pPr>
                    <w:widowControl/>
                    <w:adjustRightInd w:val="0"/>
                    <w:snapToGrid w:val="0"/>
                    <w:jc w:val="center"/>
                    <w:rPr>
                      <w:kern w:val="0"/>
                      <w:szCs w:val="21"/>
                    </w:rPr>
                  </w:pPr>
                  <w:r>
                    <w:rPr>
                      <w:kern w:val="0"/>
                      <w:szCs w:val="21"/>
                    </w:rPr>
                    <w:t>/</w:t>
                  </w:r>
                </w:p>
              </w:tc>
              <w:tc>
                <w:tcPr>
                  <w:tcW w:w="827" w:type="dxa"/>
                  <w:vAlign w:val="center"/>
                </w:tcPr>
                <w:p w14:paraId="520AB75C">
                  <w:pPr>
                    <w:widowControl/>
                    <w:adjustRightInd w:val="0"/>
                    <w:snapToGrid w:val="0"/>
                    <w:jc w:val="center"/>
                    <w:rPr>
                      <w:kern w:val="0"/>
                      <w:szCs w:val="21"/>
                    </w:rPr>
                  </w:pPr>
                  <w:r>
                    <w:rPr>
                      <w:rFonts w:eastAsia="等线"/>
                      <w:szCs w:val="21"/>
                    </w:rPr>
                    <w:t>2500</w:t>
                  </w:r>
                </w:p>
              </w:tc>
              <w:tc>
                <w:tcPr>
                  <w:tcW w:w="1100" w:type="dxa"/>
                  <w:vAlign w:val="center"/>
                </w:tcPr>
                <w:p w14:paraId="520AB75D">
                  <w:pPr>
                    <w:widowControl/>
                    <w:adjustRightInd w:val="0"/>
                    <w:snapToGrid w:val="0"/>
                    <w:jc w:val="center"/>
                    <w:rPr>
                      <w:kern w:val="0"/>
                      <w:szCs w:val="21"/>
                    </w:rPr>
                  </w:pPr>
                  <w:r>
                    <w:rPr>
                      <w:rFonts w:eastAsia="等线"/>
                      <w:szCs w:val="21"/>
                    </w:rPr>
                    <w:t>5.8</w:t>
                  </w:r>
                </w:p>
              </w:tc>
              <w:tc>
                <w:tcPr>
                  <w:tcW w:w="1116" w:type="dxa"/>
                  <w:vAlign w:val="center"/>
                </w:tcPr>
                <w:p w14:paraId="520AB75E">
                  <w:pPr>
                    <w:widowControl/>
                    <w:adjustRightInd w:val="0"/>
                    <w:snapToGrid w:val="0"/>
                    <w:jc w:val="center"/>
                    <w:rPr>
                      <w:kern w:val="0"/>
                      <w:szCs w:val="21"/>
                    </w:rPr>
                  </w:pPr>
                  <w:r>
                    <w:rPr>
                      <w:rFonts w:eastAsia="等线"/>
                      <w:szCs w:val="21"/>
                    </w:rPr>
                    <w:t>0.0144</w:t>
                  </w:r>
                </w:p>
              </w:tc>
              <w:tc>
                <w:tcPr>
                  <w:tcW w:w="943" w:type="dxa"/>
                  <w:vAlign w:val="center"/>
                </w:tcPr>
                <w:p w14:paraId="520AB75F">
                  <w:pPr>
                    <w:widowControl/>
                    <w:adjustRightInd w:val="0"/>
                    <w:snapToGrid w:val="0"/>
                    <w:jc w:val="center"/>
                    <w:rPr>
                      <w:kern w:val="0"/>
                      <w:szCs w:val="21"/>
                    </w:rPr>
                  </w:pPr>
                  <w:r>
                    <w:rPr>
                      <w:rFonts w:eastAsia="等线"/>
                      <w:szCs w:val="21"/>
                    </w:rPr>
                    <w:t>600</w:t>
                  </w:r>
                </w:p>
              </w:tc>
              <w:tc>
                <w:tcPr>
                  <w:tcW w:w="1396" w:type="dxa"/>
                  <w:vAlign w:val="center"/>
                </w:tcPr>
                <w:p w14:paraId="520AB760">
                  <w:pPr>
                    <w:widowControl/>
                    <w:adjustRightInd w:val="0"/>
                    <w:snapToGrid w:val="0"/>
                    <w:jc w:val="center"/>
                    <w:rPr>
                      <w:kern w:val="0"/>
                      <w:szCs w:val="21"/>
                    </w:rPr>
                  </w:pPr>
                  <w:r>
                    <w:rPr>
                      <w:rFonts w:eastAsia="等线"/>
                      <w:szCs w:val="21"/>
                    </w:rPr>
                    <w:t>0.0050</w:t>
                  </w:r>
                </w:p>
              </w:tc>
            </w:tr>
            <w:tr w14:paraId="520AB76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62">
                  <w:pPr>
                    <w:widowControl/>
                    <w:adjustRightInd w:val="0"/>
                    <w:snapToGrid w:val="0"/>
                    <w:jc w:val="center"/>
                    <w:rPr>
                      <w:kern w:val="0"/>
                      <w:szCs w:val="21"/>
                    </w:rPr>
                  </w:pPr>
                </w:p>
              </w:tc>
              <w:tc>
                <w:tcPr>
                  <w:tcW w:w="749" w:type="dxa"/>
                  <w:vAlign w:val="center"/>
                </w:tcPr>
                <w:p w14:paraId="520AB763">
                  <w:pPr>
                    <w:widowControl/>
                    <w:adjustRightInd w:val="0"/>
                    <w:snapToGrid w:val="0"/>
                    <w:jc w:val="center"/>
                    <w:rPr>
                      <w:kern w:val="0"/>
                      <w:szCs w:val="21"/>
                    </w:rPr>
                  </w:pPr>
                  <w:r>
                    <w:rPr>
                      <w:kern w:val="0"/>
                      <w:szCs w:val="21"/>
                    </w:rPr>
                    <w:t>DA0</w:t>
                  </w:r>
                  <w:r>
                    <w:rPr>
                      <w:rFonts w:hint="eastAsia"/>
                      <w:kern w:val="0"/>
                      <w:szCs w:val="21"/>
                    </w:rPr>
                    <w:t>19</w:t>
                  </w:r>
                </w:p>
              </w:tc>
              <w:tc>
                <w:tcPr>
                  <w:tcW w:w="1035" w:type="dxa"/>
                  <w:vAlign w:val="center"/>
                </w:tcPr>
                <w:p w14:paraId="520AB764">
                  <w:pPr>
                    <w:widowControl/>
                    <w:adjustRightInd w:val="0"/>
                    <w:snapToGrid w:val="0"/>
                    <w:jc w:val="center"/>
                    <w:rPr>
                      <w:kern w:val="0"/>
                      <w:szCs w:val="21"/>
                    </w:rPr>
                  </w:pPr>
                  <w:r>
                    <w:rPr>
                      <w:szCs w:val="21"/>
                    </w:rPr>
                    <w:t>颗粒物</w:t>
                  </w:r>
                </w:p>
              </w:tc>
              <w:tc>
                <w:tcPr>
                  <w:tcW w:w="1326" w:type="dxa"/>
                  <w:vAlign w:val="center"/>
                </w:tcPr>
                <w:p w14:paraId="520AB765">
                  <w:pPr>
                    <w:widowControl/>
                    <w:adjustRightInd w:val="0"/>
                    <w:snapToGrid w:val="0"/>
                    <w:jc w:val="center"/>
                    <w:rPr>
                      <w:kern w:val="0"/>
                      <w:szCs w:val="21"/>
                    </w:rPr>
                  </w:pPr>
                  <w:r>
                    <w:rPr>
                      <w:rFonts w:hint="eastAsia"/>
                      <w:szCs w:val="22"/>
                    </w:rPr>
                    <w:t>105</w:t>
                  </w:r>
                  <w:r>
                    <w:rPr>
                      <w:rFonts w:hint="eastAsia"/>
                      <w:kern w:val="0"/>
                      <w:szCs w:val="21"/>
                    </w:rPr>
                    <w:t>#厂房</w:t>
                  </w:r>
                  <w:r>
                    <w:rPr>
                      <w:rFonts w:hint="eastAsia"/>
                      <w:szCs w:val="21"/>
                    </w:rPr>
                    <w:t>吹砂</w:t>
                  </w:r>
                </w:p>
              </w:tc>
              <w:tc>
                <w:tcPr>
                  <w:tcW w:w="828" w:type="dxa"/>
                  <w:vAlign w:val="center"/>
                </w:tcPr>
                <w:p w14:paraId="520AB766">
                  <w:pPr>
                    <w:widowControl/>
                    <w:adjustRightInd w:val="0"/>
                    <w:snapToGrid w:val="0"/>
                    <w:jc w:val="center"/>
                    <w:rPr>
                      <w:kern w:val="0"/>
                      <w:szCs w:val="21"/>
                    </w:rPr>
                  </w:pPr>
                  <w:r>
                    <w:rPr>
                      <w:kern w:val="0"/>
                      <w:szCs w:val="21"/>
                    </w:rPr>
                    <w:t>/</w:t>
                  </w:r>
                </w:p>
              </w:tc>
              <w:tc>
                <w:tcPr>
                  <w:tcW w:w="1100" w:type="dxa"/>
                  <w:vAlign w:val="center"/>
                </w:tcPr>
                <w:p w14:paraId="520AB767">
                  <w:pPr>
                    <w:widowControl/>
                    <w:adjustRightInd w:val="0"/>
                    <w:snapToGrid w:val="0"/>
                    <w:jc w:val="center"/>
                    <w:rPr>
                      <w:kern w:val="0"/>
                      <w:szCs w:val="21"/>
                    </w:rPr>
                  </w:pPr>
                  <w:r>
                    <w:rPr>
                      <w:kern w:val="0"/>
                      <w:szCs w:val="21"/>
                    </w:rPr>
                    <w:t>/</w:t>
                  </w:r>
                </w:p>
              </w:tc>
              <w:tc>
                <w:tcPr>
                  <w:tcW w:w="1085" w:type="dxa"/>
                  <w:vAlign w:val="center"/>
                </w:tcPr>
                <w:p w14:paraId="520AB768">
                  <w:pPr>
                    <w:widowControl/>
                    <w:adjustRightInd w:val="0"/>
                    <w:snapToGrid w:val="0"/>
                    <w:jc w:val="center"/>
                    <w:rPr>
                      <w:kern w:val="0"/>
                      <w:szCs w:val="21"/>
                    </w:rPr>
                  </w:pPr>
                  <w:r>
                    <w:rPr>
                      <w:kern w:val="0"/>
                      <w:szCs w:val="21"/>
                    </w:rPr>
                    <w:t>/</w:t>
                  </w:r>
                </w:p>
              </w:tc>
              <w:tc>
                <w:tcPr>
                  <w:tcW w:w="827" w:type="dxa"/>
                  <w:vAlign w:val="center"/>
                </w:tcPr>
                <w:p w14:paraId="520AB769">
                  <w:pPr>
                    <w:widowControl/>
                    <w:adjustRightInd w:val="0"/>
                    <w:snapToGrid w:val="0"/>
                    <w:jc w:val="center"/>
                    <w:rPr>
                      <w:kern w:val="0"/>
                      <w:szCs w:val="21"/>
                    </w:rPr>
                  </w:pPr>
                  <w:r>
                    <w:rPr>
                      <w:rFonts w:eastAsia="等线"/>
                      <w:szCs w:val="21"/>
                    </w:rPr>
                    <w:t>1500</w:t>
                  </w:r>
                </w:p>
              </w:tc>
              <w:tc>
                <w:tcPr>
                  <w:tcW w:w="1100" w:type="dxa"/>
                  <w:vAlign w:val="center"/>
                </w:tcPr>
                <w:p w14:paraId="520AB76A">
                  <w:pPr>
                    <w:widowControl/>
                    <w:adjustRightInd w:val="0"/>
                    <w:snapToGrid w:val="0"/>
                    <w:jc w:val="center"/>
                    <w:rPr>
                      <w:kern w:val="0"/>
                      <w:szCs w:val="21"/>
                    </w:rPr>
                  </w:pPr>
                  <w:r>
                    <w:rPr>
                      <w:rFonts w:eastAsia="等线"/>
                      <w:szCs w:val="21"/>
                    </w:rPr>
                    <w:t>2.6</w:t>
                  </w:r>
                </w:p>
              </w:tc>
              <w:tc>
                <w:tcPr>
                  <w:tcW w:w="1116" w:type="dxa"/>
                  <w:vAlign w:val="center"/>
                </w:tcPr>
                <w:p w14:paraId="520AB76B">
                  <w:pPr>
                    <w:widowControl/>
                    <w:adjustRightInd w:val="0"/>
                    <w:snapToGrid w:val="0"/>
                    <w:jc w:val="center"/>
                    <w:rPr>
                      <w:kern w:val="0"/>
                      <w:szCs w:val="21"/>
                    </w:rPr>
                  </w:pPr>
                  <w:r>
                    <w:rPr>
                      <w:rFonts w:eastAsia="等线"/>
                      <w:szCs w:val="21"/>
                    </w:rPr>
                    <w:t>0.0039</w:t>
                  </w:r>
                </w:p>
              </w:tc>
              <w:tc>
                <w:tcPr>
                  <w:tcW w:w="943" w:type="dxa"/>
                  <w:vAlign w:val="center"/>
                </w:tcPr>
                <w:p w14:paraId="520AB76C">
                  <w:pPr>
                    <w:widowControl/>
                    <w:adjustRightInd w:val="0"/>
                    <w:snapToGrid w:val="0"/>
                    <w:jc w:val="center"/>
                    <w:rPr>
                      <w:kern w:val="0"/>
                      <w:szCs w:val="21"/>
                    </w:rPr>
                  </w:pPr>
                  <w:r>
                    <w:rPr>
                      <w:rFonts w:eastAsia="等线"/>
                      <w:szCs w:val="21"/>
                    </w:rPr>
                    <w:t>1000</w:t>
                  </w:r>
                </w:p>
              </w:tc>
              <w:tc>
                <w:tcPr>
                  <w:tcW w:w="1396" w:type="dxa"/>
                  <w:vAlign w:val="center"/>
                </w:tcPr>
                <w:p w14:paraId="520AB76D">
                  <w:pPr>
                    <w:widowControl/>
                    <w:adjustRightInd w:val="0"/>
                    <w:snapToGrid w:val="0"/>
                    <w:jc w:val="center"/>
                    <w:rPr>
                      <w:kern w:val="0"/>
                      <w:szCs w:val="21"/>
                    </w:rPr>
                  </w:pPr>
                  <w:r>
                    <w:rPr>
                      <w:rFonts w:eastAsia="等线"/>
                      <w:szCs w:val="21"/>
                    </w:rPr>
                    <w:t>0.0039</w:t>
                  </w:r>
                </w:p>
              </w:tc>
            </w:tr>
            <w:tr w14:paraId="520AB77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6F">
                  <w:pPr>
                    <w:widowControl/>
                    <w:adjustRightInd w:val="0"/>
                    <w:snapToGrid w:val="0"/>
                    <w:jc w:val="center"/>
                    <w:rPr>
                      <w:kern w:val="0"/>
                      <w:szCs w:val="21"/>
                    </w:rPr>
                  </w:pPr>
                </w:p>
              </w:tc>
              <w:tc>
                <w:tcPr>
                  <w:tcW w:w="749" w:type="dxa"/>
                  <w:vAlign w:val="center"/>
                </w:tcPr>
                <w:p w14:paraId="520AB770">
                  <w:pPr>
                    <w:widowControl/>
                    <w:adjustRightInd w:val="0"/>
                    <w:snapToGrid w:val="0"/>
                    <w:jc w:val="center"/>
                    <w:rPr>
                      <w:kern w:val="0"/>
                      <w:szCs w:val="21"/>
                    </w:rPr>
                  </w:pPr>
                  <w:r>
                    <w:rPr>
                      <w:kern w:val="0"/>
                      <w:szCs w:val="21"/>
                    </w:rPr>
                    <w:t>DA02</w:t>
                  </w:r>
                  <w:r>
                    <w:rPr>
                      <w:rFonts w:hint="eastAsia"/>
                      <w:kern w:val="0"/>
                      <w:szCs w:val="21"/>
                    </w:rPr>
                    <w:t>0</w:t>
                  </w:r>
                </w:p>
              </w:tc>
              <w:tc>
                <w:tcPr>
                  <w:tcW w:w="1035" w:type="dxa"/>
                  <w:vAlign w:val="center"/>
                </w:tcPr>
                <w:p w14:paraId="520AB771">
                  <w:pPr>
                    <w:widowControl/>
                    <w:adjustRightInd w:val="0"/>
                    <w:snapToGrid w:val="0"/>
                    <w:jc w:val="center"/>
                    <w:rPr>
                      <w:kern w:val="0"/>
                      <w:szCs w:val="21"/>
                    </w:rPr>
                  </w:pPr>
                  <w:r>
                    <w:rPr>
                      <w:szCs w:val="21"/>
                    </w:rPr>
                    <w:t>非甲烷总烃</w:t>
                  </w:r>
                </w:p>
              </w:tc>
              <w:tc>
                <w:tcPr>
                  <w:tcW w:w="1326" w:type="dxa"/>
                  <w:vAlign w:val="center"/>
                </w:tcPr>
                <w:p w14:paraId="520AB772">
                  <w:pPr>
                    <w:widowControl/>
                    <w:adjustRightInd w:val="0"/>
                    <w:snapToGrid w:val="0"/>
                    <w:jc w:val="center"/>
                    <w:rPr>
                      <w:kern w:val="0"/>
                      <w:szCs w:val="21"/>
                    </w:rPr>
                  </w:pPr>
                  <w:r>
                    <w:rPr>
                      <w:rFonts w:hint="eastAsia"/>
                      <w:szCs w:val="22"/>
                    </w:rPr>
                    <w:t>105</w:t>
                  </w:r>
                  <w:r>
                    <w:rPr>
                      <w:rFonts w:hint="eastAsia"/>
                      <w:kern w:val="0"/>
                      <w:szCs w:val="21"/>
                    </w:rPr>
                    <w:t>#厂房</w:t>
                  </w:r>
                  <w:r>
                    <w:rPr>
                      <w:rFonts w:hint="eastAsia"/>
                      <w:szCs w:val="22"/>
                    </w:rPr>
                    <w:t>油淬</w:t>
                  </w:r>
                </w:p>
              </w:tc>
              <w:tc>
                <w:tcPr>
                  <w:tcW w:w="828" w:type="dxa"/>
                  <w:vAlign w:val="center"/>
                </w:tcPr>
                <w:p w14:paraId="520AB773">
                  <w:pPr>
                    <w:widowControl/>
                    <w:adjustRightInd w:val="0"/>
                    <w:snapToGrid w:val="0"/>
                    <w:jc w:val="center"/>
                    <w:rPr>
                      <w:kern w:val="0"/>
                      <w:szCs w:val="21"/>
                    </w:rPr>
                  </w:pPr>
                  <w:r>
                    <w:rPr>
                      <w:kern w:val="0"/>
                      <w:szCs w:val="21"/>
                    </w:rPr>
                    <w:t>/</w:t>
                  </w:r>
                </w:p>
              </w:tc>
              <w:tc>
                <w:tcPr>
                  <w:tcW w:w="1100" w:type="dxa"/>
                  <w:vAlign w:val="center"/>
                </w:tcPr>
                <w:p w14:paraId="520AB774">
                  <w:pPr>
                    <w:widowControl/>
                    <w:adjustRightInd w:val="0"/>
                    <w:snapToGrid w:val="0"/>
                    <w:jc w:val="center"/>
                    <w:rPr>
                      <w:kern w:val="0"/>
                      <w:szCs w:val="21"/>
                    </w:rPr>
                  </w:pPr>
                  <w:r>
                    <w:rPr>
                      <w:kern w:val="0"/>
                      <w:szCs w:val="21"/>
                    </w:rPr>
                    <w:t>/</w:t>
                  </w:r>
                </w:p>
              </w:tc>
              <w:tc>
                <w:tcPr>
                  <w:tcW w:w="1085" w:type="dxa"/>
                  <w:vAlign w:val="center"/>
                </w:tcPr>
                <w:p w14:paraId="520AB775">
                  <w:pPr>
                    <w:widowControl/>
                    <w:adjustRightInd w:val="0"/>
                    <w:snapToGrid w:val="0"/>
                    <w:jc w:val="center"/>
                    <w:rPr>
                      <w:kern w:val="0"/>
                      <w:szCs w:val="21"/>
                    </w:rPr>
                  </w:pPr>
                  <w:r>
                    <w:rPr>
                      <w:kern w:val="0"/>
                      <w:szCs w:val="21"/>
                    </w:rPr>
                    <w:t>/</w:t>
                  </w:r>
                </w:p>
              </w:tc>
              <w:tc>
                <w:tcPr>
                  <w:tcW w:w="827" w:type="dxa"/>
                  <w:vAlign w:val="center"/>
                </w:tcPr>
                <w:p w14:paraId="520AB776">
                  <w:pPr>
                    <w:widowControl/>
                    <w:adjustRightInd w:val="0"/>
                    <w:snapToGrid w:val="0"/>
                    <w:jc w:val="center"/>
                    <w:rPr>
                      <w:kern w:val="0"/>
                      <w:szCs w:val="21"/>
                    </w:rPr>
                  </w:pPr>
                  <w:r>
                    <w:rPr>
                      <w:rFonts w:eastAsia="等线"/>
                      <w:szCs w:val="21"/>
                    </w:rPr>
                    <w:t>8000</w:t>
                  </w:r>
                </w:p>
              </w:tc>
              <w:tc>
                <w:tcPr>
                  <w:tcW w:w="1100" w:type="dxa"/>
                  <w:vAlign w:val="center"/>
                </w:tcPr>
                <w:p w14:paraId="520AB777">
                  <w:pPr>
                    <w:widowControl/>
                    <w:adjustRightInd w:val="0"/>
                    <w:snapToGrid w:val="0"/>
                    <w:jc w:val="center"/>
                    <w:rPr>
                      <w:kern w:val="0"/>
                      <w:szCs w:val="21"/>
                    </w:rPr>
                  </w:pPr>
                  <w:r>
                    <w:rPr>
                      <w:rFonts w:eastAsia="等线"/>
                      <w:szCs w:val="21"/>
                    </w:rPr>
                    <w:t>28.1</w:t>
                  </w:r>
                </w:p>
              </w:tc>
              <w:tc>
                <w:tcPr>
                  <w:tcW w:w="1116" w:type="dxa"/>
                  <w:vAlign w:val="center"/>
                </w:tcPr>
                <w:p w14:paraId="520AB778">
                  <w:pPr>
                    <w:widowControl/>
                    <w:adjustRightInd w:val="0"/>
                    <w:snapToGrid w:val="0"/>
                    <w:jc w:val="center"/>
                    <w:rPr>
                      <w:kern w:val="0"/>
                      <w:szCs w:val="21"/>
                    </w:rPr>
                  </w:pPr>
                  <w:r>
                    <w:rPr>
                      <w:rFonts w:eastAsia="等线"/>
                      <w:szCs w:val="21"/>
                    </w:rPr>
                    <w:t>0.225</w:t>
                  </w:r>
                </w:p>
              </w:tc>
              <w:tc>
                <w:tcPr>
                  <w:tcW w:w="943" w:type="dxa"/>
                  <w:vAlign w:val="center"/>
                </w:tcPr>
                <w:p w14:paraId="520AB779">
                  <w:pPr>
                    <w:widowControl/>
                    <w:adjustRightInd w:val="0"/>
                    <w:snapToGrid w:val="0"/>
                    <w:jc w:val="center"/>
                    <w:rPr>
                      <w:kern w:val="0"/>
                      <w:szCs w:val="21"/>
                    </w:rPr>
                  </w:pPr>
                  <w:r>
                    <w:rPr>
                      <w:rFonts w:eastAsia="等线"/>
                      <w:szCs w:val="21"/>
                    </w:rPr>
                    <w:t>1500</w:t>
                  </w:r>
                </w:p>
              </w:tc>
              <w:tc>
                <w:tcPr>
                  <w:tcW w:w="1396" w:type="dxa"/>
                  <w:vAlign w:val="center"/>
                </w:tcPr>
                <w:p w14:paraId="520AB77A">
                  <w:pPr>
                    <w:widowControl/>
                    <w:adjustRightInd w:val="0"/>
                    <w:snapToGrid w:val="0"/>
                    <w:jc w:val="center"/>
                    <w:rPr>
                      <w:kern w:val="0"/>
                      <w:szCs w:val="21"/>
                    </w:rPr>
                  </w:pPr>
                  <w:r>
                    <w:rPr>
                      <w:rFonts w:eastAsia="等线"/>
                      <w:szCs w:val="21"/>
                    </w:rPr>
                    <w:t>0.3375</w:t>
                  </w:r>
                </w:p>
              </w:tc>
            </w:tr>
            <w:tr w14:paraId="520AB78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7C">
                  <w:pPr>
                    <w:widowControl/>
                    <w:adjustRightInd w:val="0"/>
                    <w:snapToGrid w:val="0"/>
                    <w:jc w:val="center"/>
                    <w:rPr>
                      <w:kern w:val="0"/>
                      <w:szCs w:val="21"/>
                    </w:rPr>
                  </w:pPr>
                </w:p>
              </w:tc>
              <w:tc>
                <w:tcPr>
                  <w:tcW w:w="749" w:type="dxa"/>
                  <w:vAlign w:val="center"/>
                </w:tcPr>
                <w:p w14:paraId="520AB77D">
                  <w:pPr>
                    <w:widowControl/>
                    <w:adjustRightInd w:val="0"/>
                    <w:snapToGrid w:val="0"/>
                    <w:jc w:val="center"/>
                    <w:rPr>
                      <w:kern w:val="0"/>
                      <w:szCs w:val="21"/>
                    </w:rPr>
                  </w:pPr>
                  <w:r>
                    <w:rPr>
                      <w:kern w:val="0"/>
                      <w:szCs w:val="21"/>
                    </w:rPr>
                    <w:t>DA02</w:t>
                  </w:r>
                  <w:r>
                    <w:rPr>
                      <w:rFonts w:hint="eastAsia"/>
                      <w:kern w:val="0"/>
                      <w:szCs w:val="21"/>
                    </w:rPr>
                    <w:t>1</w:t>
                  </w:r>
                </w:p>
              </w:tc>
              <w:tc>
                <w:tcPr>
                  <w:tcW w:w="1035" w:type="dxa"/>
                  <w:vAlign w:val="center"/>
                </w:tcPr>
                <w:p w14:paraId="520AB77E">
                  <w:pPr>
                    <w:widowControl/>
                    <w:adjustRightInd w:val="0"/>
                    <w:snapToGrid w:val="0"/>
                    <w:jc w:val="center"/>
                    <w:rPr>
                      <w:kern w:val="0"/>
                      <w:szCs w:val="21"/>
                    </w:rPr>
                  </w:pPr>
                  <w:r>
                    <w:rPr>
                      <w:rFonts w:hint="eastAsia"/>
                      <w:szCs w:val="21"/>
                    </w:rPr>
                    <w:t>氨</w:t>
                  </w:r>
                </w:p>
              </w:tc>
              <w:tc>
                <w:tcPr>
                  <w:tcW w:w="1326" w:type="dxa"/>
                  <w:vAlign w:val="center"/>
                </w:tcPr>
                <w:p w14:paraId="520AB77F">
                  <w:pPr>
                    <w:widowControl/>
                    <w:adjustRightInd w:val="0"/>
                    <w:snapToGrid w:val="0"/>
                    <w:jc w:val="center"/>
                    <w:rPr>
                      <w:kern w:val="0"/>
                      <w:szCs w:val="21"/>
                    </w:rPr>
                  </w:pPr>
                  <w:r>
                    <w:rPr>
                      <w:rFonts w:hint="eastAsia"/>
                      <w:szCs w:val="22"/>
                    </w:rPr>
                    <w:t>105</w:t>
                  </w:r>
                  <w:r>
                    <w:rPr>
                      <w:rFonts w:hint="eastAsia"/>
                      <w:kern w:val="0"/>
                      <w:szCs w:val="21"/>
                    </w:rPr>
                    <w:t>#厂房</w:t>
                  </w:r>
                  <w:r>
                    <w:rPr>
                      <w:rFonts w:hint="eastAsia"/>
                      <w:szCs w:val="22"/>
                    </w:rPr>
                    <w:t>渗氮</w:t>
                  </w:r>
                </w:p>
              </w:tc>
              <w:tc>
                <w:tcPr>
                  <w:tcW w:w="828" w:type="dxa"/>
                  <w:vAlign w:val="center"/>
                </w:tcPr>
                <w:p w14:paraId="520AB780">
                  <w:pPr>
                    <w:widowControl/>
                    <w:adjustRightInd w:val="0"/>
                    <w:snapToGrid w:val="0"/>
                    <w:jc w:val="center"/>
                    <w:rPr>
                      <w:kern w:val="0"/>
                      <w:szCs w:val="21"/>
                    </w:rPr>
                  </w:pPr>
                  <w:r>
                    <w:rPr>
                      <w:kern w:val="0"/>
                      <w:szCs w:val="21"/>
                    </w:rPr>
                    <w:t>/</w:t>
                  </w:r>
                </w:p>
              </w:tc>
              <w:tc>
                <w:tcPr>
                  <w:tcW w:w="1100" w:type="dxa"/>
                  <w:vAlign w:val="center"/>
                </w:tcPr>
                <w:p w14:paraId="520AB781">
                  <w:pPr>
                    <w:widowControl/>
                    <w:adjustRightInd w:val="0"/>
                    <w:snapToGrid w:val="0"/>
                    <w:jc w:val="center"/>
                    <w:rPr>
                      <w:kern w:val="0"/>
                      <w:szCs w:val="21"/>
                    </w:rPr>
                  </w:pPr>
                  <w:r>
                    <w:rPr>
                      <w:kern w:val="0"/>
                      <w:szCs w:val="21"/>
                    </w:rPr>
                    <w:t>/</w:t>
                  </w:r>
                </w:p>
              </w:tc>
              <w:tc>
                <w:tcPr>
                  <w:tcW w:w="1085" w:type="dxa"/>
                  <w:vAlign w:val="center"/>
                </w:tcPr>
                <w:p w14:paraId="520AB782">
                  <w:pPr>
                    <w:widowControl/>
                    <w:adjustRightInd w:val="0"/>
                    <w:snapToGrid w:val="0"/>
                    <w:jc w:val="center"/>
                    <w:rPr>
                      <w:kern w:val="0"/>
                      <w:szCs w:val="21"/>
                    </w:rPr>
                  </w:pPr>
                  <w:r>
                    <w:rPr>
                      <w:kern w:val="0"/>
                      <w:szCs w:val="21"/>
                    </w:rPr>
                    <w:t>/</w:t>
                  </w:r>
                </w:p>
              </w:tc>
              <w:tc>
                <w:tcPr>
                  <w:tcW w:w="827" w:type="dxa"/>
                  <w:vAlign w:val="center"/>
                </w:tcPr>
                <w:p w14:paraId="520AB783">
                  <w:pPr>
                    <w:widowControl/>
                    <w:adjustRightInd w:val="0"/>
                    <w:snapToGrid w:val="0"/>
                    <w:jc w:val="center"/>
                    <w:rPr>
                      <w:kern w:val="0"/>
                      <w:szCs w:val="21"/>
                    </w:rPr>
                  </w:pPr>
                  <w:r>
                    <w:rPr>
                      <w:rFonts w:eastAsia="等线"/>
                      <w:szCs w:val="21"/>
                    </w:rPr>
                    <w:t>1500</w:t>
                  </w:r>
                </w:p>
              </w:tc>
              <w:tc>
                <w:tcPr>
                  <w:tcW w:w="1100" w:type="dxa"/>
                  <w:vAlign w:val="center"/>
                </w:tcPr>
                <w:p w14:paraId="520AB784">
                  <w:pPr>
                    <w:widowControl/>
                    <w:adjustRightInd w:val="0"/>
                    <w:snapToGrid w:val="0"/>
                    <w:jc w:val="center"/>
                    <w:rPr>
                      <w:kern w:val="0"/>
                      <w:szCs w:val="21"/>
                    </w:rPr>
                  </w:pPr>
                  <w:r>
                    <w:rPr>
                      <w:rFonts w:eastAsia="等线"/>
                      <w:szCs w:val="21"/>
                    </w:rPr>
                    <w:t>16.4</w:t>
                  </w:r>
                </w:p>
              </w:tc>
              <w:tc>
                <w:tcPr>
                  <w:tcW w:w="1116" w:type="dxa"/>
                  <w:vAlign w:val="center"/>
                </w:tcPr>
                <w:p w14:paraId="520AB785">
                  <w:pPr>
                    <w:widowControl/>
                    <w:adjustRightInd w:val="0"/>
                    <w:snapToGrid w:val="0"/>
                    <w:jc w:val="center"/>
                    <w:rPr>
                      <w:kern w:val="0"/>
                      <w:szCs w:val="21"/>
                    </w:rPr>
                  </w:pPr>
                  <w:r>
                    <w:rPr>
                      <w:rFonts w:eastAsia="等线"/>
                      <w:szCs w:val="21"/>
                    </w:rPr>
                    <w:t>0.025</w:t>
                  </w:r>
                </w:p>
              </w:tc>
              <w:tc>
                <w:tcPr>
                  <w:tcW w:w="943" w:type="dxa"/>
                  <w:vAlign w:val="center"/>
                </w:tcPr>
                <w:p w14:paraId="520AB786">
                  <w:pPr>
                    <w:widowControl/>
                    <w:adjustRightInd w:val="0"/>
                    <w:snapToGrid w:val="0"/>
                    <w:jc w:val="center"/>
                    <w:rPr>
                      <w:kern w:val="0"/>
                      <w:szCs w:val="21"/>
                    </w:rPr>
                  </w:pPr>
                  <w:r>
                    <w:rPr>
                      <w:rFonts w:eastAsia="等线"/>
                      <w:szCs w:val="21"/>
                    </w:rPr>
                    <w:t>450</w:t>
                  </w:r>
                </w:p>
              </w:tc>
              <w:tc>
                <w:tcPr>
                  <w:tcW w:w="1396" w:type="dxa"/>
                  <w:vAlign w:val="center"/>
                </w:tcPr>
                <w:p w14:paraId="520AB787">
                  <w:pPr>
                    <w:widowControl/>
                    <w:adjustRightInd w:val="0"/>
                    <w:snapToGrid w:val="0"/>
                    <w:jc w:val="center"/>
                    <w:rPr>
                      <w:kern w:val="0"/>
                      <w:szCs w:val="21"/>
                    </w:rPr>
                  </w:pPr>
                  <w:r>
                    <w:rPr>
                      <w:rFonts w:eastAsia="等线"/>
                      <w:szCs w:val="21"/>
                    </w:rPr>
                    <w:t>0.0111</w:t>
                  </w:r>
                </w:p>
              </w:tc>
            </w:tr>
            <w:tr w14:paraId="520AB79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89">
                  <w:pPr>
                    <w:widowControl/>
                    <w:adjustRightInd w:val="0"/>
                    <w:snapToGrid w:val="0"/>
                    <w:jc w:val="center"/>
                    <w:rPr>
                      <w:kern w:val="0"/>
                      <w:szCs w:val="21"/>
                    </w:rPr>
                  </w:pPr>
                </w:p>
              </w:tc>
              <w:tc>
                <w:tcPr>
                  <w:tcW w:w="749" w:type="dxa"/>
                  <w:vAlign w:val="center"/>
                </w:tcPr>
                <w:p w14:paraId="520AB78A">
                  <w:pPr>
                    <w:widowControl/>
                    <w:adjustRightInd w:val="0"/>
                    <w:snapToGrid w:val="0"/>
                    <w:jc w:val="center"/>
                    <w:rPr>
                      <w:kern w:val="0"/>
                      <w:szCs w:val="21"/>
                    </w:rPr>
                  </w:pPr>
                  <w:r>
                    <w:rPr>
                      <w:rFonts w:hint="eastAsia"/>
                      <w:kern w:val="0"/>
                      <w:szCs w:val="21"/>
                    </w:rPr>
                    <w:t>D</w:t>
                  </w:r>
                  <w:r>
                    <w:rPr>
                      <w:kern w:val="0"/>
                      <w:szCs w:val="21"/>
                    </w:rPr>
                    <w:t>A023</w:t>
                  </w:r>
                </w:p>
              </w:tc>
              <w:tc>
                <w:tcPr>
                  <w:tcW w:w="1035" w:type="dxa"/>
                  <w:vAlign w:val="center"/>
                </w:tcPr>
                <w:p w14:paraId="520AB78B">
                  <w:pPr>
                    <w:widowControl/>
                    <w:adjustRightInd w:val="0"/>
                    <w:snapToGrid w:val="0"/>
                    <w:jc w:val="center"/>
                    <w:rPr>
                      <w:szCs w:val="21"/>
                    </w:rPr>
                  </w:pPr>
                  <w:r>
                    <w:rPr>
                      <w:rFonts w:hint="eastAsia"/>
                      <w:szCs w:val="21"/>
                    </w:rPr>
                    <w:t>颗粒物</w:t>
                  </w:r>
                </w:p>
              </w:tc>
              <w:tc>
                <w:tcPr>
                  <w:tcW w:w="1326" w:type="dxa"/>
                  <w:vAlign w:val="center"/>
                </w:tcPr>
                <w:p w14:paraId="520AB78C">
                  <w:pPr>
                    <w:jc w:val="center"/>
                    <w:rPr>
                      <w:szCs w:val="22"/>
                    </w:rPr>
                  </w:pPr>
                  <w:r>
                    <w:rPr>
                      <w:rFonts w:hint="eastAsia"/>
                      <w:szCs w:val="21"/>
                    </w:rPr>
                    <w:t>1</w:t>
                  </w:r>
                  <w:r>
                    <w:rPr>
                      <w:szCs w:val="21"/>
                    </w:rPr>
                    <w:t>53</w:t>
                  </w:r>
                  <w:r>
                    <w:rPr>
                      <w:rFonts w:hint="eastAsia"/>
                      <w:kern w:val="0"/>
                      <w:szCs w:val="21"/>
                    </w:rPr>
                    <w:t>#</w:t>
                  </w:r>
                  <w:r>
                    <w:rPr>
                      <w:rFonts w:hint="eastAsia"/>
                      <w:szCs w:val="21"/>
                    </w:rPr>
                    <w:t>厂房民机部</w:t>
                  </w:r>
                </w:p>
              </w:tc>
              <w:tc>
                <w:tcPr>
                  <w:tcW w:w="6056" w:type="dxa"/>
                  <w:gridSpan w:val="6"/>
                  <w:vAlign w:val="center"/>
                </w:tcPr>
                <w:p w14:paraId="520AB78D">
                  <w:pPr>
                    <w:widowControl/>
                    <w:adjustRightInd w:val="0"/>
                    <w:snapToGrid w:val="0"/>
                    <w:jc w:val="center"/>
                    <w:rPr>
                      <w:kern w:val="0"/>
                      <w:szCs w:val="21"/>
                    </w:rPr>
                  </w:pPr>
                  <w:r>
                    <w:rPr>
                      <w:rFonts w:hint="eastAsia"/>
                      <w:kern w:val="0"/>
                      <w:szCs w:val="21"/>
                    </w:rPr>
                    <w:t>环评登记，无预测值</w:t>
                  </w:r>
                </w:p>
              </w:tc>
              <w:tc>
                <w:tcPr>
                  <w:tcW w:w="943" w:type="dxa"/>
                  <w:vAlign w:val="center"/>
                </w:tcPr>
                <w:p w14:paraId="520AB78E">
                  <w:pPr>
                    <w:widowControl/>
                    <w:adjustRightInd w:val="0"/>
                    <w:snapToGrid w:val="0"/>
                    <w:jc w:val="center"/>
                    <w:rPr>
                      <w:kern w:val="0"/>
                      <w:szCs w:val="21"/>
                    </w:rPr>
                  </w:pPr>
                  <w:r>
                    <w:rPr>
                      <w:rFonts w:hint="eastAsia"/>
                      <w:kern w:val="0"/>
                      <w:szCs w:val="21"/>
                    </w:rPr>
                    <w:t>/</w:t>
                  </w:r>
                </w:p>
              </w:tc>
              <w:tc>
                <w:tcPr>
                  <w:tcW w:w="1396" w:type="dxa"/>
                  <w:vAlign w:val="center"/>
                </w:tcPr>
                <w:p w14:paraId="520AB78F">
                  <w:pPr>
                    <w:widowControl/>
                    <w:adjustRightInd w:val="0"/>
                    <w:snapToGrid w:val="0"/>
                    <w:jc w:val="center"/>
                    <w:rPr>
                      <w:kern w:val="0"/>
                      <w:szCs w:val="21"/>
                    </w:rPr>
                  </w:pPr>
                  <w:r>
                    <w:rPr>
                      <w:rFonts w:hint="eastAsia"/>
                      <w:kern w:val="0"/>
                      <w:szCs w:val="21"/>
                    </w:rPr>
                    <w:t>/</w:t>
                  </w:r>
                </w:p>
              </w:tc>
            </w:tr>
            <w:tr w14:paraId="520AB79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91">
                  <w:pPr>
                    <w:widowControl/>
                    <w:adjustRightInd w:val="0"/>
                    <w:snapToGrid w:val="0"/>
                    <w:jc w:val="center"/>
                    <w:rPr>
                      <w:kern w:val="0"/>
                      <w:szCs w:val="21"/>
                    </w:rPr>
                  </w:pPr>
                </w:p>
              </w:tc>
              <w:tc>
                <w:tcPr>
                  <w:tcW w:w="749" w:type="dxa"/>
                  <w:vAlign w:val="center"/>
                </w:tcPr>
                <w:p w14:paraId="520AB792">
                  <w:pPr>
                    <w:widowControl/>
                    <w:adjustRightInd w:val="0"/>
                    <w:snapToGrid w:val="0"/>
                    <w:jc w:val="center"/>
                    <w:rPr>
                      <w:kern w:val="0"/>
                      <w:szCs w:val="21"/>
                    </w:rPr>
                  </w:pPr>
                  <w:r>
                    <w:rPr>
                      <w:rFonts w:eastAsia="等线"/>
                      <w:szCs w:val="21"/>
                    </w:rPr>
                    <w:t>DA024</w:t>
                  </w:r>
                </w:p>
              </w:tc>
              <w:tc>
                <w:tcPr>
                  <w:tcW w:w="1035" w:type="dxa"/>
                  <w:vAlign w:val="center"/>
                </w:tcPr>
                <w:p w14:paraId="520AB793">
                  <w:pPr>
                    <w:widowControl/>
                    <w:adjustRightInd w:val="0"/>
                    <w:snapToGrid w:val="0"/>
                    <w:jc w:val="center"/>
                    <w:rPr>
                      <w:szCs w:val="21"/>
                    </w:rPr>
                  </w:pPr>
                  <w:r>
                    <w:rPr>
                      <w:rFonts w:hint="eastAsia"/>
                      <w:szCs w:val="21"/>
                    </w:rPr>
                    <w:t>颗粒物</w:t>
                  </w:r>
                </w:p>
              </w:tc>
              <w:tc>
                <w:tcPr>
                  <w:tcW w:w="1326" w:type="dxa"/>
                  <w:vAlign w:val="center"/>
                </w:tcPr>
                <w:p w14:paraId="520AB794">
                  <w:pPr>
                    <w:jc w:val="center"/>
                    <w:rPr>
                      <w:szCs w:val="21"/>
                    </w:rPr>
                  </w:pPr>
                  <w:r>
                    <w:rPr>
                      <w:rFonts w:eastAsia="等线"/>
                      <w:szCs w:val="21"/>
                    </w:rPr>
                    <w:t>153</w:t>
                  </w:r>
                  <w:r>
                    <w:rPr>
                      <w:rFonts w:hint="eastAsia"/>
                      <w:kern w:val="0"/>
                      <w:szCs w:val="21"/>
                    </w:rPr>
                    <w:t>#厂房</w:t>
                  </w:r>
                  <w:r>
                    <w:rPr>
                      <w:rFonts w:hint="eastAsia"/>
                      <w:szCs w:val="21"/>
                    </w:rPr>
                    <w:t>钎焊</w:t>
                  </w:r>
                </w:p>
              </w:tc>
              <w:tc>
                <w:tcPr>
                  <w:tcW w:w="828" w:type="dxa"/>
                  <w:vAlign w:val="center"/>
                </w:tcPr>
                <w:p w14:paraId="520AB795">
                  <w:pPr>
                    <w:widowControl/>
                    <w:adjustRightInd w:val="0"/>
                    <w:snapToGrid w:val="0"/>
                    <w:jc w:val="center"/>
                    <w:rPr>
                      <w:kern w:val="0"/>
                      <w:szCs w:val="21"/>
                    </w:rPr>
                  </w:pPr>
                  <w:r>
                    <w:rPr>
                      <w:rFonts w:eastAsia="等线"/>
                      <w:szCs w:val="21"/>
                    </w:rPr>
                    <w:t>/</w:t>
                  </w:r>
                </w:p>
              </w:tc>
              <w:tc>
                <w:tcPr>
                  <w:tcW w:w="1100" w:type="dxa"/>
                  <w:vAlign w:val="center"/>
                </w:tcPr>
                <w:p w14:paraId="520AB796">
                  <w:pPr>
                    <w:widowControl/>
                    <w:adjustRightInd w:val="0"/>
                    <w:snapToGrid w:val="0"/>
                    <w:jc w:val="center"/>
                    <w:rPr>
                      <w:kern w:val="0"/>
                      <w:szCs w:val="21"/>
                    </w:rPr>
                  </w:pPr>
                  <w:r>
                    <w:rPr>
                      <w:rFonts w:eastAsia="等线"/>
                      <w:szCs w:val="21"/>
                    </w:rPr>
                    <w:t>/</w:t>
                  </w:r>
                </w:p>
              </w:tc>
              <w:tc>
                <w:tcPr>
                  <w:tcW w:w="1085" w:type="dxa"/>
                  <w:vAlign w:val="center"/>
                </w:tcPr>
                <w:p w14:paraId="520AB797">
                  <w:pPr>
                    <w:widowControl/>
                    <w:adjustRightInd w:val="0"/>
                    <w:snapToGrid w:val="0"/>
                    <w:jc w:val="center"/>
                    <w:rPr>
                      <w:kern w:val="0"/>
                      <w:szCs w:val="21"/>
                    </w:rPr>
                  </w:pPr>
                  <w:r>
                    <w:rPr>
                      <w:rFonts w:eastAsia="等线"/>
                      <w:szCs w:val="21"/>
                    </w:rPr>
                    <w:t>/</w:t>
                  </w:r>
                </w:p>
              </w:tc>
              <w:tc>
                <w:tcPr>
                  <w:tcW w:w="827" w:type="dxa"/>
                  <w:vAlign w:val="center"/>
                </w:tcPr>
                <w:p w14:paraId="520AB798">
                  <w:pPr>
                    <w:widowControl/>
                    <w:adjustRightInd w:val="0"/>
                    <w:snapToGrid w:val="0"/>
                    <w:jc w:val="center"/>
                    <w:rPr>
                      <w:kern w:val="0"/>
                      <w:szCs w:val="21"/>
                    </w:rPr>
                  </w:pPr>
                  <w:r>
                    <w:rPr>
                      <w:rFonts w:eastAsia="等线"/>
                      <w:szCs w:val="21"/>
                    </w:rPr>
                    <w:t>5000</w:t>
                  </w:r>
                </w:p>
              </w:tc>
              <w:tc>
                <w:tcPr>
                  <w:tcW w:w="1100" w:type="dxa"/>
                  <w:vAlign w:val="center"/>
                </w:tcPr>
                <w:p w14:paraId="520AB799">
                  <w:pPr>
                    <w:widowControl/>
                    <w:adjustRightInd w:val="0"/>
                    <w:snapToGrid w:val="0"/>
                    <w:jc w:val="center"/>
                    <w:rPr>
                      <w:kern w:val="0"/>
                      <w:szCs w:val="21"/>
                    </w:rPr>
                  </w:pPr>
                  <w:r>
                    <w:rPr>
                      <w:rFonts w:eastAsia="等线"/>
                      <w:szCs w:val="21"/>
                    </w:rPr>
                    <w:t>2.06</w:t>
                  </w:r>
                </w:p>
              </w:tc>
              <w:tc>
                <w:tcPr>
                  <w:tcW w:w="1116" w:type="dxa"/>
                  <w:vAlign w:val="center"/>
                </w:tcPr>
                <w:p w14:paraId="520AB79A">
                  <w:pPr>
                    <w:widowControl/>
                    <w:adjustRightInd w:val="0"/>
                    <w:snapToGrid w:val="0"/>
                    <w:jc w:val="center"/>
                    <w:rPr>
                      <w:kern w:val="0"/>
                      <w:szCs w:val="21"/>
                    </w:rPr>
                  </w:pPr>
                  <w:r>
                    <w:rPr>
                      <w:rFonts w:eastAsia="等线"/>
                      <w:szCs w:val="21"/>
                    </w:rPr>
                    <w:t>0.0103</w:t>
                  </w:r>
                </w:p>
              </w:tc>
              <w:tc>
                <w:tcPr>
                  <w:tcW w:w="943" w:type="dxa"/>
                  <w:vAlign w:val="center"/>
                </w:tcPr>
                <w:p w14:paraId="520AB79B">
                  <w:pPr>
                    <w:widowControl/>
                    <w:adjustRightInd w:val="0"/>
                    <w:snapToGrid w:val="0"/>
                    <w:jc w:val="center"/>
                    <w:rPr>
                      <w:kern w:val="0"/>
                      <w:szCs w:val="21"/>
                    </w:rPr>
                  </w:pPr>
                  <w:r>
                    <w:rPr>
                      <w:rFonts w:eastAsia="等线"/>
                      <w:szCs w:val="21"/>
                    </w:rPr>
                    <w:t>1000</w:t>
                  </w:r>
                </w:p>
              </w:tc>
              <w:tc>
                <w:tcPr>
                  <w:tcW w:w="1396" w:type="dxa"/>
                  <w:vAlign w:val="center"/>
                </w:tcPr>
                <w:p w14:paraId="520AB79C">
                  <w:pPr>
                    <w:widowControl/>
                    <w:adjustRightInd w:val="0"/>
                    <w:snapToGrid w:val="0"/>
                    <w:jc w:val="center"/>
                    <w:rPr>
                      <w:kern w:val="0"/>
                      <w:szCs w:val="21"/>
                    </w:rPr>
                  </w:pPr>
                  <w:r>
                    <w:rPr>
                      <w:rFonts w:eastAsia="等线"/>
                      <w:szCs w:val="21"/>
                    </w:rPr>
                    <w:t>0.0093</w:t>
                  </w:r>
                </w:p>
              </w:tc>
            </w:tr>
            <w:tr w14:paraId="520AB7A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9E">
                  <w:pPr>
                    <w:widowControl/>
                    <w:adjustRightInd w:val="0"/>
                    <w:snapToGrid w:val="0"/>
                    <w:jc w:val="center"/>
                    <w:rPr>
                      <w:kern w:val="0"/>
                      <w:szCs w:val="21"/>
                    </w:rPr>
                  </w:pPr>
                </w:p>
              </w:tc>
              <w:tc>
                <w:tcPr>
                  <w:tcW w:w="749" w:type="dxa"/>
                  <w:vAlign w:val="center"/>
                </w:tcPr>
                <w:p w14:paraId="520AB79F">
                  <w:pPr>
                    <w:widowControl/>
                    <w:adjustRightInd w:val="0"/>
                    <w:snapToGrid w:val="0"/>
                    <w:jc w:val="center"/>
                    <w:rPr>
                      <w:kern w:val="0"/>
                      <w:szCs w:val="21"/>
                    </w:rPr>
                  </w:pPr>
                  <w:r>
                    <w:rPr>
                      <w:kern w:val="0"/>
                      <w:szCs w:val="21"/>
                    </w:rPr>
                    <w:t>DA025</w:t>
                  </w:r>
                </w:p>
              </w:tc>
              <w:tc>
                <w:tcPr>
                  <w:tcW w:w="1035" w:type="dxa"/>
                  <w:vAlign w:val="center"/>
                </w:tcPr>
                <w:p w14:paraId="520AB7A0">
                  <w:pPr>
                    <w:widowControl/>
                    <w:adjustRightInd w:val="0"/>
                    <w:snapToGrid w:val="0"/>
                    <w:jc w:val="center"/>
                    <w:rPr>
                      <w:szCs w:val="21"/>
                    </w:rPr>
                  </w:pPr>
                  <w:r>
                    <w:rPr>
                      <w:rFonts w:hint="eastAsia"/>
                      <w:szCs w:val="21"/>
                    </w:rPr>
                    <w:t>非甲烷总烃</w:t>
                  </w:r>
                </w:p>
              </w:tc>
              <w:tc>
                <w:tcPr>
                  <w:tcW w:w="1326" w:type="dxa"/>
                  <w:vAlign w:val="center"/>
                </w:tcPr>
                <w:p w14:paraId="520AB7A1">
                  <w:pPr>
                    <w:jc w:val="center"/>
                    <w:rPr>
                      <w:szCs w:val="21"/>
                    </w:rPr>
                  </w:pPr>
                  <w:r>
                    <w:rPr>
                      <w:rFonts w:hint="eastAsia"/>
                      <w:szCs w:val="21"/>
                    </w:rPr>
                    <w:t>1</w:t>
                  </w:r>
                  <w:r>
                    <w:rPr>
                      <w:szCs w:val="21"/>
                    </w:rPr>
                    <w:t>01</w:t>
                  </w:r>
                  <w:r>
                    <w:rPr>
                      <w:rFonts w:hint="eastAsia"/>
                      <w:kern w:val="0"/>
                      <w:szCs w:val="21"/>
                    </w:rPr>
                    <w:t>#厂房</w:t>
                  </w:r>
                  <w:r>
                    <w:rPr>
                      <w:rFonts w:hint="eastAsia"/>
                      <w:szCs w:val="21"/>
                    </w:rPr>
                    <w:t>油类试验1</w:t>
                  </w:r>
                  <w:r>
                    <w:rPr>
                      <w:szCs w:val="21"/>
                    </w:rPr>
                    <w:t>#</w:t>
                  </w:r>
                </w:p>
              </w:tc>
              <w:tc>
                <w:tcPr>
                  <w:tcW w:w="828" w:type="dxa"/>
                  <w:vAlign w:val="center"/>
                </w:tcPr>
                <w:p w14:paraId="520AB7A2">
                  <w:pPr>
                    <w:widowControl/>
                    <w:adjustRightInd w:val="0"/>
                    <w:snapToGrid w:val="0"/>
                    <w:jc w:val="center"/>
                    <w:rPr>
                      <w:kern w:val="0"/>
                      <w:szCs w:val="21"/>
                    </w:rPr>
                  </w:pPr>
                  <w:r>
                    <w:rPr>
                      <w:kern w:val="0"/>
                      <w:szCs w:val="21"/>
                    </w:rPr>
                    <w:t>/</w:t>
                  </w:r>
                </w:p>
              </w:tc>
              <w:tc>
                <w:tcPr>
                  <w:tcW w:w="1100" w:type="dxa"/>
                  <w:vAlign w:val="center"/>
                </w:tcPr>
                <w:p w14:paraId="520AB7A3">
                  <w:pPr>
                    <w:widowControl/>
                    <w:adjustRightInd w:val="0"/>
                    <w:snapToGrid w:val="0"/>
                    <w:jc w:val="center"/>
                    <w:rPr>
                      <w:kern w:val="0"/>
                      <w:szCs w:val="21"/>
                    </w:rPr>
                  </w:pPr>
                  <w:r>
                    <w:rPr>
                      <w:kern w:val="0"/>
                      <w:szCs w:val="21"/>
                    </w:rPr>
                    <w:t>/</w:t>
                  </w:r>
                </w:p>
              </w:tc>
              <w:tc>
                <w:tcPr>
                  <w:tcW w:w="1085" w:type="dxa"/>
                  <w:vAlign w:val="center"/>
                </w:tcPr>
                <w:p w14:paraId="520AB7A4">
                  <w:pPr>
                    <w:widowControl/>
                    <w:adjustRightInd w:val="0"/>
                    <w:snapToGrid w:val="0"/>
                    <w:jc w:val="center"/>
                    <w:rPr>
                      <w:kern w:val="0"/>
                      <w:szCs w:val="21"/>
                    </w:rPr>
                  </w:pPr>
                  <w:r>
                    <w:rPr>
                      <w:kern w:val="0"/>
                      <w:szCs w:val="21"/>
                    </w:rPr>
                    <w:t>/</w:t>
                  </w:r>
                </w:p>
              </w:tc>
              <w:tc>
                <w:tcPr>
                  <w:tcW w:w="827" w:type="dxa"/>
                  <w:vAlign w:val="center"/>
                </w:tcPr>
                <w:p w14:paraId="520AB7A5">
                  <w:pPr>
                    <w:widowControl/>
                    <w:adjustRightInd w:val="0"/>
                    <w:snapToGrid w:val="0"/>
                    <w:jc w:val="center"/>
                    <w:rPr>
                      <w:kern w:val="0"/>
                      <w:szCs w:val="21"/>
                    </w:rPr>
                  </w:pPr>
                  <w:r>
                    <w:rPr>
                      <w:rFonts w:eastAsia="等线"/>
                      <w:szCs w:val="21"/>
                    </w:rPr>
                    <w:t>7000</w:t>
                  </w:r>
                </w:p>
              </w:tc>
              <w:tc>
                <w:tcPr>
                  <w:tcW w:w="1100" w:type="dxa"/>
                  <w:vAlign w:val="center"/>
                </w:tcPr>
                <w:p w14:paraId="520AB7A6">
                  <w:pPr>
                    <w:widowControl/>
                    <w:adjustRightInd w:val="0"/>
                    <w:snapToGrid w:val="0"/>
                    <w:jc w:val="center"/>
                    <w:rPr>
                      <w:kern w:val="0"/>
                      <w:szCs w:val="21"/>
                    </w:rPr>
                  </w:pPr>
                  <w:r>
                    <w:rPr>
                      <w:rFonts w:eastAsia="等线"/>
                      <w:szCs w:val="21"/>
                    </w:rPr>
                    <w:t>21.5</w:t>
                  </w:r>
                </w:p>
              </w:tc>
              <w:tc>
                <w:tcPr>
                  <w:tcW w:w="1116" w:type="dxa"/>
                  <w:vAlign w:val="center"/>
                </w:tcPr>
                <w:p w14:paraId="520AB7A7">
                  <w:pPr>
                    <w:widowControl/>
                    <w:adjustRightInd w:val="0"/>
                    <w:snapToGrid w:val="0"/>
                    <w:jc w:val="center"/>
                    <w:rPr>
                      <w:kern w:val="0"/>
                      <w:szCs w:val="21"/>
                    </w:rPr>
                  </w:pPr>
                  <w:r>
                    <w:rPr>
                      <w:rFonts w:eastAsia="等线"/>
                      <w:szCs w:val="21"/>
                    </w:rPr>
                    <w:t>0.1506</w:t>
                  </w:r>
                </w:p>
              </w:tc>
              <w:tc>
                <w:tcPr>
                  <w:tcW w:w="943" w:type="dxa"/>
                  <w:vAlign w:val="center"/>
                </w:tcPr>
                <w:p w14:paraId="520AB7A8">
                  <w:pPr>
                    <w:widowControl/>
                    <w:adjustRightInd w:val="0"/>
                    <w:snapToGrid w:val="0"/>
                    <w:jc w:val="center"/>
                    <w:rPr>
                      <w:kern w:val="0"/>
                      <w:szCs w:val="21"/>
                    </w:rPr>
                  </w:pPr>
                  <w:r>
                    <w:rPr>
                      <w:rFonts w:eastAsia="等线"/>
                      <w:szCs w:val="21"/>
                    </w:rPr>
                    <w:t>2000</w:t>
                  </w:r>
                </w:p>
              </w:tc>
              <w:tc>
                <w:tcPr>
                  <w:tcW w:w="1396" w:type="dxa"/>
                  <w:vAlign w:val="center"/>
                </w:tcPr>
                <w:p w14:paraId="520AB7A9">
                  <w:pPr>
                    <w:widowControl/>
                    <w:adjustRightInd w:val="0"/>
                    <w:snapToGrid w:val="0"/>
                    <w:jc w:val="center"/>
                    <w:rPr>
                      <w:kern w:val="0"/>
                      <w:szCs w:val="21"/>
                    </w:rPr>
                  </w:pPr>
                  <w:r>
                    <w:rPr>
                      <w:rFonts w:eastAsia="等线"/>
                      <w:szCs w:val="21"/>
                    </w:rPr>
                    <w:t>0.0717</w:t>
                  </w:r>
                </w:p>
              </w:tc>
            </w:tr>
            <w:tr w14:paraId="520AB7B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AB">
                  <w:pPr>
                    <w:widowControl/>
                    <w:adjustRightInd w:val="0"/>
                    <w:snapToGrid w:val="0"/>
                    <w:jc w:val="center"/>
                    <w:rPr>
                      <w:kern w:val="0"/>
                      <w:szCs w:val="21"/>
                    </w:rPr>
                  </w:pPr>
                </w:p>
              </w:tc>
              <w:tc>
                <w:tcPr>
                  <w:tcW w:w="749" w:type="dxa"/>
                  <w:vAlign w:val="center"/>
                </w:tcPr>
                <w:p w14:paraId="520AB7AC">
                  <w:pPr>
                    <w:widowControl/>
                    <w:adjustRightInd w:val="0"/>
                    <w:snapToGrid w:val="0"/>
                    <w:jc w:val="center"/>
                    <w:rPr>
                      <w:kern w:val="0"/>
                      <w:szCs w:val="21"/>
                    </w:rPr>
                  </w:pPr>
                  <w:r>
                    <w:rPr>
                      <w:kern w:val="0"/>
                      <w:szCs w:val="21"/>
                    </w:rPr>
                    <w:t>DA026</w:t>
                  </w:r>
                </w:p>
              </w:tc>
              <w:tc>
                <w:tcPr>
                  <w:tcW w:w="1035" w:type="dxa"/>
                  <w:vAlign w:val="center"/>
                </w:tcPr>
                <w:p w14:paraId="520AB7AD">
                  <w:pPr>
                    <w:widowControl/>
                    <w:adjustRightInd w:val="0"/>
                    <w:snapToGrid w:val="0"/>
                    <w:jc w:val="center"/>
                    <w:rPr>
                      <w:szCs w:val="21"/>
                    </w:rPr>
                  </w:pPr>
                  <w:r>
                    <w:rPr>
                      <w:rFonts w:hint="eastAsia"/>
                      <w:szCs w:val="21"/>
                    </w:rPr>
                    <w:t>非甲烷总烃</w:t>
                  </w:r>
                </w:p>
              </w:tc>
              <w:tc>
                <w:tcPr>
                  <w:tcW w:w="1326" w:type="dxa"/>
                  <w:vAlign w:val="center"/>
                </w:tcPr>
                <w:p w14:paraId="520AB7AE">
                  <w:pPr>
                    <w:jc w:val="center"/>
                    <w:rPr>
                      <w:szCs w:val="21"/>
                    </w:rPr>
                  </w:pPr>
                  <w:r>
                    <w:rPr>
                      <w:rFonts w:hint="eastAsia"/>
                      <w:szCs w:val="21"/>
                    </w:rPr>
                    <w:t>1206</w:t>
                  </w:r>
                  <w:r>
                    <w:rPr>
                      <w:rFonts w:hint="eastAsia"/>
                      <w:kern w:val="0"/>
                      <w:szCs w:val="21"/>
                    </w:rPr>
                    <w:t>#厂房</w:t>
                  </w:r>
                  <w:r>
                    <w:rPr>
                      <w:rFonts w:hint="eastAsia"/>
                      <w:szCs w:val="21"/>
                    </w:rPr>
                    <w:t>油类试验（含在建的168</w:t>
                  </w:r>
                  <w:r>
                    <w:rPr>
                      <w:rFonts w:hint="eastAsia"/>
                      <w:kern w:val="0"/>
                      <w:szCs w:val="21"/>
                    </w:rPr>
                    <w:t>#厂房</w:t>
                  </w:r>
                  <w:r>
                    <w:rPr>
                      <w:rFonts w:hint="eastAsia"/>
                      <w:szCs w:val="21"/>
                    </w:rPr>
                    <w:t>试验）</w:t>
                  </w:r>
                </w:p>
              </w:tc>
              <w:tc>
                <w:tcPr>
                  <w:tcW w:w="828" w:type="dxa"/>
                  <w:vAlign w:val="center"/>
                </w:tcPr>
                <w:p w14:paraId="520AB7AF">
                  <w:pPr>
                    <w:widowControl/>
                    <w:adjustRightInd w:val="0"/>
                    <w:snapToGrid w:val="0"/>
                    <w:jc w:val="center"/>
                    <w:rPr>
                      <w:kern w:val="0"/>
                      <w:szCs w:val="21"/>
                    </w:rPr>
                  </w:pPr>
                  <w:r>
                    <w:rPr>
                      <w:kern w:val="0"/>
                      <w:szCs w:val="21"/>
                    </w:rPr>
                    <w:t>/</w:t>
                  </w:r>
                </w:p>
              </w:tc>
              <w:tc>
                <w:tcPr>
                  <w:tcW w:w="1100" w:type="dxa"/>
                  <w:vAlign w:val="center"/>
                </w:tcPr>
                <w:p w14:paraId="520AB7B0">
                  <w:pPr>
                    <w:widowControl/>
                    <w:adjustRightInd w:val="0"/>
                    <w:snapToGrid w:val="0"/>
                    <w:jc w:val="center"/>
                    <w:rPr>
                      <w:kern w:val="0"/>
                      <w:szCs w:val="21"/>
                    </w:rPr>
                  </w:pPr>
                  <w:r>
                    <w:rPr>
                      <w:kern w:val="0"/>
                      <w:szCs w:val="21"/>
                    </w:rPr>
                    <w:t>/</w:t>
                  </w:r>
                </w:p>
              </w:tc>
              <w:tc>
                <w:tcPr>
                  <w:tcW w:w="1085" w:type="dxa"/>
                  <w:vAlign w:val="center"/>
                </w:tcPr>
                <w:p w14:paraId="520AB7B1">
                  <w:pPr>
                    <w:widowControl/>
                    <w:adjustRightInd w:val="0"/>
                    <w:snapToGrid w:val="0"/>
                    <w:jc w:val="center"/>
                    <w:rPr>
                      <w:kern w:val="0"/>
                      <w:szCs w:val="21"/>
                    </w:rPr>
                  </w:pPr>
                  <w:r>
                    <w:rPr>
                      <w:kern w:val="0"/>
                      <w:szCs w:val="21"/>
                    </w:rPr>
                    <w:t>/</w:t>
                  </w:r>
                </w:p>
              </w:tc>
              <w:tc>
                <w:tcPr>
                  <w:tcW w:w="827" w:type="dxa"/>
                  <w:vAlign w:val="center"/>
                </w:tcPr>
                <w:p w14:paraId="520AB7B2">
                  <w:pPr>
                    <w:widowControl/>
                    <w:adjustRightInd w:val="0"/>
                    <w:snapToGrid w:val="0"/>
                    <w:jc w:val="center"/>
                    <w:rPr>
                      <w:kern w:val="0"/>
                      <w:szCs w:val="21"/>
                    </w:rPr>
                  </w:pPr>
                  <w:r>
                    <w:rPr>
                      <w:rFonts w:eastAsia="等线"/>
                      <w:szCs w:val="21"/>
                    </w:rPr>
                    <w:t>2500</w:t>
                  </w:r>
                </w:p>
              </w:tc>
              <w:tc>
                <w:tcPr>
                  <w:tcW w:w="1100" w:type="dxa"/>
                  <w:vAlign w:val="center"/>
                </w:tcPr>
                <w:p w14:paraId="520AB7B3">
                  <w:pPr>
                    <w:widowControl/>
                    <w:adjustRightInd w:val="0"/>
                    <w:snapToGrid w:val="0"/>
                    <w:jc w:val="center"/>
                    <w:rPr>
                      <w:kern w:val="0"/>
                      <w:szCs w:val="21"/>
                    </w:rPr>
                  </w:pPr>
                  <w:r>
                    <w:rPr>
                      <w:rFonts w:eastAsia="等线"/>
                      <w:szCs w:val="21"/>
                    </w:rPr>
                    <w:t>12</w:t>
                  </w:r>
                </w:p>
              </w:tc>
              <w:tc>
                <w:tcPr>
                  <w:tcW w:w="1116" w:type="dxa"/>
                  <w:vAlign w:val="center"/>
                </w:tcPr>
                <w:p w14:paraId="520AB7B4">
                  <w:pPr>
                    <w:widowControl/>
                    <w:adjustRightInd w:val="0"/>
                    <w:snapToGrid w:val="0"/>
                    <w:jc w:val="center"/>
                    <w:rPr>
                      <w:kern w:val="0"/>
                      <w:szCs w:val="21"/>
                    </w:rPr>
                  </w:pPr>
                  <w:r>
                    <w:rPr>
                      <w:rFonts w:eastAsia="等线"/>
                      <w:szCs w:val="21"/>
                    </w:rPr>
                    <w:t>0.0367</w:t>
                  </w:r>
                </w:p>
              </w:tc>
              <w:tc>
                <w:tcPr>
                  <w:tcW w:w="943" w:type="dxa"/>
                  <w:vAlign w:val="center"/>
                </w:tcPr>
                <w:p w14:paraId="520AB7B5">
                  <w:pPr>
                    <w:widowControl/>
                    <w:adjustRightInd w:val="0"/>
                    <w:snapToGrid w:val="0"/>
                    <w:jc w:val="center"/>
                    <w:rPr>
                      <w:kern w:val="0"/>
                      <w:szCs w:val="21"/>
                    </w:rPr>
                  </w:pPr>
                  <w:r>
                    <w:rPr>
                      <w:rFonts w:eastAsia="等线"/>
                      <w:szCs w:val="21"/>
                    </w:rPr>
                    <w:t>900</w:t>
                  </w:r>
                </w:p>
              </w:tc>
              <w:tc>
                <w:tcPr>
                  <w:tcW w:w="1396" w:type="dxa"/>
                  <w:vAlign w:val="center"/>
                </w:tcPr>
                <w:p w14:paraId="520AB7B6">
                  <w:pPr>
                    <w:widowControl/>
                    <w:adjustRightInd w:val="0"/>
                    <w:snapToGrid w:val="0"/>
                    <w:jc w:val="center"/>
                    <w:rPr>
                      <w:kern w:val="0"/>
                      <w:szCs w:val="21"/>
                    </w:rPr>
                  </w:pPr>
                  <w:r>
                    <w:rPr>
                      <w:rFonts w:eastAsia="等线"/>
                      <w:szCs w:val="21"/>
                    </w:rPr>
                    <w:t>0.0146</w:t>
                  </w:r>
                </w:p>
              </w:tc>
            </w:tr>
            <w:tr w14:paraId="520AB7C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B8">
                  <w:pPr>
                    <w:widowControl/>
                    <w:adjustRightInd w:val="0"/>
                    <w:snapToGrid w:val="0"/>
                    <w:jc w:val="center"/>
                    <w:rPr>
                      <w:kern w:val="0"/>
                      <w:szCs w:val="21"/>
                    </w:rPr>
                  </w:pPr>
                </w:p>
              </w:tc>
              <w:tc>
                <w:tcPr>
                  <w:tcW w:w="749" w:type="dxa"/>
                  <w:vAlign w:val="center"/>
                </w:tcPr>
                <w:p w14:paraId="520AB7B9">
                  <w:pPr>
                    <w:widowControl/>
                    <w:adjustRightInd w:val="0"/>
                    <w:snapToGrid w:val="0"/>
                    <w:jc w:val="center"/>
                    <w:rPr>
                      <w:kern w:val="0"/>
                      <w:szCs w:val="21"/>
                    </w:rPr>
                  </w:pPr>
                  <w:r>
                    <w:rPr>
                      <w:kern w:val="0"/>
                      <w:szCs w:val="21"/>
                    </w:rPr>
                    <w:t>DA027</w:t>
                  </w:r>
                </w:p>
              </w:tc>
              <w:tc>
                <w:tcPr>
                  <w:tcW w:w="1035" w:type="dxa"/>
                  <w:vAlign w:val="center"/>
                </w:tcPr>
                <w:p w14:paraId="520AB7BA">
                  <w:pPr>
                    <w:widowControl/>
                    <w:adjustRightInd w:val="0"/>
                    <w:snapToGrid w:val="0"/>
                    <w:jc w:val="center"/>
                    <w:rPr>
                      <w:kern w:val="0"/>
                      <w:szCs w:val="21"/>
                    </w:rPr>
                  </w:pPr>
                  <w:r>
                    <w:rPr>
                      <w:rFonts w:hint="eastAsia"/>
                      <w:szCs w:val="21"/>
                    </w:rPr>
                    <w:t>非甲烷总烃</w:t>
                  </w:r>
                </w:p>
              </w:tc>
              <w:tc>
                <w:tcPr>
                  <w:tcW w:w="1326" w:type="dxa"/>
                  <w:vAlign w:val="center"/>
                </w:tcPr>
                <w:p w14:paraId="520AB7BB">
                  <w:pPr>
                    <w:widowControl/>
                    <w:adjustRightInd w:val="0"/>
                    <w:snapToGrid w:val="0"/>
                    <w:jc w:val="center"/>
                    <w:rPr>
                      <w:kern w:val="0"/>
                      <w:szCs w:val="21"/>
                    </w:rPr>
                  </w:pPr>
                  <w:r>
                    <w:rPr>
                      <w:rFonts w:hint="eastAsia"/>
                      <w:szCs w:val="21"/>
                    </w:rPr>
                    <w:t>1208</w:t>
                  </w:r>
                  <w:r>
                    <w:rPr>
                      <w:rFonts w:hint="eastAsia"/>
                      <w:kern w:val="0"/>
                      <w:szCs w:val="21"/>
                    </w:rPr>
                    <w:t>#厂房</w:t>
                  </w:r>
                  <w:r>
                    <w:rPr>
                      <w:rFonts w:hint="eastAsia"/>
                      <w:szCs w:val="21"/>
                    </w:rPr>
                    <w:t>油类试验台、清洗</w:t>
                  </w:r>
                </w:p>
              </w:tc>
              <w:tc>
                <w:tcPr>
                  <w:tcW w:w="828" w:type="dxa"/>
                  <w:vAlign w:val="center"/>
                </w:tcPr>
                <w:p w14:paraId="520AB7BC">
                  <w:pPr>
                    <w:widowControl/>
                    <w:adjustRightInd w:val="0"/>
                    <w:snapToGrid w:val="0"/>
                    <w:jc w:val="center"/>
                    <w:rPr>
                      <w:kern w:val="0"/>
                      <w:szCs w:val="21"/>
                    </w:rPr>
                  </w:pPr>
                  <w:r>
                    <w:rPr>
                      <w:kern w:val="0"/>
                      <w:szCs w:val="21"/>
                    </w:rPr>
                    <w:t>/</w:t>
                  </w:r>
                </w:p>
              </w:tc>
              <w:tc>
                <w:tcPr>
                  <w:tcW w:w="1100" w:type="dxa"/>
                  <w:vAlign w:val="center"/>
                </w:tcPr>
                <w:p w14:paraId="520AB7BD">
                  <w:pPr>
                    <w:widowControl/>
                    <w:adjustRightInd w:val="0"/>
                    <w:snapToGrid w:val="0"/>
                    <w:jc w:val="center"/>
                    <w:rPr>
                      <w:kern w:val="0"/>
                      <w:szCs w:val="21"/>
                    </w:rPr>
                  </w:pPr>
                  <w:r>
                    <w:rPr>
                      <w:kern w:val="0"/>
                      <w:szCs w:val="21"/>
                    </w:rPr>
                    <w:t>/</w:t>
                  </w:r>
                </w:p>
              </w:tc>
              <w:tc>
                <w:tcPr>
                  <w:tcW w:w="1085" w:type="dxa"/>
                  <w:vAlign w:val="center"/>
                </w:tcPr>
                <w:p w14:paraId="520AB7BE">
                  <w:pPr>
                    <w:widowControl/>
                    <w:adjustRightInd w:val="0"/>
                    <w:snapToGrid w:val="0"/>
                    <w:jc w:val="center"/>
                    <w:rPr>
                      <w:kern w:val="0"/>
                      <w:szCs w:val="21"/>
                    </w:rPr>
                  </w:pPr>
                  <w:r>
                    <w:rPr>
                      <w:kern w:val="0"/>
                      <w:szCs w:val="21"/>
                    </w:rPr>
                    <w:t>/</w:t>
                  </w:r>
                </w:p>
              </w:tc>
              <w:tc>
                <w:tcPr>
                  <w:tcW w:w="827" w:type="dxa"/>
                  <w:vAlign w:val="center"/>
                </w:tcPr>
                <w:p w14:paraId="520AB7BF">
                  <w:pPr>
                    <w:widowControl/>
                    <w:adjustRightInd w:val="0"/>
                    <w:snapToGrid w:val="0"/>
                    <w:jc w:val="center"/>
                    <w:rPr>
                      <w:kern w:val="0"/>
                      <w:szCs w:val="21"/>
                    </w:rPr>
                  </w:pPr>
                  <w:r>
                    <w:rPr>
                      <w:rFonts w:eastAsia="等线"/>
                      <w:szCs w:val="21"/>
                    </w:rPr>
                    <w:t>11000</w:t>
                  </w:r>
                </w:p>
              </w:tc>
              <w:tc>
                <w:tcPr>
                  <w:tcW w:w="1100" w:type="dxa"/>
                  <w:vAlign w:val="center"/>
                </w:tcPr>
                <w:p w14:paraId="520AB7C0">
                  <w:pPr>
                    <w:widowControl/>
                    <w:adjustRightInd w:val="0"/>
                    <w:snapToGrid w:val="0"/>
                    <w:jc w:val="center"/>
                    <w:rPr>
                      <w:kern w:val="0"/>
                      <w:szCs w:val="21"/>
                    </w:rPr>
                  </w:pPr>
                  <w:r>
                    <w:rPr>
                      <w:rFonts w:eastAsia="等线"/>
                      <w:szCs w:val="21"/>
                    </w:rPr>
                    <w:t>53.85</w:t>
                  </w:r>
                </w:p>
              </w:tc>
              <w:tc>
                <w:tcPr>
                  <w:tcW w:w="1116" w:type="dxa"/>
                  <w:vAlign w:val="center"/>
                </w:tcPr>
                <w:p w14:paraId="520AB7C1">
                  <w:pPr>
                    <w:widowControl/>
                    <w:adjustRightInd w:val="0"/>
                    <w:snapToGrid w:val="0"/>
                    <w:jc w:val="center"/>
                    <w:rPr>
                      <w:kern w:val="0"/>
                      <w:szCs w:val="21"/>
                    </w:rPr>
                  </w:pPr>
                  <w:r>
                    <w:rPr>
                      <w:rFonts w:eastAsia="等线"/>
                      <w:szCs w:val="21"/>
                    </w:rPr>
                    <w:t>0.5924</w:t>
                  </w:r>
                </w:p>
              </w:tc>
              <w:tc>
                <w:tcPr>
                  <w:tcW w:w="943" w:type="dxa"/>
                  <w:vAlign w:val="center"/>
                </w:tcPr>
                <w:p w14:paraId="520AB7C2">
                  <w:pPr>
                    <w:widowControl/>
                    <w:adjustRightInd w:val="0"/>
                    <w:snapToGrid w:val="0"/>
                    <w:jc w:val="center"/>
                    <w:rPr>
                      <w:kern w:val="0"/>
                      <w:szCs w:val="21"/>
                    </w:rPr>
                  </w:pPr>
                  <w:r>
                    <w:rPr>
                      <w:rFonts w:eastAsia="等线"/>
                      <w:szCs w:val="21"/>
                    </w:rPr>
                    <w:t>2000</w:t>
                  </w:r>
                </w:p>
              </w:tc>
              <w:tc>
                <w:tcPr>
                  <w:tcW w:w="1396" w:type="dxa"/>
                  <w:vAlign w:val="center"/>
                </w:tcPr>
                <w:p w14:paraId="520AB7C3">
                  <w:pPr>
                    <w:widowControl/>
                    <w:adjustRightInd w:val="0"/>
                    <w:snapToGrid w:val="0"/>
                    <w:jc w:val="center"/>
                    <w:rPr>
                      <w:kern w:val="0"/>
                      <w:szCs w:val="21"/>
                    </w:rPr>
                  </w:pPr>
                  <w:r>
                    <w:rPr>
                      <w:rFonts w:eastAsia="等线"/>
                      <w:szCs w:val="21"/>
                    </w:rPr>
                    <w:t>0.6799</w:t>
                  </w:r>
                </w:p>
              </w:tc>
            </w:tr>
            <w:tr w14:paraId="520AB7D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C5">
                  <w:pPr>
                    <w:widowControl/>
                    <w:adjustRightInd w:val="0"/>
                    <w:snapToGrid w:val="0"/>
                    <w:jc w:val="center"/>
                    <w:rPr>
                      <w:kern w:val="0"/>
                      <w:szCs w:val="21"/>
                    </w:rPr>
                  </w:pPr>
                </w:p>
              </w:tc>
              <w:tc>
                <w:tcPr>
                  <w:tcW w:w="749" w:type="dxa"/>
                  <w:vMerge w:val="restart"/>
                  <w:vAlign w:val="center"/>
                </w:tcPr>
                <w:p w14:paraId="520AB7C6">
                  <w:pPr>
                    <w:adjustRightInd w:val="0"/>
                    <w:snapToGrid w:val="0"/>
                    <w:jc w:val="center"/>
                    <w:rPr>
                      <w:kern w:val="0"/>
                      <w:szCs w:val="21"/>
                    </w:rPr>
                  </w:pPr>
                  <w:r>
                    <w:rPr>
                      <w:kern w:val="0"/>
                      <w:szCs w:val="21"/>
                    </w:rPr>
                    <w:t>DA028</w:t>
                  </w:r>
                </w:p>
              </w:tc>
              <w:tc>
                <w:tcPr>
                  <w:tcW w:w="1035" w:type="dxa"/>
                  <w:vAlign w:val="center"/>
                </w:tcPr>
                <w:p w14:paraId="520AB7C7">
                  <w:pPr>
                    <w:widowControl/>
                    <w:adjustRightInd w:val="0"/>
                    <w:snapToGrid w:val="0"/>
                    <w:jc w:val="center"/>
                    <w:rPr>
                      <w:szCs w:val="21"/>
                    </w:rPr>
                  </w:pPr>
                  <w:r>
                    <w:rPr>
                      <w:rFonts w:hint="eastAsia"/>
                      <w:szCs w:val="21"/>
                    </w:rPr>
                    <w:t>颗粒物</w:t>
                  </w:r>
                </w:p>
              </w:tc>
              <w:tc>
                <w:tcPr>
                  <w:tcW w:w="1326" w:type="dxa"/>
                  <w:vMerge w:val="restart"/>
                  <w:vAlign w:val="center"/>
                </w:tcPr>
                <w:p w14:paraId="520AB7C8">
                  <w:pPr>
                    <w:adjustRightInd w:val="0"/>
                    <w:snapToGrid w:val="0"/>
                    <w:jc w:val="center"/>
                    <w:rPr>
                      <w:szCs w:val="21"/>
                    </w:rPr>
                  </w:pPr>
                  <w:r>
                    <w:rPr>
                      <w:rFonts w:hint="eastAsia"/>
                      <w:szCs w:val="21"/>
                    </w:rPr>
                    <w:t>1208</w:t>
                  </w:r>
                  <w:r>
                    <w:rPr>
                      <w:rFonts w:hint="eastAsia"/>
                      <w:kern w:val="0"/>
                      <w:szCs w:val="21"/>
                    </w:rPr>
                    <w:t>#厂房</w:t>
                  </w:r>
                  <w:r>
                    <w:rPr>
                      <w:rFonts w:hint="eastAsia"/>
                      <w:szCs w:val="21"/>
                    </w:rPr>
                    <w:t>钎焊、氩弧焊、切割</w:t>
                  </w:r>
                </w:p>
              </w:tc>
              <w:tc>
                <w:tcPr>
                  <w:tcW w:w="828" w:type="dxa"/>
                  <w:vAlign w:val="center"/>
                </w:tcPr>
                <w:p w14:paraId="520AB7C9">
                  <w:pPr>
                    <w:widowControl/>
                    <w:adjustRightInd w:val="0"/>
                    <w:snapToGrid w:val="0"/>
                    <w:jc w:val="center"/>
                    <w:rPr>
                      <w:kern w:val="0"/>
                      <w:szCs w:val="21"/>
                    </w:rPr>
                  </w:pPr>
                  <w:r>
                    <w:rPr>
                      <w:kern w:val="0"/>
                      <w:szCs w:val="21"/>
                    </w:rPr>
                    <w:t>/</w:t>
                  </w:r>
                </w:p>
              </w:tc>
              <w:tc>
                <w:tcPr>
                  <w:tcW w:w="1100" w:type="dxa"/>
                  <w:vAlign w:val="center"/>
                </w:tcPr>
                <w:p w14:paraId="520AB7CA">
                  <w:pPr>
                    <w:widowControl/>
                    <w:adjustRightInd w:val="0"/>
                    <w:snapToGrid w:val="0"/>
                    <w:jc w:val="center"/>
                    <w:rPr>
                      <w:kern w:val="0"/>
                      <w:szCs w:val="21"/>
                    </w:rPr>
                  </w:pPr>
                  <w:r>
                    <w:rPr>
                      <w:kern w:val="0"/>
                      <w:szCs w:val="21"/>
                    </w:rPr>
                    <w:t>/</w:t>
                  </w:r>
                </w:p>
              </w:tc>
              <w:tc>
                <w:tcPr>
                  <w:tcW w:w="1085" w:type="dxa"/>
                  <w:vAlign w:val="center"/>
                </w:tcPr>
                <w:p w14:paraId="520AB7CB">
                  <w:pPr>
                    <w:widowControl/>
                    <w:adjustRightInd w:val="0"/>
                    <w:snapToGrid w:val="0"/>
                    <w:jc w:val="center"/>
                    <w:rPr>
                      <w:kern w:val="0"/>
                      <w:szCs w:val="21"/>
                    </w:rPr>
                  </w:pPr>
                  <w:r>
                    <w:rPr>
                      <w:kern w:val="0"/>
                      <w:szCs w:val="21"/>
                    </w:rPr>
                    <w:t>/</w:t>
                  </w:r>
                </w:p>
              </w:tc>
              <w:tc>
                <w:tcPr>
                  <w:tcW w:w="827" w:type="dxa"/>
                  <w:vAlign w:val="center"/>
                </w:tcPr>
                <w:p w14:paraId="520AB7CC">
                  <w:pPr>
                    <w:widowControl/>
                    <w:adjustRightInd w:val="0"/>
                    <w:snapToGrid w:val="0"/>
                    <w:jc w:val="center"/>
                    <w:rPr>
                      <w:kern w:val="0"/>
                      <w:szCs w:val="21"/>
                    </w:rPr>
                  </w:pPr>
                  <w:r>
                    <w:rPr>
                      <w:rFonts w:eastAsia="等线"/>
                      <w:szCs w:val="21"/>
                    </w:rPr>
                    <w:t>10000</w:t>
                  </w:r>
                </w:p>
              </w:tc>
              <w:tc>
                <w:tcPr>
                  <w:tcW w:w="1100" w:type="dxa"/>
                  <w:vAlign w:val="center"/>
                </w:tcPr>
                <w:p w14:paraId="520AB7CD">
                  <w:pPr>
                    <w:widowControl/>
                    <w:adjustRightInd w:val="0"/>
                    <w:snapToGrid w:val="0"/>
                    <w:jc w:val="center"/>
                    <w:rPr>
                      <w:kern w:val="0"/>
                      <w:szCs w:val="21"/>
                    </w:rPr>
                  </w:pPr>
                  <w:r>
                    <w:rPr>
                      <w:rFonts w:eastAsia="等线"/>
                      <w:szCs w:val="21"/>
                    </w:rPr>
                    <w:t>3.51</w:t>
                  </w:r>
                </w:p>
              </w:tc>
              <w:tc>
                <w:tcPr>
                  <w:tcW w:w="1116" w:type="dxa"/>
                  <w:vAlign w:val="center"/>
                </w:tcPr>
                <w:p w14:paraId="520AB7CE">
                  <w:pPr>
                    <w:widowControl/>
                    <w:adjustRightInd w:val="0"/>
                    <w:snapToGrid w:val="0"/>
                    <w:jc w:val="center"/>
                    <w:rPr>
                      <w:kern w:val="0"/>
                      <w:szCs w:val="21"/>
                    </w:rPr>
                  </w:pPr>
                  <w:r>
                    <w:rPr>
                      <w:rFonts w:eastAsia="等线"/>
                      <w:szCs w:val="21"/>
                    </w:rPr>
                    <w:t>0.04</w:t>
                  </w:r>
                </w:p>
              </w:tc>
              <w:tc>
                <w:tcPr>
                  <w:tcW w:w="943" w:type="dxa"/>
                  <w:vAlign w:val="center"/>
                </w:tcPr>
                <w:p w14:paraId="520AB7CF">
                  <w:pPr>
                    <w:widowControl/>
                    <w:adjustRightInd w:val="0"/>
                    <w:snapToGrid w:val="0"/>
                    <w:jc w:val="center"/>
                    <w:rPr>
                      <w:kern w:val="0"/>
                      <w:szCs w:val="21"/>
                    </w:rPr>
                  </w:pPr>
                  <w:r>
                    <w:rPr>
                      <w:rFonts w:eastAsia="等线"/>
                      <w:szCs w:val="21"/>
                    </w:rPr>
                    <w:t>1000</w:t>
                  </w:r>
                </w:p>
              </w:tc>
              <w:tc>
                <w:tcPr>
                  <w:tcW w:w="1396" w:type="dxa"/>
                  <w:vAlign w:val="center"/>
                </w:tcPr>
                <w:p w14:paraId="520AB7D0">
                  <w:pPr>
                    <w:widowControl/>
                    <w:adjustRightInd w:val="0"/>
                    <w:snapToGrid w:val="0"/>
                    <w:jc w:val="center"/>
                    <w:rPr>
                      <w:kern w:val="0"/>
                      <w:szCs w:val="21"/>
                    </w:rPr>
                  </w:pPr>
                  <w:r>
                    <w:rPr>
                      <w:rFonts w:eastAsia="等线"/>
                      <w:szCs w:val="21"/>
                    </w:rPr>
                    <w:t>0.0351</w:t>
                  </w:r>
                </w:p>
              </w:tc>
            </w:tr>
            <w:tr w14:paraId="520AB7D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D2">
                  <w:pPr>
                    <w:widowControl/>
                    <w:adjustRightInd w:val="0"/>
                    <w:snapToGrid w:val="0"/>
                    <w:jc w:val="center"/>
                    <w:rPr>
                      <w:kern w:val="0"/>
                      <w:szCs w:val="21"/>
                    </w:rPr>
                  </w:pPr>
                </w:p>
              </w:tc>
              <w:tc>
                <w:tcPr>
                  <w:tcW w:w="749" w:type="dxa"/>
                  <w:vMerge w:val="continue"/>
                  <w:vAlign w:val="center"/>
                </w:tcPr>
                <w:p w14:paraId="520AB7D3">
                  <w:pPr>
                    <w:widowControl/>
                    <w:adjustRightInd w:val="0"/>
                    <w:snapToGrid w:val="0"/>
                    <w:jc w:val="center"/>
                    <w:rPr>
                      <w:kern w:val="0"/>
                      <w:szCs w:val="21"/>
                    </w:rPr>
                  </w:pPr>
                </w:p>
              </w:tc>
              <w:tc>
                <w:tcPr>
                  <w:tcW w:w="1035" w:type="dxa"/>
                  <w:vAlign w:val="center"/>
                </w:tcPr>
                <w:p w14:paraId="520AB7D4">
                  <w:pPr>
                    <w:widowControl/>
                    <w:adjustRightInd w:val="0"/>
                    <w:snapToGrid w:val="0"/>
                    <w:jc w:val="center"/>
                    <w:rPr>
                      <w:kern w:val="0"/>
                      <w:szCs w:val="21"/>
                    </w:rPr>
                  </w:pPr>
                  <w:r>
                    <w:rPr>
                      <w:rFonts w:hint="eastAsia"/>
                      <w:szCs w:val="21"/>
                    </w:rPr>
                    <w:t>锡及其化合物</w:t>
                  </w:r>
                </w:p>
              </w:tc>
              <w:tc>
                <w:tcPr>
                  <w:tcW w:w="1326" w:type="dxa"/>
                  <w:vMerge w:val="continue"/>
                  <w:vAlign w:val="center"/>
                </w:tcPr>
                <w:p w14:paraId="520AB7D5">
                  <w:pPr>
                    <w:widowControl/>
                    <w:adjustRightInd w:val="0"/>
                    <w:snapToGrid w:val="0"/>
                    <w:jc w:val="center"/>
                    <w:rPr>
                      <w:kern w:val="0"/>
                      <w:szCs w:val="21"/>
                    </w:rPr>
                  </w:pPr>
                </w:p>
              </w:tc>
              <w:tc>
                <w:tcPr>
                  <w:tcW w:w="828" w:type="dxa"/>
                  <w:vAlign w:val="center"/>
                </w:tcPr>
                <w:p w14:paraId="520AB7D6">
                  <w:pPr>
                    <w:widowControl/>
                    <w:adjustRightInd w:val="0"/>
                    <w:snapToGrid w:val="0"/>
                    <w:jc w:val="center"/>
                    <w:rPr>
                      <w:kern w:val="0"/>
                      <w:szCs w:val="21"/>
                    </w:rPr>
                  </w:pPr>
                  <w:r>
                    <w:rPr>
                      <w:kern w:val="0"/>
                      <w:szCs w:val="21"/>
                    </w:rPr>
                    <w:t>/</w:t>
                  </w:r>
                </w:p>
              </w:tc>
              <w:tc>
                <w:tcPr>
                  <w:tcW w:w="1100" w:type="dxa"/>
                  <w:vAlign w:val="center"/>
                </w:tcPr>
                <w:p w14:paraId="520AB7D7">
                  <w:pPr>
                    <w:widowControl/>
                    <w:adjustRightInd w:val="0"/>
                    <w:snapToGrid w:val="0"/>
                    <w:jc w:val="center"/>
                    <w:rPr>
                      <w:kern w:val="0"/>
                      <w:szCs w:val="21"/>
                    </w:rPr>
                  </w:pPr>
                  <w:r>
                    <w:rPr>
                      <w:kern w:val="0"/>
                      <w:szCs w:val="21"/>
                    </w:rPr>
                    <w:t>/</w:t>
                  </w:r>
                </w:p>
              </w:tc>
              <w:tc>
                <w:tcPr>
                  <w:tcW w:w="1085" w:type="dxa"/>
                  <w:vAlign w:val="center"/>
                </w:tcPr>
                <w:p w14:paraId="520AB7D8">
                  <w:pPr>
                    <w:widowControl/>
                    <w:adjustRightInd w:val="0"/>
                    <w:snapToGrid w:val="0"/>
                    <w:jc w:val="center"/>
                    <w:rPr>
                      <w:kern w:val="0"/>
                      <w:szCs w:val="21"/>
                    </w:rPr>
                  </w:pPr>
                  <w:r>
                    <w:rPr>
                      <w:kern w:val="0"/>
                      <w:szCs w:val="21"/>
                    </w:rPr>
                    <w:t>/</w:t>
                  </w:r>
                </w:p>
              </w:tc>
              <w:tc>
                <w:tcPr>
                  <w:tcW w:w="827" w:type="dxa"/>
                  <w:vAlign w:val="center"/>
                </w:tcPr>
                <w:p w14:paraId="520AB7D9">
                  <w:pPr>
                    <w:widowControl/>
                    <w:adjustRightInd w:val="0"/>
                    <w:snapToGrid w:val="0"/>
                    <w:jc w:val="center"/>
                    <w:rPr>
                      <w:kern w:val="0"/>
                      <w:szCs w:val="21"/>
                    </w:rPr>
                  </w:pPr>
                  <w:r>
                    <w:rPr>
                      <w:rFonts w:eastAsia="等线"/>
                      <w:szCs w:val="21"/>
                    </w:rPr>
                    <w:t>10000</w:t>
                  </w:r>
                </w:p>
              </w:tc>
              <w:tc>
                <w:tcPr>
                  <w:tcW w:w="1100" w:type="dxa"/>
                  <w:vAlign w:val="center"/>
                </w:tcPr>
                <w:p w14:paraId="520AB7DA">
                  <w:pPr>
                    <w:widowControl/>
                    <w:adjustRightInd w:val="0"/>
                    <w:snapToGrid w:val="0"/>
                    <w:jc w:val="center"/>
                    <w:rPr>
                      <w:kern w:val="0"/>
                      <w:szCs w:val="21"/>
                    </w:rPr>
                  </w:pPr>
                  <w:r>
                    <w:rPr>
                      <w:rFonts w:eastAsia="等线"/>
                      <w:szCs w:val="21"/>
                    </w:rPr>
                    <w:t>1.8</w:t>
                  </w:r>
                </w:p>
              </w:tc>
              <w:tc>
                <w:tcPr>
                  <w:tcW w:w="1116" w:type="dxa"/>
                  <w:vAlign w:val="center"/>
                </w:tcPr>
                <w:p w14:paraId="520AB7DB">
                  <w:pPr>
                    <w:widowControl/>
                    <w:adjustRightInd w:val="0"/>
                    <w:snapToGrid w:val="0"/>
                    <w:jc w:val="center"/>
                    <w:rPr>
                      <w:kern w:val="0"/>
                      <w:szCs w:val="21"/>
                    </w:rPr>
                  </w:pPr>
                  <w:r>
                    <w:rPr>
                      <w:rFonts w:eastAsia="等线"/>
                      <w:szCs w:val="21"/>
                    </w:rPr>
                    <w:t>0.02</w:t>
                  </w:r>
                </w:p>
              </w:tc>
              <w:tc>
                <w:tcPr>
                  <w:tcW w:w="943" w:type="dxa"/>
                  <w:vAlign w:val="center"/>
                </w:tcPr>
                <w:p w14:paraId="520AB7DC">
                  <w:pPr>
                    <w:widowControl/>
                    <w:adjustRightInd w:val="0"/>
                    <w:snapToGrid w:val="0"/>
                    <w:jc w:val="center"/>
                    <w:rPr>
                      <w:kern w:val="0"/>
                      <w:szCs w:val="21"/>
                    </w:rPr>
                  </w:pPr>
                  <w:r>
                    <w:rPr>
                      <w:rFonts w:eastAsia="等线"/>
                      <w:szCs w:val="21"/>
                    </w:rPr>
                    <w:t>1000</w:t>
                  </w:r>
                </w:p>
              </w:tc>
              <w:tc>
                <w:tcPr>
                  <w:tcW w:w="1396" w:type="dxa"/>
                  <w:vAlign w:val="center"/>
                </w:tcPr>
                <w:p w14:paraId="520AB7DD">
                  <w:pPr>
                    <w:widowControl/>
                    <w:adjustRightInd w:val="0"/>
                    <w:snapToGrid w:val="0"/>
                    <w:jc w:val="center"/>
                    <w:rPr>
                      <w:kern w:val="0"/>
                      <w:szCs w:val="21"/>
                    </w:rPr>
                  </w:pPr>
                  <w:r>
                    <w:rPr>
                      <w:rFonts w:eastAsia="等线"/>
                      <w:szCs w:val="21"/>
                    </w:rPr>
                    <w:t>0.0180</w:t>
                  </w:r>
                </w:p>
              </w:tc>
            </w:tr>
            <w:tr w14:paraId="520AB7E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DF">
                  <w:pPr>
                    <w:widowControl/>
                    <w:adjustRightInd w:val="0"/>
                    <w:snapToGrid w:val="0"/>
                    <w:jc w:val="center"/>
                    <w:rPr>
                      <w:kern w:val="0"/>
                      <w:szCs w:val="21"/>
                    </w:rPr>
                  </w:pPr>
                </w:p>
              </w:tc>
              <w:tc>
                <w:tcPr>
                  <w:tcW w:w="749" w:type="dxa"/>
                  <w:vAlign w:val="center"/>
                </w:tcPr>
                <w:p w14:paraId="520AB7E0">
                  <w:pPr>
                    <w:widowControl/>
                    <w:adjustRightInd w:val="0"/>
                    <w:snapToGrid w:val="0"/>
                    <w:jc w:val="center"/>
                    <w:rPr>
                      <w:kern w:val="0"/>
                      <w:szCs w:val="21"/>
                    </w:rPr>
                  </w:pPr>
                  <w:r>
                    <w:rPr>
                      <w:kern w:val="0"/>
                      <w:szCs w:val="21"/>
                    </w:rPr>
                    <w:t>DA029</w:t>
                  </w:r>
                </w:p>
              </w:tc>
              <w:tc>
                <w:tcPr>
                  <w:tcW w:w="1035" w:type="dxa"/>
                  <w:vAlign w:val="center"/>
                </w:tcPr>
                <w:p w14:paraId="520AB7E1">
                  <w:pPr>
                    <w:widowControl/>
                    <w:adjustRightInd w:val="0"/>
                    <w:snapToGrid w:val="0"/>
                    <w:jc w:val="center"/>
                    <w:rPr>
                      <w:szCs w:val="21"/>
                    </w:rPr>
                  </w:pPr>
                  <w:r>
                    <w:rPr>
                      <w:szCs w:val="21"/>
                    </w:rPr>
                    <w:t>非甲烷总烃</w:t>
                  </w:r>
                </w:p>
              </w:tc>
              <w:tc>
                <w:tcPr>
                  <w:tcW w:w="1326" w:type="dxa"/>
                  <w:vAlign w:val="center"/>
                </w:tcPr>
                <w:p w14:paraId="520AB7E2">
                  <w:pPr>
                    <w:widowControl/>
                    <w:adjustRightInd w:val="0"/>
                    <w:snapToGrid w:val="0"/>
                    <w:jc w:val="center"/>
                    <w:rPr>
                      <w:kern w:val="0"/>
                      <w:szCs w:val="21"/>
                    </w:rPr>
                  </w:pPr>
                  <w:r>
                    <w:rPr>
                      <w:szCs w:val="21"/>
                    </w:rPr>
                    <w:t>101</w:t>
                  </w:r>
                  <w:r>
                    <w:rPr>
                      <w:rFonts w:hint="eastAsia"/>
                      <w:kern w:val="0"/>
                      <w:szCs w:val="21"/>
                    </w:rPr>
                    <w:t>#厂房</w:t>
                  </w:r>
                  <w:r>
                    <w:rPr>
                      <w:szCs w:val="21"/>
                    </w:rPr>
                    <w:t>油类试验</w:t>
                  </w:r>
                  <w:r>
                    <w:rPr>
                      <w:rFonts w:hint="eastAsia"/>
                      <w:szCs w:val="21"/>
                    </w:rPr>
                    <w:t>2</w:t>
                  </w:r>
                  <w:r>
                    <w:rPr>
                      <w:rFonts w:hint="eastAsia"/>
                      <w:kern w:val="0"/>
                      <w:szCs w:val="21"/>
                    </w:rPr>
                    <w:t>#</w:t>
                  </w:r>
                </w:p>
              </w:tc>
              <w:tc>
                <w:tcPr>
                  <w:tcW w:w="828" w:type="dxa"/>
                  <w:vAlign w:val="center"/>
                </w:tcPr>
                <w:p w14:paraId="520AB7E3">
                  <w:pPr>
                    <w:widowControl/>
                    <w:adjustRightInd w:val="0"/>
                    <w:snapToGrid w:val="0"/>
                    <w:jc w:val="center"/>
                    <w:rPr>
                      <w:kern w:val="0"/>
                      <w:szCs w:val="21"/>
                    </w:rPr>
                  </w:pPr>
                  <w:r>
                    <w:rPr>
                      <w:kern w:val="0"/>
                      <w:szCs w:val="21"/>
                    </w:rPr>
                    <w:t>/</w:t>
                  </w:r>
                </w:p>
              </w:tc>
              <w:tc>
                <w:tcPr>
                  <w:tcW w:w="1100" w:type="dxa"/>
                  <w:vAlign w:val="center"/>
                </w:tcPr>
                <w:p w14:paraId="520AB7E4">
                  <w:pPr>
                    <w:widowControl/>
                    <w:adjustRightInd w:val="0"/>
                    <w:snapToGrid w:val="0"/>
                    <w:jc w:val="center"/>
                    <w:rPr>
                      <w:kern w:val="0"/>
                      <w:szCs w:val="21"/>
                    </w:rPr>
                  </w:pPr>
                  <w:r>
                    <w:rPr>
                      <w:kern w:val="0"/>
                      <w:szCs w:val="21"/>
                    </w:rPr>
                    <w:t>/</w:t>
                  </w:r>
                </w:p>
              </w:tc>
              <w:tc>
                <w:tcPr>
                  <w:tcW w:w="1085" w:type="dxa"/>
                  <w:vAlign w:val="center"/>
                </w:tcPr>
                <w:p w14:paraId="520AB7E5">
                  <w:pPr>
                    <w:widowControl/>
                    <w:adjustRightInd w:val="0"/>
                    <w:snapToGrid w:val="0"/>
                    <w:jc w:val="center"/>
                    <w:rPr>
                      <w:kern w:val="0"/>
                      <w:szCs w:val="21"/>
                    </w:rPr>
                  </w:pPr>
                  <w:r>
                    <w:rPr>
                      <w:kern w:val="0"/>
                      <w:szCs w:val="21"/>
                    </w:rPr>
                    <w:t>/</w:t>
                  </w:r>
                </w:p>
              </w:tc>
              <w:tc>
                <w:tcPr>
                  <w:tcW w:w="827" w:type="dxa"/>
                  <w:vAlign w:val="center"/>
                </w:tcPr>
                <w:p w14:paraId="520AB7E6">
                  <w:pPr>
                    <w:widowControl/>
                    <w:adjustRightInd w:val="0"/>
                    <w:snapToGrid w:val="0"/>
                    <w:jc w:val="center"/>
                    <w:rPr>
                      <w:kern w:val="0"/>
                      <w:szCs w:val="21"/>
                    </w:rPr>
                  </w:pPr>
                  <w:r>
                    <w:rPr>
                      <w:rFonts w:eastAsia="等线"/>
                      <w:szCs w:val="21"/>
                    </w:rPr>
                    <w:t>16500</w:t>
                  </w:r>
                </w:p>
              </w:tc>
              <w:tc>
                <w:tcPr>
                  <w:tcW w:w="1100" w:type="dxa"/>
                  <w:vAlign w:val="center"/>
                </w:tcPr>
                <w:p w14:paraId="520AB7E7">
                  <w:pPr>
                    <w:widowControl/>
                    <w:adjustRightInd w:val="0"/>
                    <w:snapToGrid w:val="0"/>
                    <w:jc w:val="center"/>
                    <w:rPr>
                      <w:kern w:val="0"/>
                      <w:szCs w:val="21"/>
                    </w:rPr>
                  </w:pPr>
                  <w:r>
                    <w:rPr>
                      <w:rFonts w:eastAsia="等线"/>
                      <w:szCs w:val="21"/>
                    </w:rPr>
                    <w:t>67.27</w:t>
                  </w:r>
                </w:p>
              </w:tc>
              <w:tc>
                <w:tcPr>
                  <w:tcW w:w="1116" w:type="dxa"/>
                  <w:vAlign w:val="center"/>
                </w:tcPr>
                <w:p w14:paraId="520AB7E8">
                  <w:pPr>
                    <w:widowControl/>
                    <w:adjustRightInd w:val="0"/>
                    <w:snapToGrid w:val="0"/>
                    <w:jc w:val="center"/>
                    <w:rPr>
                      <w:kern w:val="0"/>
                      <w:szCs w:val="21"/>
                    </w:rPr>
                  </w:pPr>
                  <w:r>
                    <w:rPr>
                      <w:rFonts w:eastAsia="等线"/>
                      <w:szCs w:val="21"/>
                    </w:rPr>
                    <w:t>1.11</w:t>
                  </w:r>
                </w:p>
              </w:tc>
              <w:tc>
                <w:tcPr>
                  <w:tcW w:w="943" w:type="dxa"/>
                  <w:vAlign w:val="center"/>
                </w:tcPr>
                <w:p w14:paraId="520AB7E9">
                  <w:pPr>
                    <w:widowControl/>
                    <w:adjustRightInd w:val="0"/>
                    <w:snapToGrid w:val="0"/>
                    <w:jc w:val="center"/>
                    <w:rPr>
                      <w:kern w:val="0"/>
                      <w:szCs w:val="21"/>
                    </w:rPr>
                  </w:pPr>
                  <w:r>
                    <w:rPr>
                      <w:rFonts w:eastAsia="等线"/>
                      <w:szCs w:val="21"/>
                    </w:rPr>
                    <w:t>200</w:t>
                  </w:r>
                </w:p>
              </w:tc>
              <w:tc>
                <w:tcPr>
                  <w:tcW w:w="1396" w:type="dxa"/>
                  <w:vAlign w:val="center"/>
                </w:tcPr>
                <w:p w14:paraId="520AB7EA">
                  <w:pPr>
                    <w:widowControl/>
                    <w:adjustRightInd w:val="0"/>
                    <w:snapToGrid w:val="0"/>
                    <w:jc w:val="center"/>
                    <w:rPr>
                      <w:kern w:val="0"/>
                      <w:szCs w:val="21"/>
                    </w:rPr>
                  </w:pPr>
                  <w:r>
                    <w:rPr>
                      <w:rFonts w:eastAsia="等线"/>
                      <w:szCs w:val="21"/>
                    </w:rPr>
                    <w:t>0.2217</w:t>
                  </w:r>
                </w:p>
              </w:tc>
            </w:tr>
            <w:tr w14:paraId="520AB7F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EC">
                  <w:pPr>
                    <w:widowControl/>
                    <w:adjustRightInd w:val="0"/>
                    <w:snapToGrid w:val="0"/>
                    <w:jc w:val="center"/>
                    <w:rPr>
                      <w:kern w:val="0"/>
                      <w:szCs w:val="21"/>
                    </w:rPr>
                  </w:pPr>
                </w:p>
              </w:tc>
              <w:tc>
                <w:tcPr>
                  <w:tcW w:w="749" w:type="dxa"/>
                  <w:vAlign w:val="center"/>
                </w:tcPr>
                <w:p w14:paraId="520AB7ED">
                  <w:pPr>
                    <w:widowControl/>
                    <w:adjustRightInd w:val="0"/>
                    <w:snapToGrid w:val="0"/>
                    <w:jc w:val="center"/>
                    <w:rPr>
                      <w:kern w:val="0"/>
                      <w:szCs w:val="21"/>
                    </w:rPr>
                  </w:pPr>
                  <w:r>
                    <w:rPr>
                      <w:kern w:val="0"/>
                      <w:szCs w:val="21"/>
                    </w:rPr>
                    <w:t>DA030</w:t>
                  </w:r>
                </w:p>
              </w:tc>
              <w:tc>
                <w:tcPr>
                  <w:tcW w:w="1035" w:type="dxa"/>
                  <w:vAlign w:val="center"/>
                </w:tcPr>
                <w:p w14:paraId="520AB7EE">
                  <w:pPr>
                    <w:widowControl/>
                    <w:adjustRightInd w:val="0"/>
                    <w:snapToGrid w:val="0"/>
                    <w:jc w:val="center"/>
                    <w:rPr>
                      <w:szCs w:val="21"/>
                    </w:rPr>
                  </w:pPr>
                  <w:r>
                    <w:rPr>
                      <w:szCs w:val="21"/>
                    </w:rPr>
                    <w:t>非甲烷总烃</w:t>
                  </w:r>
                </w:p>
              </w:tc>
              <w:tc>
                <w:tcPr>
                  <w:tcW w:w="1326" w:type="dxa"/>
                  <w:vAlign w:val="center"/>
                </w:tcPr>
                <w:p w14:paraId="520AB7EF">
                  <w:pPr>
                    <w:widowControl/>
                    <w:adjustRightInd w:val="0"/>
                    <w:snapToGrid w:val="0"/>
                    <w:jc w:val="center"/>
                    <w:rPr>
                      <w:kern w:val="0"/>
                      <w:szCs w:val="21"/>
                    </w:rPr>
                  </w:pPr>
                  <w:r>
                    <w:rPr>
                      <w:szCs w:val="21"/>
                    </w:rPr>
                    <w:t>1205</w:t>
                  </w:r>
                  <w:r>
                    <w:rPr>
                      <w:rFonts w:hint="eastAsia"/>
                      <w:kern w:val="0"/>
                      <w:szCs w:val="21"/>
                    </w:rPr>
                    <w:t>#厂房</w:t>
                  </w:r>
                  <w:r>
                    <w:rPr>
                      <w:szCs w:val="21"/>
                    </w:rPr>
                    <w:t>油类试验</w:t>
                  </w:r>
                </w:p>
              </w:tc>
              <w:tc>
                <w:tcPr>
                  <w:tcW w:w="828" w:type="dxa"/>
                  <w:vAlign w:val="center"/>
                </w:tcPr>
                <w:p w14:paraId="520AB7F0">
                  <w:pPr>
                    <w:widowControl/>
                    <w:adjustRightInd w:val="0"/>
                    <w:snapToGrid w:val="0"/>
                    <w:jc w:val="center"/>
                    <w:rPr>
                      <w:kern w:val="0"/>
                      <w:szCs w:val="21"/>
                    </w:rPr>
                  </w:pPr>
                  <w:r>
                    <w:rPr>
                      <w:kern w:val="0"/>
                      <w:szCs w:val="21"/>
                    </w:rPr>
                    <w:t>/</w:t>
                  </w:r>
                </w:p>
              </w:tc>
              <w:tc>
                <w:tcPr>
                  <w:tcW w:w="1100" w:type="dxa"/>
                  <w:vAlign w:val="center"/>
                </w:tcPr>
                <w:p w14:paraId="520AB7F1">
                  <w:pPr>
                    <w:widowControl/>
                    <w:adjustRightInd w:val="0"/>
                    <w:snapToGrid w:val="0"/>
                    <w:jc w:val="center"/>
                    <w:rPr>
                      <w:kern w:val="0"/>
                      <w:szCs w:val="21"/>
                    </w:rPr>
                  </w:pPr>
                  <w:r>
                    <w:rPr>
                      <w:kern w:val="0"/>
                      <w:szCs w:val="21"/>
                    </w:rPr>
                    <w:t>/</w:t>
                  </w:r>
                </w:p>
              </w:tc>
              <w:tc>
                <w:tcPr>
                  <w:tcW w:w="1085" w:type="dxa"/>
                  <w:vAlign w:val="center"/>
                </w:tcPr>
                <w:p w14:paraId="520AB7F2">
                  <w:pPr>
                    <w:widowControl/>
                    <w:adjustRightInd w:val="0"/>
                    <w:snapToGrid w:val="0"/>
                    <w:jc w:val="center"/>
                    <w:rPr>
                      <w:kern w:val="0"/>
                      <w:szCs w:val="21"/>
                    </w:rPr>
                  </w:pPr>
                  <w:r>
                    <w:rPr>
                      <w:kern w:val="0"/>
                      <w:szCs w:val="21"/>
                    </w:rPr>
                    <w:t>/</w:t>
                  </w:r>
                </w:p>
              </w:tc>
              <w:tc>
                <w:tcPr>
                  <w:tcW w:w="827" w:type="dxa"/>
                  <w:vAlign w:val="center"/>
                </w:tcPr>
                <w:p w14:paraId="520AB7F3">
                  <w:pPr>
                    <w:widowControl/>
                    <w:adjustRightInd w:val="0"/>
                    <w:snapToGrid w:val="0"/>
                    <w:jc w:val="center"/>
                    <w:rPr>
                      <w:kern w:val="0"/>
                      <w:szCs w:val="21"/>
                    </w:rPr>
                  </w:pPr>
                  <w:r>
                    <w:rPr>
                      <w:rFonts w:eastAsia="等线"/>
                      <w:szCs w:val="21"/>
                    </w:rPr>
                    <w:t>16500</w:t>
                  </w:r>
                </w:p>
              </w:tc>
              <w:tc>
                <w:tcPr>
                  <w:tcW w:w="1100" w:type="dxa"/>
                  <w:vAlign w:val="center"/>
                </w:tcPr>
                <w:p w14:paraId="520AB7F4">
                  <w:pPr>
                    <w:widowControl/>
                    <w:adjustRightInd w:val="0"/>
                    <w:snapToGrid w:val="0"/>
                    <w:jc w:val="center"/>
                    <w:rPr>
                      <w:kern w:val="0"/>
                      <w:szCs w:val="21"/>
                    </w:rPr>
                  </w:pPr>
                  <w:r>
                    <w:rPr>
                      <w:rFonts w:eastAsia="等线"/>
                      <w:szCs w:val="21"/>
                    </w:rPr>
                    <w:t>33.94</w:t>
                  </w:r>
                </w:p>
              </w:tc>
              <w:tc>
                <w:tcPr>
                  <w:tcW w:w="1116" w:type="dxa"/>
                  <w:vAlign w:val="center"/>
                </w:tcPr>
                <w:p w14:paraId="520AB7F5">
                  <w:pPr>
                    <w:widowControl/>
                    <w:adjustRightInd w:val="0"/>
                    <w:snapToGrid w:val="0"/>
                    <w:jc w:val="center"/>
                    <w:rPr>
                      <w:kern w:val="0"/>
                      <w:szCs w:val="21"/>
                    </w:rPr>
                  </w:pPr>
                  <w:r>
                    <w:rPr>
                      <w:rFonts w:eastAsia="等线"/>
                      <w:szCs w:val="21"/>
                    </w:rPr>
                    <w:t>0.56</w:t>
                  </w:r>
                </w:p>
              </w:tc>
              <w:tc>
                <w:tcPr>
                  <w:tcW w:w="943" w:type="dxa"/>
                  <w:vAlign w:val="center"/>
                </w:tcPr>
                <w:p w14:paraId="520AB7F6">
                  <w:pPr>
                    <w:widowControl/>
                    <w:adjustRightInd w:val="0"/>
                    <w:snapToGrid w:val="0"/>
                    <w:jc w:val="center"/>
                    <w:rPr>
                      <w:kern w:val="0"/>
                      <w:szCs w:val="21"/>
                    </w:rPr>
                  </w:pPr>
                  <w:r>
                    <w:rPr>
                      <w:rFonts w:eastAsia="等线"/>
                      <w:szCs w:val="21"/>
                    </w:rPr>
                    <w:t>200</w:t>
                  </w:r>
                </w:p>
              </w:tc>
              <w:tc>
                <w:tcPr>
                  <w:tcW w:w="1396" w:type="dxa"/>
                  <w:vAlign w:val="center"/>
                </w:tcPr>
                <w:p w14:paraId="520AB7F7">
                  <w:pPr>
                    <w:widowControl/>
                    <w:adjustRightInd w:val="0"/>
                    <w:snapToGrid w:val="0"/>
                    <w:jc w:val="center"/>
                    <w:rPr>
                      <w:kern w:val="0"/>
                      <w:szCs w:val="21"/>
                    </w:rPr>
                  </w:pPr>
                  <w:r>
                    <w:rPr>
                      <w:rFonts w:eastAsia="等线"/>
                      <w:szCs w:val="21"/>
                    </w:rPr>
                    <w:t>0.1120</w:t>
                  </w:r>
                </w:p>
              </w:tc>
            </w:tr>
            <w:tr w14:paraId="520AB80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7F9">
                  <w:pPr>
                    <w:widowControl/>
                    <w:adjustRightInd w:val="0"/>
                    <w:snapToGrid w:val="0"/>
                    <w:jc w:val="center"/>
                    <w:rPr>
                      <w:kern w:val="0"/>
                      <w:szCs w:val="21"/>
                    </w:rPr>
                  </w:pPr>
                </w:p>
              </w:tc>
              <w:tc>
                <w:tcPr>
                  <w:tcW w:w="749" w:type="dxa"/>
                  <w:vAlign w:val="center"/>
                </w:tcPr>
                <w:p w14:paraId="520AB7FA">
                  <w:pPr>
                    <w:widowControl/>
                    <w:adjustRightInd w:val="0"/>
                    <w:snapToGrid w:val="0"/>
                    <w:jc w:val="center"/>
                    <w:rPr>
                      <w:kern w:val="0"/>
                      <w:szCs w:val="21"/>
                    </w:rPr>
                  </w:pPr>
                  <w:r>
                    <w:rPr>
                      <w:kern w:val="0"/>
                      <w:szCs w:val="21"/>
                    </w:rPr>
                    <w:t>DA0</w:t>
                  </w:r>
                  <w:r>
                    <w:rPr>
                      <w:rFonts w:hint="eastAsia"/>
                      <w:kern w:val="0"/>
                      <w:szCs w:val="21"/>
                    </w:rPr>
                    <w:t>3</w:t>
                  </w:r>
                  <w:r>
                    <w:rPr>
                      <w:kern w:val="0"/>
                      <w:szCs w:val="21"/>
                    </w:rPr>
                    <w:t>1</w:t>
                  </w:r>
                </w:p>
              </w:tc>
              <w:tc>
                <w:tcPr>
                  <w:tcW w:w="1035" w:type="dxa"/>
                  <w:vAlign w:val="center"/>
                </w:tcPr>
                <w:p w14:paraId="520AB7FB">
                  <w:pPr>
                    <w:widowControl/>
                    <w:adjustRightInd w:val="0"/>
                    <w:snapToGrid w:val="0"/>
                    <w:jc w:val="center"/>
                    <w:rPr>
                      <w:szCs w:val="21"/>
                    </w:rPr>
                  </w:pPr>
                  <w:r>
                    <w:rPr>
                      <w:szCs w:val="21"/>
                    </w:rPr>
                    <w:t>颗粒物</w:t>
                  </w:r>
                </w:p>
              </w:tc>
              <w:tc>
                <w:tcPr>
                  <w:tcW w:w="1326" w:type="dxa"/>
                  <w:vAlign w:val="center"/>
                </w:tcPr>
                <w:p w14:paraId="520AB7FC">
                  <w:pPr>
                    <w:widowControl/>
                    <w:adjustRightInd w:val="0"/>
                    <w:snapToGrid w:val="0"/>
                    <w:jc w:val="center"/>
                    <w:rPr>
                      <w:kern w:val="0"/>
                      <w:szCs w:val="21"/>
                    </w:rPr>
                  </w:pPr>
                  <w:r>
                    <w:rPr>
                      <w:rFonts w:hint="eastAsia"/>
                      <w:szCs w:val="21"/>
                    </w:rPr>
                    <w:t>喷丸</w:t>
                  </w:r>
                </w:p>
              </w:tc>
              <w:tc>
                <w:tcPr>
                  <w:tcW w:w="828" w:type="dxa"/>
                  <w:vAlign w:val="center"/>
                </w:tcPr>
                <w:p w14:paraId="520AB7FD">
                  <w:pPr>
                    <w:widowControl/>
                    <w:adjustRightInd w:val="0"/>
                    <w:snapToGrid w:val="0"/>
                    <w:jc w:val="center"/>
                    <w:rPr>
                      <w:kern w:val="0"/>
                      <w:szCs w:val="21"/>
                    </w:rPr>
                  </w:pPr>
                  <w:r>
                    <w:rPr>
                      <w:kern w:val="0"/>
                      <w:szCs w:val="21"/>
                    </w:rPr>
                    <w:t>/</w:t>
                  </w:r>
                </w:p>
              </w:tc>
              <w:tc>
                <w:tcPr>
                  <w:tcW w:w="1100" w:type="dxa"/>
                  <w:vAlign w:val="center"/>
                </w:tcPr>
                <w:p w14:paraId="520AB7FE">
                  <w:pPr>
                    <w:widowControl/>
                    <w:adjustRightInd w:val="0"/>
                    <w:snapToGrid w:val="0"/>
                    <w:jc w:val="center"/>
                    <w:rPr>
                      <w:kern w:val="0"/>
                      <w:szCs w:val="21"/>
                    </w:rPr>
                  </w:pPr>
                  <w:r>
                    <w:rPr>
                      <w:kern w:val="0"/>
                      <w:szCs w:val="21"/>
                    </w:rPr>
                    <w:t>/</w:t>
                  </w:r>
                </w:p>
              </w:tc>
              <w:tc>
                <w:tcPr>
                  <w:tcW w:w="1085" w:type="dxa"/>
                  <w:vAlign w:val="center"/>
                </w:tcPr>
                <w:p w14:paraId="520AB7FF">
                  <w:pPr>
                    <w:widowControl/>
                    <w:adjustRightInd w:val="0"/>
                    <w:snapToGrid w:val="0"/>
                    <w:jc w:val="center"/>
                    <w:rPr>
                      <w:kern w:val="0"/>
                      <w:szCs w:val="21"/>
                    </w:rPr>
                  </w:pPr>
                  <w:r>
                    <w:rPr>
                      <w:kern w:val="0"/>
                      <w:szCs w:val="21"/>
                    </w:rPr>
                    <w:t>/</w:t>
                  </w:r>
                </w:p>
              </w:tc>
              <w:tc>
                <w:tcPr>
                  <w:tcW w:w="827" w:type="dxa"/>
                  <w:vAlign w:val="center"/>
                </w:tcPr>
                <w:p w14:paraId="520AB800">
                  <w:pPr>
                    <w:widowControl/>
                    <w:adjustRightInd w:val="0"/>
                    <w:snapToGrid w:val="0"/>
                    <w:jc w:val="center"/>
                    <w:rPr>
                      <w:kern w:val="0"/>
                      <w:szCs w:val="21"/>
                    </w:rPr>
                  </w:pPr>
                  <w:r>
                    <w:rPr>
                      <w:rFonts w:eastAsia="等线"/>
                      <w:szCs w:val="21"/>
                    </w:rPr>
                    <w:t>3000</w:t>
                  </w:r>
                </w:p>
              </w:tc>
              <w:tc>
                <w:tcPr>
                  <w:tcW w:w="1100" w:type="dxa"/>
                  <w:vAlign w:val="center"/>
                </w:tcPr>
                <w:p w14:paraId="520AB801">
                  <w:pPr>
                    <w:widowControl/>
                    <w:adjustRightInd w:val="0"/>
                    <w:snapToGrid w:val="0"/>
                    <w:jc w:val="center"/>
                    <w:rPr>
                      <w:kern w:val="0"/>
                      <w:szCs w:val="21"/>
                    </w:rPr>
                  </w:pPr>
                  <w:r>
                    <w:rPr>
                      <w:rFonts w:eastAsia="等线"/>
                      <w:szCs w:val="21"/>
                    </w:rPr>
                    <w:t>6</w:t>
                  </w:r>
                </w:p>
              </w:tc>
              <w:tc>
                <w:tcPr>
                  <w:tcW w:w="1116" w:type="dxa"/>
                  <w:vAlign w:val="center"/>
                </w:tcPr>
                <w:p w14:paraId="520AB802">
                  <w:pPr>
                    <w:widowControl/>
                    <w:adjustRightInd w:val="0"/>
                    <w:snapToGrid w:val="0"/>
                    <w:jc w:val="center"/>
                    <w:rPr>
                      <w:kern w:val="0"/>
                      <w:szCs w:val="21"/>
                    </w:rPr>
                  </w:pPr>
                  <w:r>
                    <w:rPr>
                      <w:rFonts w:eastAsia="等线"/>
                      <w:szCs w:val="21"/>
                    </w:rPr>
                    <w:t>0.018</w:t>
                  </w:r>
                </w:p>
              </w:tc>
              <w:tc>
                <w:tcPr>
                  <w:tcW w:w="943" w:type="dxa"/>
                  <w:vAlign w:val="center"/>
                </w:tcPr>
                <w:p w14:paraId="520AB803">
                  <w:pPr>
                    <w:widowControl/>
                    <w:adjustRightInd w:val="0"/>
                    <w:snapToGrid w:val="0"/>
                    <w:jc w:val="center"/>
                    <w:rPr>
                      <w:kern w:val="0"/>
                      <w:szCs w:val="21"/>
                    </w:rPr>
                  </w:pPr>
                  <w:r>
                    <w:rPr>
                      <w:rFonts w:eastAsia="等线"/>
                      <w:szCs w:val="21"/>
                    </w:rPr>
                    <w:t>600</w:t>
                  </w:r>
                </w:p>
              </w:tc>
              <w:tc>
                <w:tcPr>
                  <w:tcW w:w="1396" w:type="dxa"/>
                  <w:vAlign w:val="center"/>
                </w:tcPr>
                <w:p w14:paraId="520AB804">
                  <w:pPr>
                    <w:widowControl/>
                    <w:adjustRightInd w:val="0"/>
                    <w:snapToGrid w:val="0"/>
                    <w:jc w:val="center"/>
                    <w:rPr>
                      <w:kern w:val="0"/>
                      <w:szCs w:val="21"/>
                    </w:rPr>
                  </w:pPr>
                  <w:r>
                    <w:rPr>
                      <w:rFonts w:eastAsia="等线"/>
                      <w:szCs w:val="21"/>
                    </w:rPr>
                    <w:t>0.0108</w:t>
                  </w:r>
                </w:p>
              </w:tc>
            </w:tr>
            <w:tr w14:paraId="520AB81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06">
                  <w:pPr>
                    <w:widowControl/>
                    <w:adjustRightInd w:val="0"/>
                    <w:snapToGrid w:val="0"/>
                    <w:jc w:val="center"/>
                    <w:rPr>
                      <w:kern w:val="0"/>
                      <w:szCs w:val="21"/>
                    </w:rPr>
                  </w:pPr>
                </w:p>
              </w:tc>
              <w:tc>
                <w:tcPr>
                  <w:tcW w:w="749" w:type="dxa"/>
                  <w:vAlign w:val="center"/>
                </w:tcPr>
                <w:p w14:paraId="520AB807">
                  <w:pPr>
                    <w:widowControl/>
                    <w:adjustRightInd w:val="0"/>
                    <w:snapToGrid w:val="0"/>
                    <w:jc w:val="center"/>
                    <w:rPr>
                      <w:kern w:val="0"/>
                      <w:szCs w:val="21"/>
                    </w:rPr>
                  </w:pPr>
                  <w:r>
                    <w:rPr>
                      <w:kern w:val="0"/>
                      <w:szCs w:val="21"/>
                    </w:rPr>
                    <w:t>DA0</w:t>
                  </w:r>
                  <w:r>
                    <w:rPr>
                      <w:rFonts w:hint="eastAsia"/>
                      <w:kern w:val="0"/>
                      <w:szCs w:val="21"/>
                    </w:rPr>
                    <w:t>3</w:t>
                  </w:r>
                  <w:r>
                    <w:rPr>
                      <w:kern w:val="0"/>
                      <w:szCs w:val="21"/>
                    </w:rPr>
                    <w:t>2</w:t>
                  </w:r>
                </w:p>
              </w:tc>
              <w:tc>
                <w:tcPr>
                  <w:tcW w:w="1035" w:type="dxa"/>
                  <w:vAlign w:val="center"/>
                </w:tcPr>
                <w:p w14:paraId="520AB808">
                  <w:pPr>
                    <w:widowControl/>
                    <w:adjustRightInd w:val="0"/>
                    <w:snapToGrid w:val="0"/>
                    <w:jc w:val="center"/>
                    <w:rPr>
                      <w:szCs w:val="21"/>
                    </w:rPr>
                  </w:pPr>
                  <w:r>
                    <w:rPr>
                      <w:szCs w:val="21"/>
                    </w:rPr>
                    <w:t>颗粒物</w:t>
                  </w:r>
                </w:p>
              </w:tc>
              <w:tc>
                <w:tcPr>
                  <w:tcW w:w="1326" w:type="dxa"/>
                  <w:vAlign w:val="center"/>
                </w:tcPr>
                <w:p w14:paraId="520AB809">
                  <w:pPr>
                    <w:widowControl/>
                    <w:adjustRightInd w:val="0"/>
                    <w:snapToGrid w:val="0"/>
                    <w:jc w:val="center"/>
                    <w:rPr>
                      <w:kern w:val="0"/>
                      <w:szCs w:val="21"/>
                    </w:rPr>
                  </w:pPr>
                  <w:r>
                    <w:rPr>
                      <w:rFonts w:hint="eastAsia"/>
                      <w:szCs w:val="21"/>
                    </w:rPr>
                    <w:t>激光清洗</w:t>
                  </w:r>
                </w:p>
              </w:tc>
              <w:tc>
                <w:tcPr>
                  <w:tcW w:w="828" w:type="dxa"/>
                  <w:vAlign w:val="center"/>
                </w:tcPr>
                <w:p w14:paraId="520AB80A">
                  <w:pPr>
                    <w:widowControl/>
                    <w:adjustRightInd w:val="0"/>
                    <w:snapToGrid w:val="0"/>
                    <w:jc w:val="center"/>
                    <w:rPr>
                      <w:kern w:val="0"/>
                      <w:szCs w:val="21"/>
                    </w:rPr>
                  </w:pPr>
                  <w:r>
                    <w:rPr>
                      <w:kern w:val="0"/>
                      <w:szCs w:val="21"/>
                    </w:rPr>
                    <w:t>/</w:t>
                  </w:r>
                </w:p>
              </w:tc>
              <w:tc>
                <w:tcPr>
                  <w:tcW w:w="1100" w:type="dxa"/>
                  <w:vAlign w:val="center"/>
                </w:tcPr>
                <w:p w14:paraId="520AB80B">
                  <w:pPr>
                    <w:widowControl/>
                    <w:adjustRightInd w:val="0"/>
                    <w:snapToGrid w:val="0"/>
                    <w:jc w:val="center"/>
                    <w:rPr>
                      <w:kern w:val="0"/>
                      <w:szCs w:val="21"/>
                    </w:rPr>
                  </w:pPr>
                  <w:r>
                    <w:rPr>
                      <w:kern w:val="0"/>
                      <w:szCs w:val="21"/>
                    </w:rPr>
                    <w:t>/</w:t>
                  </w:r>
                </w:p>
              </w:tc>
              <w:tc>
                <w:tcPr>
                  <w:tcW w:w="1085" w:type="dxa"/>
                  <w:vAlign w:val="center"/>
                </w:tcPr>
                <w:p w14:paraId="520AB80C">
                  <w:pPr>
                    <w:widowControl/>
                    <w:adjustRightInd w:val="0"/>
                    <w:snapToGrid w:val="0"/>
                    <w:jc w:val="center"/>
                    <w:rPr>
                      <w:kern w:val="0"/>
                      <w:szCs w:val="21"/>
                    </w:rPr>
                  </w:pPr>
                  <w:r>
                    <w:rPr>
                      <w:kern w:val="0"/>
                      <w:szCs w:val="21"/>
                    </w:rPr>
                    <w:t>/</w:t>
                  </w:r>
                </w:p>
              </w:tc>
              <w:tc>
                <w:tcPr>
                  <w:tcW w:w="827" w:type="dxa"/>
                  <w:vAlign w:val="center"/>
                </w:tcPr>
                <w:p w14:paraId="520AB80D">
                  <w:pPr>
                    <w:widowControl/>
                    <w:adjustRightInd w:val="0"/>
                    <w:snapToGrid w:val="0"/>
                    <w:jc w:val="center"/>
                    <w:rPr>
                      <w:kern w:val="0"/>
                      <w:szCs w:val="21"/>
                    </w:rPr>
                  </w:pPr>
                  <w:r>
                    <w:rPr>
                      <w:rFonts w:eastAsia="等线"/>
                      <w:szCs w:val="21"/>
                    </w:rPr>
                    <w:t>3000</w:t>
                  </w:r>
                </w:p>
              </w:tc>
              <w:tc>
                <w:tcPr>
                  <w:tcW w:w="1100" w:type="dxa"/>
                  <w:vAlign w:val="center"/>
                </w:tcPr>
                <w:p w14:paraId="520AB80E">
                  <w:pPr>
                    <w:widowControl/>
                    <w:adjustRightInd w:val="0"/>
                    <w:snapToGrid w:val="0"/>
                    <w:jc w:val="center"/>
                    <w:rPr>
                      <w:kern w:val="0"/>
                      <w:szCs w:val="21"/>
                    </w:rPr>
                  </w:pPr>
                  <w:r>
                    <w:rPr>
                      <w:rFonts w:eastAsia="等线"/>
                      <w:szCs w:val="21"/>
                    </w:rPr>
                    <w:t>3.93</w:t>
                  </w:r>
                </w:p>
              </w:tc>
              <w:tc>
                <w:tcPr>
                  <w:tcW w:w="1116" w:type="dxa"/>
                  <w:vAlign w:val="center"/>
                </w:tcPr>
                <w:p w14:paraId="520AB80F">
                  <w:pPr>
                    <w:widowControl/>
                    <w:adjustRightInd w:val="0"/>
                    <w:snapToGrid w:val="0"/>
                    <w:jc w:val="center"/>
                    <w:rPr>
                      <w:kern w:val="0"/>
                      <w:szCs w:val="21"/>
                    </w:rPr>
                  </w:pPr>
                  <w:r>
                    <w:rPr>
                      <w:rFonts w:eastAsia="等线"/>
                      <w:szCs w:val="21"/>
                    </w:rPr>
                    <w:t>0.012</w:t>
                  </w:r>
                </w:p>
              </w:tc>
              <w:tc>
                <w:tcPr>
                  <w:tcW w:w="943" w:type="dxa"/>
                  <w:vAlign w:val="center"/>
                </w:tcPr>
                <w:p w14:paraId="520AB810">
                  <w:pPr>
                    <w:widowControl/>
                    <w:adjustRightInd w:val="0"/>
                    <w:snapToGrid w:val="0"/>
                    <w:jc w:val="center"/>
                    <w:rPr>
                      <w:kern w:val="0"/>
                      <w:szCs w:val="21"/>
                    </w:rPr>
                  </w:pPr>
                  <w:r>
                    <w:rPr>
                      <w:rFonts w:eastAsia="等线"/>
                      <w:szCs w:val="21"/>
                    </w:rPr>
                    <w:t>1000</w:t>
                  </w:r>
                </w:p>
              </w:tc>
              <w:tc>
                <w:tcPr>
                  <w:tcW w:w="1396" w:type="dxa"/>
                  <w:vAlign w:val="center"/>
                </w:tcPr>
                <w:p w14:paraId="520AB811">
                  <w:pPr>
                    <w:widowControl/>
                    <w:adjustRightInd w:val="0"/>
                    <w:snapToGrid w:val="0"/>
                    <w:jc w:val="center"/>
                    <w:rPr>
                      <w:kern w:val="0"/>
                      <w:szCs w:val="21"/>
                    </w:rPr>
                  </w:pPr>
                  <w:r>
                    <w:rPr>
                      <w:rFonts w:eastAsia="等线"/>
                      <w:szCs w:val="21"/>
                    </w:rPr>
                    <w:t>0.0118</w:t>
                  </w:r>
                </w:p>
              </w:tc>
            </w:tr>
            <w:tr w14:paraId="520AB81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13">
                  <w:pPr>
                    <w:widowControl/>
                    <w:adjustRightInd w:val="0"/>
                    <w:snapToGrid w:val="0"/>
                    <w:jc w:val="center"/>
                    <w:rPr>
                      <w:kern w:val="0"/>
                      <w:szCs w:val="21"/>
                    </w:rPr>
                  </w:pPr>
                </w:p>
              </w:tc>
              <w:tc>
                <w:tcPr>
                  <w:tcW w:w="749" w:type="dxa"/>
                  <w:vAlign w:val="center"/>
                </w:tcPr>
                <w:p w14:paraId="520AB814">
                  <w:pPr>
                    <w:widowControl/>
                    <w:adjustRightInd w:val="0"/>
                    <w:snapToGrid w:val="0"/>
                    <w:jc w:val="center"/>
                    <w:rPr>
                      <w:kern w:val="0"/>
                      <w:szCs w:val="21"/>
                    </w:rPr>
                  </w:pPr>
                  <w:r>
                    <w:rPr>
                      <w:rFonts w:hint="eastAsia"/>
                      <w:kern w:val="0"/>
                      <w:szCs w:val="21"/>
                    </w:rPr>
                    <w:t>D</w:t>
                  </w:r>
                  <w:r>
                    <w:rPr>
                      <w:kern w:val="0"/>
                      <w:szCs w:val="21"/>
                    </w:rPr>
                    <w:t>A033</w:t>
                  </w:r>
                </w:p>
              </w:tc>
              <w:tc>
                <w:tcPr>
                  <w:tcW w:w="1035" w:type="dxa"/>
                  <w:vAlign w:val="center"/>
                </w:tcPr>
                <w:p w14:paraId="520AB815">
                  <w:pPr>
                    <w:widowControl/>
                    <w:adjustRightInd w:val="0"/>
                    <w:snapToGrid w:val="0"/>
                    <w:jc w:val="center"/>
                    <w:rPr>
                      <w:szCs w:val="21"/>
                    </w:rPr>
                  </w:pPr>
                  <w:r>
                    <w:rPr>
                      <w:szCs w:val="21"/>
                    </w:rPr>
                    <w:t>非甲烷总烃</w:t>
                  </w:r>
                </w:p>
              </w:tc>
              <w:tc>
                <w:tcPr>
                  <w:tcW w:w="1326" w:type="dxa"/>
                  <w:vAlign w:val="center"/>
                </w:tcPr>
                <w:p w14:paraId="520AB816">
                  <w:pPr>
                    <w:widowControl/>
                    <w:adjustRightInd w:val="0"/>
                    <w:snapToGrid w:val="0"/>
                    <w:jc w:val="center"/>
                    <w:rPr>
                      <w:szCs w:val="21"/>
                    </w:rPr>
                  </w:pPr>
                  <w:r>
                    <w:rPr>
                      <w:szCs w:val="21"/>
                    </w:rPr>
                    <w:t>1209</w:t>
                  </w:r>
                  <w:r>
                    <w:rPr>
                      <w:rFonts w:hint="eastAsia"/>
                      <w:kern w:val="0"/>
                      <w:szCs w:val="21"/>
                    </w:rPr>
                    <w:t>#厂房</w:t>
                  </w:r>
                  <w:r>
                    <w:rPr>
                      <w:szCs w:val="21"/>
                    </w:rPr>
                    <w:t>油类试验</w:t>
                  </w:r>
                </w:p>
              </w:tc>
              <w:tc>
                <w:tcPr>
                  <w:tcW w:w="828" w:type="dxa"/>
                  <w:vAlign w:val="center"/>
                </w:tcPr>
                <w:p w14:paraId="520AB817">
                  <w:pPr>
                    <w:widowControl/>
                    <w:adjustRightInd w:val="0"/>
                    <w:snapToGrid w:val="0"/>
                    <w:jc w:val="center"/>
                    <w:rPr>
                      <w:kern w:val="0"/>
                      <w:szCs w:val="21"/>
                    </w:rPr>
                  </w:pPr>
                  <w:r>
                    <w:rPr>
                      <w:kern w:val="0"/>
                      <w:szCs w:val="21"/>
                    </w:rPr>
                    <w:t>/</w:t>
                  </w:r>
                </w:p>
              </w:tc>
              <w:tc>
                <w:tcPr>
                  <w:tcW w:w="1100" w:type="dxa"/>
                  <w:vAlign w:val="center"/>
                </w:tcPr>
                <w:p w14:paraId="520AB818">
                  <w:pPr>
                    <w:widowControl/>
                    <w:adjustRightInd w:val="0"/>
                    <w:snapToGrid w:val="0"/>
                    <w:jc w:val="center"/>
                    <w:rPr>
                      <w:kern w:val="0"/>
                      <w:szCs w:val="21"/>
                    </w:rPr>
                  </w:pPr>
                  <w:r>
                    <w:rPr>
                      <w:kern w:val="0"/>
                      <w:szCs w:val="21"/>
                    </w:rPr>
                    <w:t>/</w:t>
                  </w:r>
                </w:p>
              </w:tc>
              <w:tc>
                <w:tcPr>
                  <w:tcW w:w="1085" w:type="dxa"/>
                  <w:vAlign w:val="center"/>
                </w:tcPr>
                <w:p w14:paraId="520AB819">
                  <w:pPr>
                    <w:widowControl/>
                    <w:adjustRightInd w:val="0"/>
                    <w:snapToGrid w:val="0"/>
                    <w:jc w:val="center"/>
                    <w:rPr>
                      <w:kern w:val="0"/>
                      <w:szCs w:val="21"/>
                    </w:rPr>
                  </w:pPr>
                  <w:r>
                    <w:rPr>
                      <w:kern w:val="0"/>
                      <w:szCs w:val="21"/>
                    </w:rPr>
                    <w:t>/</w:t>
                  </w:r>
                </w:p>
              </w:tc>
              <w:tc>
                <w:tcPr>
                  <w:tcW w:w="827" w:type="dxa"/>
                  <w:vAlign w:val="center"/>
                </w:tcPr>
                <w:p w14:paraId="520AB81A">
                  <w:pPr>
                    <w:widowControl/>
                    <w:adjustRightInd w:val="0"/>
                    <w:snapToGrid w:val="0"/>
                    <w:jc w:val="center"/>
                    <w:rPr>
                      <w:kern w:val="0"/>
                      <w:szCs w:val="21"/>
                    </w:rPr>
                  </w:pPr>
                  <w:r>
                    <w:rPr>
                      <w:rFonts w:eastAsia="等线"/>
                      <w:szCs w:val="21"/>
                    </w:rPr>
                    <w:t>5500</w:t>
                  </w:r>
                </w:p>
              </w:tc>
              <w:tc>
                <w:tcPr>
                  <w:tcW w:w="1100" w:type="dxa"/>
                  <w:vAlign w:val="center"/>
                </w:tcPr>
                <w:p w14:paraId="520AB81B">
                  <w:pPr>
                    <w:widowControl/>
                    <w:adjustRightInd w:val="0"/>
                    <w:snapToGrid w:val="0"/>
                    <w:jc w:val="center"/>
                    <w:rPr>
                      <w:kern w:val="0"/>
                      <w:szCs w:val="21"/>
                    </w:rPr>
                  </w:pPr>
                  <w:r>
                    <w:rPr>
                      <w:rFonts w:eastAsia="等线"/>
                      <w:szCs w:val="21"/>
                    </w:rPr>
                    <w:t>20.5</w:t>
                  </w:r>
                </w:p>
              </w:tc>
              <w:tc>
                <w:tcPr>
                  <w:tcW w:w="1116" w:type="dxa"/>
                  <w:vAlign w:val="center"/>
                </w:tcPr>
                <w:p w14:paraId="520AB81C">
                  <w:pPr>
                    <w:widowControl/>
                    <w:adjustRightInd w:val="0"/>
                    <w:snapToGrid w:val="0"/>
                    <w:jc w:val="center"/>
                    <w:rPr>
                      <w:kern w:val="0"/>
                      <w:szCs w:val="21"/>
                    </w:rPr>
                  </w:pPr>
                  <w:r>
                    <w:rPr>
                      <w:rFonts w:eastAsia="等线"/>
                      <w:szCs w:val="21"/>
                    </w:rPr>
                    <w:t>0.1129</w:t>
                  </w:r>
                </w:p>
              </w:tc>
              <w:tc>
                <w:tcPr>
                  <w:tcW w:w="943" w:type="dxa"/>
                  <w:vAlign w:val="center"/>
                </w:tcPr>
                <w:p w14:paraId="520AB81D">
                  <w:pPr>
                    <w:widowControl/>
                    <w:adjustRightInd w:val="0"/>
                    <w:snapToGrid w:val="0"/>
                    <w:jc w:val="center"/>
                    <w:rPr>
                      <w:kern w:val="0"/>
                      <w:szCs w:val="21"/>
                    </w:rPr>
                  </w:pPr>
                  <w:r>
                    <w:rPr>
                      <w:rFonts w:eastAsia="等线"/>
                      <w:szCs w:val="21"/>
                    </w:rPr>
                    <w:t>2000</w:t>
                  </w:r>
                </w:p>
              </w:tc>
              <w:tc>
                <w:tcPr>
                  <w:tcW w:w="1396" w:type="dxa"/>
                  <w:vAlign w:val="center"/>
                </w:tcPr>
                <w:p w14:paraId="520AB81E">
                  <w:pPr>
                    <w:widowControl/>
                    <w:adjustRightInd w:val="0"/>
                    <w:snapToGrid w:val="0"/>
                    <w:jc w:val="center"/>
                    <w:rPr>
                      <w:kern w:val="0"/>
                      <w:szCs w:val="21"/>
                    </w:rPr>
                  </w:pPr>
                  <w:r>
                    <w:rPr>
                      <w:rFonts w:eastAsia="等线"/>
                      <w:szCs w:val="21"/>
                    </w:rPr>
                    <w:t>0.0600</w:t>
                  </w:r>
                </w:p>
              </w:tc>
            </w:tr>
            <w:tr w14:paraId="520AB82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20">
                  <w:pPr>
                    <w:widowControl/>
                    <w:adjustRightInd w:val="0"/>
                    <w:snapToGrid w:val="0"/>
                    <w:jc w:val="center"/>
                    <w:rPr>
                      <w:kern w:val="0"/>
                      <w:szCs w:val="21"/>
                    </w:rPr>
                  </w:pPr>
                </w:p>
              </w:tc>
              <w:tc>
                <w:tcPr>
                  <w:tcW w:w="749" w:type="dxa"/>
                  <w:vMerge w:val="restart"/>
                  <w:vAlign w:val="center"/>
                </w:tcPr>
                <w:p w14:paraId="520AB821">
                  <w:pPr>
                    <w:adjustRightInd w:val="0"/>
                    <w:snapToGrid w:val="0"/>
                    <w:jc w:val="center"/>
                    <w:rPr>
                      <w:kern w:val="0"/>
                      <w:szCs w:val="21"/>
                    </w:rPr>
                  </w:pPr>
                  <w:r>
                    <w:rPr>
                      <w:kern w:val="0"/>
                      <w:szCs w:val="21"/>
                    </w:rPr>
                    <w:t>无组织废气</w:t>
                  </w:r>
                </w:p>
              </w:tc>
              <w:tc>
                <w:tcPr>
                  <w:tcW w:w="1035" w:type="dxa"/>
                  <w:vMerge w:val="restart"/>
                  <w:vAlign w:val="center"/>
                </w:tcPr>
                <w:p w14:paraId="520AB822">
                  <w:pPr>
                    <w:adjustRightInd w:val="0"/>
                    <w:snapToGrid w:val="0"/>
                    <w:jc w:val="center"/>
                    <w:rPr>
                      <w:kern w:val="0"/>
                      <w:szCs w:val="21"/>
                    </w:rPr>
                  </w:pPr>
                  <w:r>
                    <w:rPr>
                      <w:kern w:val="0"/>
                      <w:szCs w:val="21"/>
                    </w:rPr>
                    <w:t>非甲烷总烃</w:t>
                  </w:r>
                </w:p>
              </w:tc>
              <w:tc>
                <w:tcPr>
                  <w:tcW w:w="1326" w:type="dxa"/>
                  <w:vAlign w:val="center"/>
                </w:tcPr>
                <w:p w14:paraId="520AB823">
                  <w:pPr>
                    <w:widowControl/>
                    <w:adjustRightInd w:val="0"/>
                    <w:snapToGrid w:val="0"/>
                    <w:jc w:val="center"/>
                    <w:rPr>
                      <w:szCs w:val="21"/>
                    </w:rPr>
                  </w:pPr>
                  <w:r>
                    <w:rPr>
                      <w:rFonts w:hint="eastAsia"/>
                      <w:szCs w:val="21"/>
                    </w:rPr>
                    <w:t>101</w:t>
                  </w:r>
                  <w:r>
                    <w:rPr>
                      <w:rFonts w:hint="eastAsia"/>
                      <w:kern w:val="0"/>
                      <w:szCs w:val="21"/>
                    </w:rPr>
                    <w:t>#厂房</w:t>
                  </w:r>
                  <w:r>
                    <w:rPr>
                      <w:rFonts w:hint="eastAsia"/>
                      <w:szCs w:val="21"/>
                    </w:rPr>
                    <w:t>油类试验1#、168试验</w:t>
                  </w:r>
                </w:p>
              </w:tc>
              <w:tc>
                <w:tcPr>
                  <w:tcW w:w="828" w:type="dxa"/>
                  <w:vAlign w:val="center"/>
                </w:tcPr>
                <w:p w14:paraId="520AB824">
                  <w:pPr>
                    <w:widowControl/>
                    <w:adjustRightInd w:val="0"/>
                    <w:snapToGrid w:val="0"/>
                    <w:jc w:val="center"/>
                    <w:rPr>
                      <w:kern w:val="0"/>
                      <w:szCs w:val="21"/>
                    </w:rPr>
                  </w:pPr>
                </w:p>
              </w:tc>
              <w:tc>
                <w:tcPr>
                  <w:tcW w:w="1100" w:type="dxa"/>
                  <w:vAlign w:val="center"/>
                </w:tcPr>
                <w:p w14:paraId="520AB825">
                  <w:pPr>
                    <w:widowControl/>
                    <w:adjustRightInd w:val="0"/>
                    <w:snapToGrid w:val="0"/>
                    <w:jc w:val="center"/>
                    <w:rPr>
                      <w:kern w:val="0"/>
                      <w:szCs w:val="21"/>
                    </w:rPr>
                  </w:pPr>
                </w:p>
              </w:tc>
              <w:tc>
                <w:tcPr>
                  <w:tcW w:w="1085" w:type="dxa"/>
                  <w:vAlign w:val="center"/>
                </w:tcPr>
                <w:p w14:paraId="520AB826">
                  <w:pPr>
                    <w:widowControl/>
                    <w:adjustRightInd w:val="0"/>
                    <w:snapToGrid w:val="0"/>
                    <w:jc w:val="center"/>
                    <w:rPr>
                      <w:kern w:val="0"/>
                      <w:szCs w:val="21"/>
                    </w:rPr>
                  </w:pPr>
                </w:p>
              </w:tc>
              <w:tc>
                <w:tcPr>
                  <w:tcW w:w="827" w:type="dxa"/>
                  <w:vAlign w:val="center"/>
                </w:tcPr>
                <w:p w14:paraId="520AB827">
                  <w:pPr>
                    <w:widowControl/>
                    <w:adjustRightInd w:val="0"/>
                    <w:snapToGrid w:val="0"/>
                    <w:jc w:val="center"/>
                    <w:rPr>
                      <w:kern w:val="0"/>
                      <w:szCs w:val="21"/>
                    </w:rPr>
                  </w:pPr>
                  <w:r>
                    <w:rPr>
                      <w:kern w:val="0"/>
                      <w:szCs w:val="21"/>
                    </w:rPr>
                    <w:t>/</w:t>
                  </w:r>
                </w:p>
              </w:tc>
              <w:tc>
                <w:tcPr>
                  <w:tcW w:w="1100" w:type="dxa"/>
                  <w:vAlign w:val="center"/>
                </w:tcPr>
                <w:p w14:paraId="520AB828">
                  <w:pPr>
                    <w:widowControl/>
                    <w:adjustRightInd w:val="0"/>
                    <w:snapToGrid w:val="0"/>
                    <w:jc w:val="center"/>
                    <w:rPr>
                      <w:kern w:val="0"/>
                      <w:szCs w:val="21"/>
                    </w:rPr>
                  </w:pPr>
                  <w:r>
                    <w:rPr>
                      <w:kern w:val="0"/>
                      <w:szCs w:val="21"/>
                    </w:rPr>
                    <w:t>/</w:t>
                  </w:r>
                </w:p>
              </w:tc>
              <w:tc>
                <w:tcPr>
                  <w:tcW w:w="1116" w:type="dxa"/>
                  <w:vAlign w:val="center"/>
                </w:tcPr>
                <w:p w14:paraId="520AB829">
                  <w:pPr>
                    <w:widowControl/>
                    <w:adjustRightInd w:val="0"/>
                    <w:snapToGrid w:val="0"/>
                    <w:jc w:val="center"/>
                    <w:rPr>
                      <w:kern w:val="0"/>
                      <w:szCs w:val="21"/>
                    </w:rPr>
                  </w:pPr>
                  <w:r>
                    <w:rPr>
                      <w:kern w:val="0"/>
                      <w:szCs w:val="21"/>
                    </w:rPr>
                    <w:t>/</w:t>
                  </w:r>
                </w:p>
              </w:tc>
              <w:tc>
                <w:tcPr>
                  <w:tcW w:w="943" w:type="dxa"/>
                  <w:vAlign w:val="center"/>
                </w:tcPr>
                <w:p w14:paraId="520AB82A">
                  <w:pPr>
                    <w:widowControl/>
                    <w:adjustRightInd w:val="0"/>
                    <w:snapToGrid w:val="0"/>
                    <w:jc w:val="center"/>
                    <w:rPr>
                      <w:kern w:val="0"/>
                      <w:szCs w:val="21"/>
                    </w:rPr>
                  </w:pPr>
                  <w:r>
                    <w:rPr>
                      <w:rFonts w:eastAsia="等线"/>
                      <w:szCs w:val="21"/>
                    </w:rPr>
                    <w:t>2000</w:t>
                  </w:r>
                </w:p>
              </w:tc>
              <w:tc>
                <w:tcPr>
                  <w:tcW w:w="1396" w:type="dxa"/>
                  <w:vAlign w:val="center"/>
                </w:tcPr>
                <w:p w14:paraId="520AB82B">
                  <w:pPr>
                    <w:widowControl/>
                    <w:adjustRightInd w:val="0"/>
                    <w:snapToGrid w:val="0"/>
                    <w:jc w:val="center"/>
                    <w:rPr>
                      <w:kern w:val="0"/>
                      <w:szCs w:val="21"/>
                    </w:rPr>
                  </w:pPr>
                  <w:r>
                    <w:rPr>
                      <w:rFonts w:eastAsia="等线"/>
                      <w:szCs w:val="21"/>
                    </w:rPr>
                    <w:t>0.0221</w:t>
                  </w:r>
                </w:p>
              </w:tc>
            </w:tr>
            <w:tr w14:paraId="520AB83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2D">
                  <w:pPr>
                    <w:widowControl/>
                    <w:adjustRightInd w:val="0"/>
                    <w:snapToGrid w:val="0"/>
                    <w:jc w:val="center"/>
                    <w:rPr>
                      <w:kern w:val="0"/>
                      <w:szCs w:val="21"/>
                    </w:rPr>
                  </w:pPr>
                </w:p>
              </w:tc>
              <w:tc>
                <w:tcPr>
                  <w:tcW w:w="749" w:type="dxa"/>
                  <w:vMerge w:val="continue"/>
                  <w:vAlign w:val="center"/>
                </w:tcPr>
                <w:p w14:paraId="520AB82E">
                  <w:pPr>
                    <w:adjustRightInd w:val="0"/>
                    <w:snapToGrid w:val="0"/>
                    <w:jc w:val="center"/>
                    <w:rPr>
                      <w:kern w:val="0"/>
                      <w:szCs w:val="21"/>
                    </w:rPr>
                  </w:pPr>
                </w:p>
              </w:tc>
              <w:tc>
                <w:tcPr>
                  <w:tcW w:w="1035" w:type="dxa"/>
                  <w:vMerge w:val="continue"/>
                  <w:vAlign w:val="center"/>
                </w:tcPr>
                <w:p w14:paraId="520AB82F">
                  <w:pPr>
                    <w:widowControl/>
                    <w:adjustRightInd w:val="0"/>
                    <w:snapToGrid w:val="0"/>
                    <w:jc w:val="center"/>
                    <w:rPr>
                      <w:kern w:val="0"/>
                      <w:szCs w:val="21"/>
                    </w:rPr>
                  </w:pPr>
                </w:p>
              </w:tc>
              <w:tc>
                <w:tcPr>
                  <w:tcW w:w="1326" w:type="dxa"/>
                  <w:vAlign w:val="center"/>
                </w:tcPr>
                <w:p w14:paraId="520AB830">
                  <w:pPr>
                    <w:widowControl/>
                    <w:adjustRightInd w:val="0"/>
                    <w:snapToGrid w:val="0"/>
                    <w:jc w:val="center"/>
                    <w:rPr>
                      <w:kern w:val="0"/>
                      <w:szCs w:val="21"/>
                    </w:rPr>
                  </w:pPr>
                  <w:r>
                    <w:rPr>
                      <w:rFonts w:hint="eastAsia"/>
                      <w:szCs w:val="21"/>
                    </w:rPr>
                    <w:t>1208</w:t>
                  </w:r>
                  <w:r>
                    <w:rPr>
                      <w:rFonts w:hint="eastAsia"/>
                      <w:kern w:val="0"/>
                      <w:szCs w:val="21"/>
                    </w:rPr>
                    <w:t>#厂房</w:t>
                  </w:r>
                  <w:r>
                    <w:rPr>
                      <w:rFonts w:hint="eastAsia"/>
                      <w:szCs w:val="21"/>
                    </w:rPr>
                    <w:t>油类试验台、清洗</w:t>
                  </w:r>
                </w:p>
              </w:tc>
              <w:tc>
                <w:tcPr>
                  <w:tcW w:w="828" w:type="dxa"/>
                  <w:vAlign w:val="center"/>
                </w:tcPr>
                <w:p w14:paraId="520AB831">
                  <w:pPr>
                    <w:widowControl/>
                    <w:adjustRightInd w:val="0"/>
                    <w:snapToGrid w:val="0"/>
                    <w:jc w:val="center"/>
                    <w:rPr>
                      <w:kern w:val="0"/>
                      <w:szCs w:val="21"/>
                    </w:rPr>
                  </w:pPr>
                  <w:r>
                    <w:rPr>
                      <w:kern w:val="0"/>
                      <w:szCs w:val="21"/>
                    </w:rPr>
                    <w:t>/</w:t>
                  </w:r>
                </w:p>
              </w:tc>
              <w:tc>
                <w:tcPr>
                  <w:tcW w:w="1100" w:type="dxa"/>
                  <w:vAlign w:val="center"/>
                </w:tcPr>
                <w:p w14:paraId="520AB832">
                  <w:pPr>
                    <w:widowControl/>
                    <w:adjustRightInd w:val="0"/>
                    <w:snapToGrid w:val="0"/>
                    <w:jc w:val="center"/>
                    <w:rPr>
                      <w:kern w:val="0"/>
                      <w:szCs w:val="21"/>
                    </w:rPr>
                  </w:pPr>
                  <w:r>
                    <w:rPr>
                      <w:kern w:val="0"/>
                      <w:szCs w:val="21"/>
                    </w:rPr>
                    <w:t>/</w:t>
                  </w:r>
                </w:p>
              </w:tc>
              <w:tc>
                <w:tcPr>
                  <w:tcW w:w="1085" w:type="dxa"/>
                  <w:vAlign w:val="center"/>
                </w:tcPr>
                <w:p w14:paraId="520AB833">
                  <w:pPr>
                    <w:widowControl/>
                    <w:adjustRightInd w:val="0"/>
                    <w:snapToGrid w:val="0"/>
                    <w:jc w:val="center"/>
                    <w:rPr>
                      <w:kern w:val="0"/>
                      <w:szCs w:val="21"/>
                    </w:rPr>
                  </w:pPr>
                  <w:r>
                    <w:rPr>
                      <w:kern w:val="0"/>
                      <w:szCs w:val="21"/>
                    </w:rPr>
                    <w:t>/</w:t>
                  </w:r>
                </w:p>
              </w:tc>
              <w:tc>
                <w:tcPr>
                  <w:tcW w:w="827" w:type="dxa"/>
                  <w:vAlign w:val="center"/>
                </w:tcPr>
                <w:p w14:paraId="520AB834">
                  <w:pPr>
                    <w:widowControl/>
                    <w:adjustRightInd w:val="0"/>
                    <w:snapToGrid w:val="0"/>
                    <w:jc w:val="center"/>
                    <w:rPr>
                      <w:kern w:val="0"/>
                      <w:szCs w:val="21"/>
                    </w:rPr>
                  </w:pPr>
                  <w:r>
                    <w:rPr>
                      <w:kern w:val="0"/>
                      <w:szCs w:val="21"/>
                    </w:rPr>
                    <w:t>/</w:t>
                  </w:r>
                </w:p>
              </w:tc>
              <w:tc>
                <w:tcPr>
                  <w:tcW w:w="1100" w:type="dxa"/>
                  <w:vAlign w:val="center"/>
                </w:tcPr>
                <w:p w14:paraId="520AB835">
                  <w:pPr>
                    <w:widowControl/>
                    <w:adjustRightInd w:val="0"/>
                    <w:snapToGrid w:val="0"/>
                    <w:jc w:val="center"/>
                    <w:rPr>
                      <w:kern w:val="0"/>
                      <w:szCs w:val="21"/>
                    </w:rPr>
                  </w:pPr>
                  <w:r>
                    <w:rPr>
                      <w:kern w:val="0"/>
                      <w:szCs w:val="21"/>
                    </w:rPr>
                    <w:t>/</w:t>
                  </w:r>
                </w:p>
              </w:tc>
              <w:tc>
                <w:tcPr>
                  <w:tcW w:w="1116" w:type="dxa"/>
                  <w:vAlign w:val="center"/>
                </w:tcPr>
                <w:p w14:paraId="520AB836">
                  <w:pPr>
                    <w:widowControl/>
                    <w:adjustRightInd w:val="0"/>
                    <w:snapToGrid w:val="0"/>
                    <w:jc w:val="center"/>
                    <w:rPr>
                      <w:kern w:val="0"/>
                      <w:szCs w:val="21"/>
                    </w:rPr>
                  </w:pPr>
                  <w:r>
                    <w:rPr>
                      <w:kern w:val="0"/>
                      <w:szCs w:val="21"/>
                    </w:rPr>
                    <w:t>/</w:t>
                  </w:r>
                </w:p>
              </w:tc>
              <w:tc>
                <w:tcPr>
                  <w:tcW w:w="943" w:type="dxa"/>
                  <w:vAlign w:val="center"/>
                </w:tcPr>
                <w:p w14:paraId="520AB837">
                  <w:pPr>
                    <w:widowControl/>
                    <w:adjustRightInd w:val="0"/>
                    <w:snapToGrid w:val="0"/>
                    <w:jc w:val="center"/>
                    <w:rPr>
                      <w:kern w:val="0"/>
                      <w:szCs w:val="21"/>
                    </w:rPr>
                  </w:pPr>
                  <w:r>
                    <w:rPr>
                      <w:rFonts w:eastAsia="等线"/>
                      <w:szCs w:val="21"/>
                    </w:rPr>
                    <w:t>2000</w:t>
                  </w:r>
                </w:p>
              </w:tc>
              <w:tc>
                <w:tcPr>
                  <w:tcW w:w="1396" w:type="dxa"/>
                  <w:vAlign w:val="center"/>
                </w:tcPr>
                <w:p w14:paraId="520AB838">
                  <w:pPr>
                    <w:widowControl/>
                    <w:adjustRightInd w:val="0"/>
                    <w:snapToGrid w:val="0"/>
                    <w:jc w:val="center"/>
                    <w:rPr>
                      <w:kern w:val="0"/>
                      <w:szCs w:val="21"/>
                    </w:rPr>
                  </w:pPr>
                  <w:r>
                    <w:rPr>
                      <w:rFonts w:eastAsia="等线"/>
                      <w:szCs w:val="21"/>
                    </w:rPr>
                    <w:t>0.1125</w:t>
                  </w:r>
                </w:p>
              </w:tc>
            </w:tr>
            <w:tr w14:paraId="520AB84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3A">
                  <w:pPr>
                    <w:widowControl/>
                    <w:adjustRightInd w:val="0"/>
                    <w:snapToGrid w:val="0"/>
                    <w:jc w:val="center"/>
                    <w:rPr>
                      <w:kern w:val="0"/>
                      <w:szCs w:val="21"/>
                    </w:rPr>
                  </w:pPr>
                </w:p>
              </w:tc>
              <w:tc>
                <w:tcPr>
                  <w:tcW w:w="749" w:type="dxa"/>
                  <w:vMerge w:val="continue"/>
                  <w:vAlign w:val="center"/>
                </w:tcPr>
                <w:p w14:paraId="520AB83B">
                  <w:pPr>
                    <w:adjustRightInd w:val="0"/>
                    <w:snapToGrid w:val="0"/>
                    <w:jc w:val="center"/>
                    <w:rPr>
                      <w:kern w:val="0"/>
                      <w:szCs w:val="21"/>
                    </w:rPr>
                  </w:pPr>
                </w:p>
              </w:tc>
              <w:tc>
                <w:tcPr>
                  <w:tcW w:w="1035" w:type="dxa"/>
                  <w:vMerge w:val="continue"/>
                  <w:vAlign w:val="center"/>
                </w:tcPr>
                <w:p w14:paraId="520AB83C">
                  <w:pPr>
                    <w:widowControl/>
                    <w:adjustRightInd w:val="0"/>
                    <w:snapToGrid w:val="0"/>
                    <w:jc w:val="center"/>
                    <w:rPr>
                      <w:kern w:val="0"/>
                      <w:szCs w:val="21"/>
                    </w:rPr>
                  </w:pPr>
                </w:p>
              </w:tc>
              <w:tc>
                <w:tcPr>
                  <w:tcW w:w="1326" w:type="dxa"/>
                  <w:vAlign w:val="center"/>
                </w:tcPr>
                <w:p w14:paraId="520AB83D">
                  <w:pPr>
                    <w:widowControl/>
                    <w:adjustRightInd w:val="0"/>
                    <w:snapToGrid w:val="0"/>
                    <w:jc w:val="center"/>
                    <w:rPr>
                      <w:kern w:val="0"/>
                      <w:szCs w:val="21"/>
                    </w:rPr>
                  </w:pPr>
                  <w:r>
                    <w:rPr>
                      <w:szCs w:val="21"/>
                    </w:rPr>
                    <w:t>101</w:t>
                  </w:r>
                  <w:r>
                    <w:rPr>
                      <w:rFonts w:hint="eastAsia"/>
                      <w:kern w:val="0"/>
                      <w:szCs w:val="21"/>
                    </w:rPr>
                    <w:t>#厂房</w:t>
                  </w:r>
                  <w:r>
                    <w:rPr>
                      <w:szCs w:val="21"/>
                    </w:rPr>
                    <w:t>油类试验</w:t>
                  </w:r>
                  <w:r>
                    <w:rPr>
                      <w:rFonts w:hint="eastAsia"/>
                      <w:szCs w:val="21"/>
                    </w:rPr>
                    <w:t>2</w:t>
                  </w:r>
                  <w:r>
                    <w:rPr>
                      <w:rFonts w:hint="eastAsia"/>
                      <w:kern w:val="0"/>
                      <w:szCs w:val="21"/>
                    </w:rPr>
                    <w:t>#</w:t>
                  </w:r>
                </w:p>
              </w:tc>
              <w:tc>
                <w:tcPr>
                  <w:tcW w:w="828" w:type="dxa"/>
                  <w:vAlign w:val="center"/>
                </w:tcPr>
                <w:p w14:paraId="520AB83E">
                  <w:pPr>
                    <w:widowControl/>
                    <w:adjustRightInd w:val="0"/>
                    <w:snapToGrid w:val="0"/>
                    <w:jc w:val="center"/>
                    <w:rPr>
                      <w:kern w:val="0"/>
                      <w:szCs w:val="21"/>
                    </w:rPr>
                  </w:pPr>
                  <w:r>
                    <w:rPr>
                      <w:kern w:val="0"/>
                      <w:szCs w:val="21"/>
                    </w:rPr>
                    <w:t>/</w:t>
                  </w:r>
                </w:p>
              </w:tc>
              <w:tc>
                <w:tcPr>
                  <w:tcW w:w="1100" w:type="dxa"/>
                  <w:vAlign w:val="center"/>
                </w:tcPr>
                <w:p w14:paraId="520AB83F">
                  <w:pPr>
                    <w:widowControl/>
                    <w:adjustRightInd w:val="0"/>
                    <w:snapToGrid w:val="0"/>
                    <w:jc w:val="center"/>
                    <w:rPr>
                      <w:kern w:val="0"/>
                      <w:szCs w:val="21"/>
                    </w:rPr>
                  </w:pPr>
                  <w:r>
                    <w:rPr>
                      <w:kern w:val="0"/>
                      <w:szCs w:val="21"/>
                    </w:rPr>
                    <w:t>/</w:t>
                  </w:r>
                </w:p>
              </w:tc>
              <w:tc>
                <w:tcPr>
                  <w:tcW w:w="1085" w:type="dxa"/>
                  <w:vAlign w:val="center"/>
                </w:tcPr>
                <w:p w14:paraId="520AB840">
                  <w:pPr>
                    <w:widowControl/>
                    <w:adjustRightInd w:val="0"/>
                    <w:snapToGrid w:val="0"/>
                    <w:jc w:val="center"/>
                    <w:rPr>
                      <w:kern w:val="0"/>
                      <w:szCs w:val="21"/>
                    </w:rPr>
                  </w:pPr>
                  <w:r>
                    <w:rPr>
                      <w:kern w:val="0"/>
                      <w:szCs w:val="21"/>
                    </w:rPr>
                    <w:t>/</w:t>
                  </w:r>
                </w:p>
              </w:tc>
              <w:tc>
                <w:tcPr>
                  <w:tcW w:w="827" w:type="dxa"/>
                  <w:vAlign w:val="center"/>
                </w:tcPr>
                <w:p w14:paraId="520AB841">
                  <w:pPr>
                    <w:widowControl/>
                    <w:adjustRightInd w:val="0"/>
                    <w:snapToGrid w:val="0"/>
                    <w:jc w:val="center"/>
                    <w:rPr>
                      <w:kern w:val="0"/>
                      <w:szCs w:val="21"/>
                    </w:rPr>
                  </w:pPr>
                  <w:r>
                    <w:rPr>
                      <w:kern w:val="0"/>
                      <w:szCs w:val="21"/>
                    </w:rPr>
                    <w:t>/</w:t>
                  </w:r>
                </w:p>
              </w:tc>
              <w:tc>
                <w:tcPr>
                  <w:tcW w:w="1100" w:type="dxa"/>
                  <w:vAlign w:val="center"/>
                </w:tcPr>
                <w:p w14:paraId="520AB842">
                  <w:pPr>
                    <w:widowControl/>
                    <w:adjustRightInd w:val="0"/>
                    <w:snapToGrid w:val="0"/>
                    <w:jc w:val="center"/>
                    <w:rPr>
                      <w:kern w:val="0"/>
                      <w:szCs w:val="21"/>
                    </w:rPr>
                  </w:pPr>
                  <w:r>
                    <w:rPr>
                      <w:kern w:val="0"/>
                      <w:szCs w:val="21"/>
                    </w:rPr>
                    <w:t>/</w:t>
                  </w:r>
                </w:p>
              </w:tc>
              <w:tc>
                <w:tcPr>
                  <w:tcW w:w="1116" w:type="dxa"/>
                  <w:vAlign w:val="center"/>
                </w:tcPr>
                <w:p w14:paraId="520AB843">
                  <w:pPr>
                    <w:widowControl/>
                    <w:adjustRightInd w:val="0"/>
                    <w:snapToGrid w:val="0"/>
                    <w:jc w:val="center"/>
                    <w:rPr>
                      <w:kern w:val="0"/>
                      <w:szCs w:val="21"/>
                    </w:rPr>
                  </w:pPr>
                  <w:r>
                    <w:rPr>
                      <w:kern w:val="0"/>
                      <w:szCs w:val="21"/>
                    </w:rPr>
                    <w:t>/</w:t>
                  </w:r>
                </w:p>
              </w:tc>
              <w:tc>
                <w:tcPr>
                  <w:tcW w:w="943" w:type="dxa"/>
                  <w:vAlign w:val="center"/>
                </w:tcPr>
                <w:p w14:paraId="520AB844">
                  <w:pPr>
                    <w:widowControl/>
                    <w:adjustRightInd w:val="0"/>
                    <w:snapToGrid w:val="0"/>
                    <w:jc w:val="center"/>
                    <w:rPr>
                      <w:kern w:val="0"/>
                      <w:szCs w:val="21"/>
                    </w:rPr>
                  </w:pPr>
                  <w:r>
                    <w:rPr>
                      <w:rFonts w:eastAsia="等线"/>
                      <w:szCs w:val="21"/>
                    </w:rPr>
                    <w:t>200</w:t>
                  </w:r>
                </w:p>
              </w:tc>
              <w:tc>
                <w:tcPr>
                  <w:tcW w:w="1396" w:type="dxa"/>
                  <w:vAlign w:val="center"/>
                </w:tcPr>
                <w:p w14:paraId="520AB845">
                  <w:pPr>
                    <w:widowControl/>
                    <w:adjustRightInd w:val="0"/>
                    <w:snapToGrid w:val="0"/>
                    <w:jc w:val="center"/>
                    <w:rPr>
                      <w:kern w:val="0"/>
                      <w:szCs w:val="21"/>
                    </w:rPr>
                  </w:pPr>
                  <w:r>
                    <w:rPr>
                      <w:rFonts w:eastAsia="等线"/>
                      <w:szCs w:val="21"/>
                    </w:rPr>
                    <w:t>0.1940</w:t>
                  </w:r>
                </w:p>
              </w:tc>
            </w:tr>
            <w:tr w14:paraId="520AB85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47">
                  <w:pPr>
                    <w:widowControl/>
                    <w:adjustRightInd w:val="0"/>
                    <w:snapToGrid w:val="0"/>
                    <w:jc w:val="center"/>
                    <w:rPr>
                      <w:kern w:val="0"/>
                      <w:szCs w:val="21"/>
                    </w:rPr>
                  </w:pPr>
                </w:p>
              </w:tc>
              <w:tc>
                <w:tcPr>
                  <w:tcW w:w="749" w:type="dxa"/>
                  <w:vMerge w:val="continue"/>
                  <w:vAlign w:val="center"/>
                </w:tcPr>
                <w:p w14:paraId="520AB848">
                  <w:pPr>
                    <w:adjustRightInd w:val="0"/>
                    <w:snapToGrid w:val="0"/>
                    <w:jc w:val="center"/>
                    <w:rPr>
                      <w:kern w:val="0"/>
                      <w:szCs w:val="21"/>
                    </w:rPr>
                  </w:pPr>
                </w:p>
              </w:tc>
              <w:tc>
                <w:tcPr>
                  <w:tcW w:w="1035" w:type="dxa"/>
                  <w:vMerge w:val="continue"/>
                  <w:vAlign w:val="center"/>
                </w:tcPr>
                <w:p w14:paraId="520AB849">
                  <w:pPr>
                    <w:widowControl/>
                    <w:adjustRightInd w:val="0"/>
                    <w:snapToGrid w:val="0"/>
                    <w:jc w:val="center"/>
                    <w:rPr>
                      <w:kern w:val="0"/>
                      <w:szCs w:val="21"/>
                    </w:rPr>
                  </w:pPr>
                </w:p>
              </w:tc>
              <w:tc>
                <w:tcPr>
                  <w:tcW w:w="1326" w:type="dxa"/>
                  <w:vAlign w:val="center"/>
                </w:tcPr>
                <w:p w14:paraId="520AB84A">
                  <w:pPr>
                    <w:widowControl/>
                    <w:adjustRightInd w:val="0"/>
                    <w:snapToGrid w:val="0"/>
                    <w:jc w:val="center"/>
                    <w:rPr>
                      <w:szCs w:val="21"/>
                    </w:rPr>
                  </w:pPr>
                  <w:r>
                    <w:rPr>
                      <w:szCs w:val="21"/>
                    </w:rPr>
                    <w:t>1205</w:t>
                  </w:r>
                  <w:r>
                    <w:rPr>
                      <w:rFonts w:hint="eastAsia"/>
                      <w:kern w:val="0"/>
                      <w:szCs w:val="21"/>
                    </w:rPr>
                    <w:t>#厂房</w:t>
                  </w:r>
                  <w:r>
                    <w:rPr>
                      <w:szCs w:val="21"/>
                    </w:rPr>
                    <w:t>油类试验</w:t>
                  </w:r>
                </w:p>
              </w:tc>
              <w:tc>
                <w:tcPr>
                  <w:tcW w:w="828" w:type="dxa"/>
                  <w:vAlign w:val="center"/>
                </w:tcPr>
                <w:p w14:paraId="520AB84B">
                  <w:pPr>
                    <w:widowControl/>
                    <w:adjustRightInd w:val="0"/>
                    <w:snapToGrid w:val="0"/>
                    <w:jc w:val="center"/>
                    <w:rPr>
                      <w:kern w:val="0"/>
                      <w:szCs w:val="21"/>
                    </w:rPr>
                  </w:pPr>
                  <w:r>
                    <w:rPr>
                      <w:kern w:val="0"/>
                      <w:szCs w:val="21"/>
                    </w:rPr>
                    <w:t>/</w:t>
                  </w:r>
                </w:p>
              </w:tc>
              <w:tc>
                <w:tcPr>
                  <w:tcW w:w="1100" w:type="dxa"/>
                  <w:vAlign w:val="center"/>
                </w:tcPr>
                <w:p w14:paraId="520AB84C">
                  <w:pPr>
                    <w:widowControl/>
                    <w:adjustRightInd w:val="0"/>
                    <w:snapToGrid w:val="0"/>
                    <w:jc w:val="center"/>
                    <w:rPr>
                      <w:kern w:val="0"/>
                      <w:szCs w:val="21"/>
                    </w:rPr>
                  </w:pPr>
                  <w:r>
                    <w:rPr>
                      <w:kern w:val="0"/>
                      <w:szCs w:val="21"/>
                    </w:rPr>
                    <w:t>/</w:t>
                  </w:r>
                </w:p>
              </w:tc>
              <w:tc>
                <w:tcPr>
                  <w:tcW w:w="1085" w:type="dxa"/>
                  <w:vAlign w:val="center"/>
                </w:tcPr>
                <w:p w14:paraId="520AB84D">
                  <w:pPr>
                    <w:widowControl/>
                    <w:adjustRightInd w:val="0"/>
                    <w:snapToGrid w:val="0"/>
                    <w:jc w:val="center"/>
                    <w:rPr>
                      <w:kern w:val="0"/>
                      <w:szCs w:val="21"/>
                    </w:rPr>
                  </w:pPr>
                  <w:r>
                    <w:rPr>
                      <w:kern w:val="0"/>
                      <w:szCs w:val="21"/>
                    </w:rPr>
                    <w:t>/</w:t>
                  </w:r>
                </w:p>
              </w:tc>
              <w:tc>
                <w:tcPr>
                  <w:tcW w:w="827" w:type="dxa"/>
                  <w:vAlign w:val="center"/>
                </w:tcPr>
                <w:p w14:paraId="520AB84E">
                  <w:pPr>
                    <w:widowControl/>
                    <w:adjustRightInd w:val="0"/>
                    <w:snapToGrid w:val="0"/>
                    <w:jc w:val="center"/>
                    <w:rPr>
                      <w:kern w:val="0"/>
                      <w:szCs w:val="21"/>
                    </w:rPr>
                  </w:pPr>
                  <w:r>
                    <w:rPr>
                      <w:kern w:val="0"/>
                      <w:szCs w:val="21"/>
                    </w:rPr>
                    <w:t>/</w:t>
                  </w:r>
                </w:p>
              </w:tc>
              <w:tc>
                <w:tcPr>
                  <w:tcW w:w="1100" w:type="dxa"/>
                  <w:vAlign w:val="center"/>
                </w:tcPr>
                <w:p w14:paraId="520AB84F">
                  <w:pPr>
                    <w:widowControl/>
                    <w:adjustRightInd w:val="0"/>
                    <w:snapToGrid w:val="0"/>
                    <w:jc w:val="center"/>
                    <w:rPr>
                      <w:kern w:val="0"/>
                      <w:szCs w:val="21"/>
                    </w:rPr>
                  </w:pPr>
                  <w:r>
                    <w:rPr>
                      <w:kern w:val="0"/>
                      <w:szCs w:val="21"/>
                    </w:rPr>
                    <w:t>/</w:t>
                  </w:r>
                </w:p>
              </w:tc>
              <w:tc>
                <w:tcPr>
                  <w:tcW w:w="1116" w:type="dxa"/>
                  <w:vAlign w:val="center"/>
                </w:tcPr>
                <w:p w14:paraId="520AB850">
                  <w:pPr>
                    <w:widowControl/>
                    <w:adjustRightInd w:val="0"/>
                    <w:snapToGrid w:val="0"/>
                    <w:jc w:val="center"/>
                    <w:rPr>
                      <w:kern w:val="0"/>
                      <w:szCs w:val="21"/>
                    </w:rPr>
                  </w:pPr>
                  <w:r>
                    <w:rPr>
                      <w:kern w:val="0"/>
                      <w:szCs w:val="21"/>
                    </w:rPr>
                    <w:t>/</w:t>
                  </w:r>
                </w:p>
              </w:tc>
              <w:tc>
                <w:tcPr>
                  <w:tcW w:w="943" w:type="dxa"/>
                  <w:vAlign w:val="center"/>
                </w:tcPr>
                <w:p w14:paraId="520AB851">
                  <w:pPr>
                    <w:widowControl/>
                    <w:adjustRightInd w:val="0"/>
                    <w:snapToGrid w:val="0"/>
                    <w:jc w:val="center"/>
                    <w:rPr>
                      <w:kern w:val="0"/>
                      <w:szCs w:val="21"/>
                    </w:rPr>
                  </w:pPr>
                  <w:r>
                    <w:rPr>
                      <w:rFonts w:eastAsia="等线"/>
                      <w:szCs w:val="21"/>
                    </w:rPr>
                    <w:t>200</w:t>
                  </w:r>
                </w:p>
              </w:tc>
              <w:tc>
                <w:tcPr>
                  <w:tcW w:w="1396" w:type="dxa"/>
                  <w:vAlign w:val="center"/>
                </w:tcPr>
                <w:p w14:paraId="520AB852">
                  <w:pPr>
                    <w:widowControl/>
                    <w:adjustRightInd w:val="0"/>
                    <w:snapToGrid w:val="0"/>
                    <w:jc w:val="center"/>
                    <w:rPr>
                      <w:kern w:val="0"/>
                      <w:szCs w:val="21"/>
                    </w:rPr>
                  </w:pPr>
                  <w:r>
                    <w:rPr>
                      <w:rFonts w:eastAsia="等线"/>
                      <w:szCs w:val="21"/>
                    </w:rPr>
                    <w:t>0.0980</w:t>
                  </w:r>
                </w:p>
              </w:tc>
            </w:tr>
            <w:tr w14:paraId="520AB86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54">
                  <w:pPr>
                    <w:widowControl/>
                    <w:adjustRightInd w:val="0"/>
                    <w:snapToGrid w:val="0"/>
                    <w:jc w:val="center"/>
                    <w:rPr>
                      <w:kern w:val="0"/>
                      <w:szCs w:val="21"/>
                    </w:rPr>
                  </w:pPr>
                </w:p>
              </w:tc>
              <w:tc>
                <w:tcPr>
                  <w:tcW w:w="749" w:type="dxa"/>
                  <w:vMerge w:val="continue"/>
                  <w:vAlign w:val="center"/>
                </w:tcPr>
                <w:p w14:paraId="520AB855">
                  <w:pPr>
                    <w:adjustRightInd w:val="0"/>
                    <w:snapToGrid w:val="0"/>
                    <w:jc w:val="center"/>
                    <w:rPr>
                      <w:kern w:val="0"/>
                      <w:szCs w:val="21"/>
                    </w:rPr>
                  </w:pPr>
                </w:p>
              </w:tc>
              <w:tc>
                <w:tcPr>
                  <w:tcW w:w="1035" w:type="dxa"/>
                  <w:vMerge w:val="continue"/>
                  <w:vAlign w:val="center"/>
                </w:tcPr>
                <w:p w14:paraId="520AB856">
                  <w:pPr>
                    <w:widowControl/>
                    <w:adjustRightInd w:val="0"/>
                    <w:snapToGrid w:val="0"/>
                    <w:jc w:val="center"/>
                    <w:rPr>
                      <w:kern w:val="0"/>
                      <w:szCs w:val="21"/>
                    </w:rPr>
                  </w:pPr>
                </w:p>
              </w:tc>
              <w:tc>
                <w:tcPr>
                  <w:tcW w:w="1326" w:type="dxa"/>
                  <w:vAlign w:val="center"/>
                </w:tcPr>
                <w:p w14:paraId="520AB857">
                  <w:pPr>
                    <w:widowControl/>
                    <w:adjustRightInd w:val="0"/>
                    <w:snapToGrid w:val="0"/>
                    <w:jc w:val="center"/>
                    <w:rPr>
                      <w:szCs w:val="21"/>
                    </w:rPr>
                  </w:pPr>
                  <w:r>
                    <w:rPr>
                      <w:rFonts w:hint="eastAsia"/>
                      <w:szCs w:val="21"/>
                    </w:rPr>
                    <w:t>105</w:t>
                  </w:r>
                  <w:r>
                    <w:rPr>
                      <w:rFonts w:hint="eastAsia"/>
                      <w:kern w:val="0"/>
                      <w:szCs w:val="21"/>
                    </w:rPr>
                    <w:t>#厂房</w:t>
                  </w:r>
                  <w:r>
                    <w:rPr>
                      <w:rFonts w:hint="eastAsia"/>
                      <w:szCs w:val="21"/>
                    </w:rPr>
                    <w:t>油淬</w:t>
                  </w:r>
                </w:p>
              </w:tc>
              <w:tc>
                <w:tcPr>
                  <w:tcW w:w="828" w:type="dxa"/>
                  <w:vAlign w:val="center"/>
                </w:tcPr>
                <w:p w14:paraId="520AB858">
                  <w:pPr>
                    <w:widowControl/>
                    <w:adjustRightInd w:val="0"/>
                    <w:snapToGrid w:val="0"/>
                    <w:jc w:val="center"/>
                    <w:rPr>
                      <w:kern w:val="0"/>
                      <w:szCs w:val="21"/>
                    </w:rPr>
                  </w:pPr>
                  <w:r>
                    <w:rPr>
                      <w:kern w:val="0"/>
                      <w:szCs w:val="21"/>
                    </w:rPr>
                    <w:t>/</w:t>
                  </w:r>
                </w:p>
              </w:tc>
              <w:tc>
                <w:tcPr>
                  <w:tcW w:w="1100" w:type="dxa"/>
                  <w:vAlign w:val="center"/>
                </w:tcPr>
                <w:p w14:paraId="520AB859">
                  <w:pPr>
                    <w:widowControl/>
                    <w:adjustRightInd w:val="0"/>
                    <w:snapToGrid w:val="0"/>
                    <w:jc w:val="center"/>
                    <w:rPr>
                      <w:kern w:val="0"/>
                      <w:szCs w:val="21"/>
                    </w:rPr>
                  </w:pPr>
                  <w:r>
                    <w:rPr>
                      <w:kern w:val="0"/>
                      <w:szCs w:val="21"/>
                    </w:rPr>
                    <w:t>/</w:t>
                  </w:r>
                </w:p>
              </w:tc>
              <w:tc>
                <w:tcPr>
                  <w:tcW w:w="1085" w:type="dxa"/>
                  <w:vAlign w:val="center"/>
                </w:tcPr>
                <w:p w14:paraId="520AB85A">
                  <w:pPr>
                    <w:widowControl/>
                    <w:adjustRightInd w:val="0"/>
                    <w:snapToGrid w:val="0"/>
                    <w:jc w:val="center"/>
                    <w:rPr>
                      <w:kern w:val="0"/>
                      <w:szCs w:val="21"/>
                    </w:rPr>
                  </w:pPr>
                  <w:r>
                    <w:rPr>
                      <w:kern w:val="0"/>
                      <w:szCs w:val="21"/>
                    </w:rPr>
                    <w:t>/</w:t>
                  </w:r>
                </w:p>
              </w:tc>
              <w:tc>
                <w:tcPr>
                  <w:tcW w:w="827" w:type="dxa"/>
                  <w:vAlign w:val="center"/>
                </w:tcPr>
                <w:p w14:paraId="520AB85B">
                  <w:pPr>
                    <w:widowControl/>
                    <w:adjustRightInd w:val="0"/>
                    <w:snapToGrid w:val="0"/>
                    <w:jc w:val="center"/>
                    <w:rPr>
                      <w:kern w:val="0"/>
                      <w:szCs w:val="21"/>
                    </w:rPr>
                  </w:pPr>
                  <w:r>
                    <w:rPr>
                      <w:kern w:val="0"/>
                      <w:szCs w:val="21"/>
                    </w:rPr>
                    <w:t>/</w:t>
                  </w:r>
                </w:p>
              </w:tc>
              <w:tc>
                <w:tcPr>
                  <w:tcW w:w="1100" w:type="dxa"/>
                  <w:vAlign w:val="center"/>
                </w:tcPr>
                <w:p w14:paraId="520AB85C">
                  <w:pPr>
                    <w:widowControl/>
                    <w:adjustRightInd w:val="0"/>
                    <w:snapToGrid w:val="0"/>
                    <w:jc w:val="center"/>
                    <w:rPr>
                      <w:kern w:val="0"/>
                      <w:szCs w:val="21"/>
                    </w:rPr>
                  </w:pPr>
                  <w:r>
                    <w:rPr>
                      <w:kern w:val="0"/>
                      <w:szCs w:val="21"/>
                    </w:rPr>
                    <w:t>/</w:t>
                  </w:r>
                </w:p>
              </w:tc>
              <w:tc>
                <w:tcPr>
                  <w:tcW w:w="1116" w:type="dxa"/>
                  <w:vAlign w:val="center"/>
                </w:tcPr>
                <w:p w14:paraId="520AB85D">
                  <w:pPr>
                    <w:widowControl/>
                    <w:adjustRightInd w:val="0"/>
                    <w:snapToGrid w:val="0"/>
                    <w:jc w:val="center"/>
                    <w:rPr>
                      <w:kern w:val="0"/>
                      <w:szCs w:val="21"/>
                    </w:rPr>
                  </w:pPr>
                  <w:r>
                    <w:rPr>
                      <w:kern w:val="0"/>
                      <w:szCs w:val="21"/>
                    </w:rPr>
                    <w:t>/</w:t>
                  </w:r>
                </w:p>
              </w:tc>
              <w:tc>
                <w:tcPr>
                  <w:tcW w:w="943" w:type="dxa"/>
                  <w:vAlign w:val="center"/>
                </w:tcPr>
                <w:p w14:paraId="520AB85E">
                  <w:pPr>
                    <w:widowControl/>
                    <w:adjustRightInd w:val="0"/>
                    <w:snapToGrid w:val="0"/>
                    <w:jc w:val="center"/>
                    <w:rPr>
                      <w:kern w:val="0"/>
                      <w:szCs w:val="21"/>
                    </w:rPr>
                  </w:pPr>
                  <w:r>
                    <w:rPr>
                      <w:rFonts w:eastAsia="等线"/>
                      <w:szCs w:val="21"/>
                    </w:rPr>
                    <w:t>1500</w:t>
                  </w:r>
                </w:p>
              </w:tc>
              <w:tc>
                <w:tcPr>
                  <w:tcW w:w="1396" w:type="dxa"/>
                  <w:vAlign w:val="center"/>
                </w:tcPr>
                <w:p w14:paraId="520AB85F">
                  <w:pPr>
                    <w:widowControl/>
                    <w:adjustRightInd w:val="0"/>
                    <w:snapToGrid w:val="0"/>
                    <w:jc w:val="center"/>
                    <w:rPr>
                      <w:kern w:val="0"/>
                      <w:szCs w:val="21"/>
                    </w:rPr>
                  </w:pPr>
                  <w:r>
                    <w:rPr>
                      <w:rFonts w:eastAsia="等线"/>
                      <w:szCs w:val="21"/>
                    </w:rPr>
                    <w:t>0.2500</w:t>
                  </w:r>
                </w:p>
              </w:tc>
            </w:tr>
            <w:tr w14:paraId="520AB86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61">
                  <w:pPr>
                    <w:widowControl/>
                    <w:adjustRightInd w:val="0"/>
                    <w:snapToGrid w:val="0"/>
                    <w:jc w:val="center"/>
                    <w:rPr>
                      <w:kern w:val="0"/>
                      <w:szCs w:val="21"/>
                    </w:rPr>
                  </w:pPr>
                </w:p>
              </w:tc>
              <w:tc>
                <w:tcPr>
                  <w:tcW w:w="749" w:type="dxa"/>
                  <w:vMerge w:val="continue"/>
                  <w:vAlign w:val="center"/>
                </w:tcPr>
                <w:p w14:paraId="520AB862">
                  <w:pPr>
                    <w:adjustRightInd w:val="0"/>
                    <w:snapToGrid w:val="0"/>
                    <w:jc w:val="center"/>
                    <w:rPr>
                      <w:kern w:val="0"/>
                      <w:szCs w:val="21"/>
                    </w:rPr>
                  </w:pPr>
                </w:p>
              </w:tc>
              <w:tc>
                <w:tcPr>
                  <w:tcW w:w="1035" w:type="dxa"/>
                  <w:vMerge w:val="continue"/>
                  <w:vAlign w:val="center"/>
                </w:tcPr>
                <w:p w14:paraId="520AB863">
                  <w:pPr>
                    <w:widowControl/>
                    <w:adjustRightInd w:val="0"/>
                    <w:snapToGrid w:val="0"/>
                    <w:jc w:val="center"/>
                    <w:rPr>
                      <w:kern w:val="0"/>
                      <w:szCs w:val="21"/>
                    </w:rPr>
                  </w:pPr>
                </w:p>
              </w:tc>
              <w:tc>
                <w:tcPr>
                  <w:tcW w:w="1326" w:type="dxa"/>
                  <w:vAlign w:val="center"/>
                </w:tcPr>
                <w:p w14:paraId="520AB864">
                  <w:pPr>
                    <w:widowControl/>
                    <w:adjustRightInd w:val="0"/>
                    <w:snapToGrid w:val="0"/>
                    <w:jc w:val="center"/>
                    <w:rPr>
                      <w:szCs w:val="21"/>
                    </w:rPr>
                  </w:pPr>
                  <w:r>
                    <w:rPr>
                      <w:szCs w:val="21"/>
                    </w:rPr>
                    <w:t>1206</w:t>
                  </w:r>
                  <w:r>
                    <w:rPr>
                      <w:rFonts w:hint="eastAsia"/>
                      <w:kern w:val="0"/>
                      <w:szCs w:val="21"/>
                    </w:rPr>
                    <w:t>#</w:t>
                  </w:r>
                  <w:r>
                    <w:rPr>
                      <w:rFonts w:hint="eastAsia"/>
                      <w:szCs w:val="21"/>
                    </w:rPr>
                    <w:t>、168</w:t>
                  </w:r>
                  <w:r>
                    <w:rPr>
                      <w:rFonts w:hint="eastAsia"/>
                      <w:kern w:val="0"/>
                      <w:szCs w:val="21"/>
                    </w:rPr>
                    <w:t>#</w:t>
                  </w:r>
                  <w:r>
                    <w:rPr>
                      <w:rFonts w:hint="eastAsia"/>
                      <w:szCs w:val="21"/>
                    </w:rPr>
                    <w:t>、1209</w:t>
                  </w:r>
                  <w:r>
                    <w:rPr>
                      <w:rFonts w:hint="eastAsia"/>
                      <w:kern w:val="0"/>
                      <w:szCs w:val="21"/>
                    </w:rPr>
                    <w:t>#厂房</w:t>
                  </w:r>
                  <w:r>
                    <w:rPr>
                      <w:rFonts w:hint="eastAsia"/>
                      <w:szCs w:val="21"/>
                    </w:rPr>
                    <w:t>油类试验</w:t>
                  </w:r>
                </w:p>
              </w:tc>
              <w:tc>
                <w:tcPr>
                  <w:tcW w:w="828" w:type="dxa"/>
                  <w:vAlign w:val="center"/>
                </w:tcPr>
                <w:p w14:paraId="520AB865">
                  <w:pPr>
                    <w:widowControl/>
                    <w:adjustRightInd w:val="0"/>
                    <w:snapToGrid w:val="0"/>
                    <w:jc w:val="center"/>
                    <w:rPr>
                      <w:kern w:val="0"/>
                      <w:szCs w:val="21"/>
                    </w:rPr>
                  </w:pPr>
                  <w:r>
                    <w:rPr>
                      <w:kern w:val="0"/>
                      <w:szCs w:val="21"/>
                    </w:rPr>
                    <w:t>/</w:t>
                  </w:r>
                </w:p>
              </w:tc>
              <w:tc>
                <w:tcPr>
                  <w:tcW w:w="1100" w:type="dxa"/>
                  <w:vAlign w:val="center"/>
                </w:tcPr>
                <w:p w14:paraId="520AB866">
                  <w:pPr>
                    <w:widowControl/>
                    <w:adjustRightInd w:val="0"/>
                    <w:snapToGrid w:val="0"/>
                    <w:jc w:val="center"/>
                    <w:rPr>
                      <w:kern w:val="0"/>
                      <w:szCs w:val="21"/>
                    </w:rPr>
                  </w:pPr>
                  <w:r>
                    <w:rPr>
                      <w:kern w:val="0"/>
                      <w:szCs w:val="21"/>
                    </w:rPr>
                    <w:t>/</w:t>
                  </w:r>
                </w:p>
              </w:tc>
              <w:tc>
                <w:tcPr>
                  <w:tcW w:w="1085" w:type="dxa"/>
                  <w:vAlign w:val="center"/>
                </w:tcPr>
                <w:p w14:paraId="520AB867">
                  <w:pPr>
                    <w:widowControl/>
                    <w:adjustRightInd w:val="0"/>
                    <w:snapToGrid w:val="0"/>
                    <w:jc w:val="center"/>
                    <w:rPr>
                      <w:kern w:val="0"/>
                      <w:szCs w:val="21"/>
                    </w:rPr>
                  </w:pPr>
                  <w:r>
                    <w:rPr>
                      <w:kern w:val="0"/>
                      <w:szCs w:val="21"/>
                    </w:rPr>
                    <w:t>/</w:t>
                  </w:r>
                </w:p>
              </w:tc>
              <w:tc>
                <w:tcPr>
                  <w:tcW w:w="827" w:type="dxa"/>
                  <w:vAlign w:val="center"/>
                </w:tcPr>
                <w:p w14:paraId="520AB868">
                  <w:pPr>
                    <w:widowControl/>
                    <w:adjustRightInd w:val="0"/>
                    <w:snapToGrid w:val="0"/>
                    <w:jc w:val="center"/>
                    <w:rPr>
                      <w:kern w:val="0"/>
                      <w:szCs w:val="21"/>
                    </w:rPr>
                  </w:pPr>
                  <w:r>
                    <w:rPr>
                      <w:kern w:val="0"/>
                      <w:szCs w:val="21"/>
                    </w:rPr>
                    <w:t>/</w:t>
                  </w:r>
                </w:p>
              </w:tc>
              <w:tc>
                <w:tcPr>
                  <w:tcW w:w="1100" w:type="dxa"/>
                  <w:vAlign w:val="center"/>
                </w:tcPr>
                <w:p w14:paraId="520AB869">
                  <w:pPr>
                    <w:widowControl/>
                    <w:adjustRightInd w:val="0"/>
                    <w:snapToGrid w:val="0"/>
                    <w:jc w:val="center"/>
                    <w:rPr>
                      <w:kern w:val="0"/>
                      <w:szCs w:val="21"/>
                    </w:rPr>
                  </w:pPr>
                  <w:r>
                    <w:rPr>
                      <w:kern w:val="0"/>
                      <w:szCs w:val="21"/>
                    </w:rPr>
                    <w:t>/</w:t>
                  </w:r>
                </w:p>
              </w:tc>
              <w:tc>
                <w:tcPr>
                  <w:tcW w:w="1116" w:type="dxa"/>
                  <w:vAlign w:val="center"/>
                </w:tcPr>
                <w:p w14:paraId="520AB86A">
                  <w:pPr>
                    <w:widowControl/>
                    <w:adjustRightInd w:val="0"/>
                    <w:snapToGrid w:val="0"/>
                    <w:jc w:val="center"/>
                    <w:rPr>
                      <w:kern w:val="0"/>
                      <w:szCs w:val="21"/>
                    </w:rPr>
                  </w:pPr>
                  <w:r>
                    <w:rPr>
                      <w:kern w:val="0"/>
                      <w:szCs w:val="21"/>
                    </w:rPr>
                    <w:t>/</w:t>
                  </w:r>
                </w:p>
              </w:tc>
              <w:tc>
                <w:tcPr>
                  <w:tcW w:w="943" w:type="dxa"/>
                  <w:vAlign w:val="center"/>
                </w:tcPr>
                <w:p w14:paraId="520AB86B">
                  <w:pPr>
                    <w:widowControl/>
                    <w:adjustRightInd w:val="0"/>
                    <w:snapToGrid w:val="0"/>
                    <w:jc w:val="center"/>
                    <w:rPr>
                      <w:kern w:val="0"/>
                      <w:szCs w:val="21"/>
                    </w:rPr>
                  </w:pPr>
                  <w:r>
                    <w:rPr>
                      <w:rFonts w:eastAsia="等线"/>
                      <w:szCs w:val="21"/>
                    </w:rPr>
                    <w:t>2000</w:t>
                  </w:r>
                </w:p>
              </w:tc>
              <w:tc>
                <w:tcPr>
                  <w:tcW w:w="1396" w:type="dxa"/>
                  <w:vAlign w:val="center"/>
                </w:tcPr>
                <w:p w14:paraId="520AB86C">
                  <w:pPr>
                    <w:widowControl/>
                    <w:adjustRightInd w:val="0"/>
                    <w:snapToGrid w:val="0"/>
                    <w:jc w:val="center"/>
                    <w:rPr>
                      <w:kern w:val="0"/>
                      <w:szCs w:val="21"/>
                    </w:rPr>
                  </w:pPr>
                  <w:r>
                    <w:rPr>
                      <w:rFonts w:eastAsia="等线"/>
                      <w:szCs w:val="21"/>
                    </w:rPr>
                    <w:t>0.0233</w:t>
                  </w:r>
                </w:p>
              </w:tc>
            </w:tr>
            <w:tr w14:paraId="520AB87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6E">
                  <w:pPr>
                    <w:widowControl/>
                    <w:adjustRightInd w:val="0"/>
                    <w:snapToGrid w:val="0"/>
                    <w:jc w:val="center"/>
                    <w:rPr>
                      <w:kern w:val="0"/>
                      <w:szCs w:val="21"/>
                    </w:rPr>
                  </w:pPr>
                </w:p>
              </w:tc>
              <w:tc>
                <w:tcPr>
                  <w:tcW w:w="749" w:type="dxa"/>
                  <w:vMerge w:val="continue"/>
                  <w:vAlign w:val="center"/>
                </w:tcPr>
                <w:p w14:paraId="520AB86F">
                  <w:pPr>
                    <w:adjustRightInd w:val="0"/>
                    <w:snapToGrid w:val="0"/>
                    <w:jc w:val="center"/>
                    <w:rPr>
                      <w:kern w:val="0"/>
                      <w:szCs w:val="21"/>
                    </w:rPr>
                  </w:pPr>
                </w:p>
              </w:tc>
              <w:tc>
                <w:tcPr>
                  <w:tcW w:w="1035" w:type="dxa"/>
                  <w:vMerge w:val="restart"/>
                  <w:vAlign w:val="center"/>
                </w:tcPr>
                <w:p w14:paraId="520AB870">
                  <w:pPr>
                    <w:adjustRightInd w:val="0"/>
                    <w:snapToGrid w:val="0"/>
                    <w:jc w:val="center"/>
                    <w:rPr>
                      <w:kern w:val="0"/>
                      <w:szCs w:val="21"/>
                    </w:rPr>
                  </w:pPr>
                  <w:r>
                    <w:rPr>
                      <w:kern w:val="0"/>
                      <w:szCs w:val="21"/>
                    </w:rPr>
                    <w:t>颗粒物</w:t>
                  </w:r>
                </w:p>
              </w:tc>
              <w:tc>
                <w:tcPr>
                  <w:tcW w:w="1326" w:type="dxa"/>
                  <w:vAlign w:val="center"/>
                </w:tcPr>
                <w:p w14:paraId="520AB871">
                  <w:pPr>
                    <w:widowControl/>
                    <w:adjustRightInd w:val="0"/>
                    <w:snapToGrid w:val="0"/>
                    <w:jc w:val="center"/>
                    <w:rPr>
                      <w:kern w:val="0"/>
                      <w:szCs w:val="21"/>
                    </w:rPr>
                  </w:pPr>
                  <w:r>
                    <w:rPr>
                      <w:rFonts w:hint="eastAsia"/>
                      <w:szCs w:val="21"/>
                    </w:rPr>
                    <w:t>153</w:t>
                  </w:r>
                  <w:r>
                    <w:rPr>
                      <w:rFonts w:hint="eastAsia"/>
                      <w:kern w:val="0"/>
                      <w:szCs w:val="21"/>
                    </w:rPr>
                    <w:t>#厂房</w:t>
                  </w:r>
                  <w:r>
                    <w:rPr>
                      <w:rFonts w:hint="eastAsia"/>
                      <w:szCs w:val="21"/>
                    </w:rPr>
                    <w:t>钎焊</w:t>
                  </w:r>
                </w:p>
              </w:tc>
              <w:tc>
                <w:tcPr>
                  <w:tcW w:w="828" w:type="dxa"/>
                  <w:vAlign w:val="center"/>
                </w:tcPr>
                <w:p w14:paraId="520AB872">
                  <w:pPr>
                    <w:widowControl/>
                    <w:adjustRightInd w:val="0"/>
                    <w:snapToGrid w:val="0"/>
                    <w:jc w:val="center"/>
                    <w:rPr>
                      <w:kern w:val="0"/>
                      <w:szCs w:val="21"/>
                    </w:rPr>
                  </w:pPr>
                  <w:r>
                    <w:rPr>
                      <w:kern w:val="0"/>
                      <w:szCs w:val="21"/>
                    </w:rPr>
                    <w:t>/</w:t>
                  </w:r>
                </w:p>
              </w:tc>
              <w:tc>
                <w:tcPr>
                  <w:tcW w:w="1100" w:type="dxa"/>
                  <w:vAlign w:val="center"/>
                </w:tcPr>
                <w:p w14:paraId="520AB873">
                  <w:pPr>
                    <w:widowControl/>
                    <w:adjustRightInd w:val="0"/>
                    <w:snapToGrid w:val="0"/>
                    <w:jc w:val="center"/>
                    <w:rPr>
                      <w:kern w:val="0"/>
                      <w:szCs w:val="21"/>
                    </w:rPr>
                  </w:pPr>
                  <w:r>
                    <w:rPr>
                      <w:kern w:val="0"/>
                      <w:szCs w:val="21"/>
                    </w:rPr>
                    <w:t>/</w:t>
                  </w:r>
                </w:p>
              </w:tc>
              <w:tc>
                <w:tcPr>
                  <w:tcW w:w="1085" w:type="dxa"/>
                  <w:vAlign w:val="center"/>
                </w:tcPr>
                <w:p w14:paraId="520AB874">
                  <w:pPr>
                    <w:widowControl/>
                    <w:adjustRightInd w:val="0"/>
                    <w:snapToGrid w:val="0"/>
                    <w:jc w:val="center"/>
                    <w:rPr>
                      <w:kern w:val="0"/>
                      <w:szCs w:val="21"/>
                    </w:rPr>
                  </w:pPr>
                  <w:r>
                    <w:rPr>
                      <w:kern w:val="0"/>
                      <w:szCs w:val="21"/>
                    </w:rPr>
                    <w:t>/</w:t>
                  </w:r>
                </w:p>
              </w:tc>
              <w:tc>
                <w:tcPr>
                  <w:tcW w:w="827" w:type="dxa"/>
                  <w:vAlign w:val="center"/>
                </w:tcPr>
                <w:p w14:paraId="520AB875">
                  <w:pPr>
                    <w:widowControl/>
                    <w:adjustRightInd w:val="0"/>
                    <w:snapToGrid w:val="0"/>
                    <w:jc w:val="center"/>
                    <w:rPr>
                      <w:kern w:val="0"/>
                      <w:szCs w:val="21"/>
                    </w:rPr>
                  </w:pPr>
                  <w:r>
                    <w:rPr>
                      <w:kern w:val="0"/>
                      <w:szCs w:val="21"/>
                    </w:rPr>
                    <w:t>/</w:t>
                  </w:r>
                </w:p>
              </w:tc>
              <w:tc>
                <w:tcPr>
                  <w:tcW w:w="1100" w:type="dxa"/>
                  <w:vAlign w:val="center"/>
                </w:tcPr>
                <w:p w14:paraId="520AB876">
                  <w:pPr>
                    <w:widowControl/>
                    <w:adjustRightInd w:val="0"/>
                    <w:snapToGrid w:val="0"/>
                    <w:jc w:val="center"/>
                    <w:rPr>
                      <w:kern w:val="0"/>
                      <w:szCs w:val="21"/>
                    </w:rPr>
                  </w:pPr>
                  <w:r>
                    <w:rPr>
                      <w:kern w:val="0"/>
                      <w:szCs w:val="21"/>
                    </w:rPr>
                    <w:t>/</w:t>
                  </w:r>
                </w:p>
              </w:tc>
              <w:tc>
                <w:tcPr>
                  <w:tcW w:w="1116" w:type="dxa"/>
                  <w:vAlign w:val="center"/>
                </w:tcPr>
                <w:p w14:paraId="520AB877">
                  <w:pPr>
                    <w:widowControl/>
                    <w:adjustRightInd w:val="0"/>
                    <w:snapToGrid w:val="0"/>
                    <w:jc w:val="center"/>
                    <w:rPr>
                      <w:kern w:val="0"/>
                      <w:szCs w:val="21"/>
                    </w:rPr>
                  </w:pPr>
                  <w:r>
                    <w:rPr>
                      <w:kern w:val="0"/>
                      <w:szCs w:val="21"/>
                    </w:rPr>
                    <w:t>/</w:t>
                  </w:r>
                </w:p>
              </w:tc>
              <w:tc>
                <w:tcPr>
                  <w:tcW w:w="943" w:type="dxa"/>
                  <w:vAlign w:val="center"/>
                </w:tcPr>
                <w:p w14:paraId="520AB878">
                  <w:pPr>
                    <w:widowControl/>
                    <w:adjustRightInd w:val="0"/>
                    <w:snapToGrid w:val="0"/>
                    <w:jc w:val="center"/>
                    <w:rPr>
                      <w:kern w:val="0"/>
                      <w:szCs w:val="21"/>
                    </w:rPr>
                  </w:pPr>
                  <w:r>
                    <w:rPr>
                      <w:rFonts w:eastAsia="等线"/>
                      <w:szCs w:val="21"/>
                    </w:rPr>
                    <w:t>1000</w:t>
                  </w:r>
                </w:p>
              </w:tc>
              <w:tc>
                <w:tcPr>
                  <w:tcW w:w="1396" w:type="dxa"/>
                  <w:vAlign w:val="center"/>
                </w:tcPr>
                <w:p w14:paraId="520AB879">
                  <w:pPr>
                    <w:widowControl/>
                    <w:adjustRightInd w:val="0"/>
                    <w:snapToGrid w:val="0"/>
                    <w:jc w:val="center"/>
                    <w:rPr>
                      <w:kern w:val="0"/>
                      <w:szCs w:val="21"/>
                    </w:rPr>
                  </w:pPr>
                  <w:r>
                    <w:rPr>
                      <w:rFonts w:eastAsia="等线"/>
                      <w:szCs w:val="21"/>
                    </w:rPr>
                    <w:t>0.0206</w:t>
                  </w:r>
                </w:p>
              </w:tc>
            </w:tr>
            <w:tr w14:paraId="520AB88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7B">
                  <w:pPr>
                    <w:widowControl/>
                    <w:adjustRightInd w:val="0"/>
                    <w:snapToGrid w:val="0"/>
                    <w:jc w:val="center"/>
                    <w:rPr>
                      <w:kern w:val="0"/>
                      <w:szCs w:val="21"/>
                    </w:rPr>
                  </w:pPr>
                </w:p>
              </w:tc>
              <w:tc>
                <w:tcPr>
                  <w:tcW w:w="749" w:type="dxa"/>
                  <w:vMerge w:val="continue"/>
                  <w:vAlign w:val="center"/>
                </w:tcPr>
                <w:p w14:paraId="520AB87C">
                  <w:pPr>
                    <w:adjustRightInd w:val="0"/>
                    <w:snapToGrid w:val="0"/>
                    <w:jc w:val="center"/>
                    <w:rPr>
                      <w:kern w:val="0"/>
                      <w:szCs w:val="21"/>
                    </w:rPr>
                  </w:pPr>
                </w:p>
              </w:tc>
              <w:tc>
                <w:tcPr>
                  <w:tcW w:w="1035" w:type="dxa"/>
                  <w:vMerge w:val="continue"/>
                  <w:vAlign w:val="center"/>
                </w:tcPr>
                <w:p w14:paraId="520AB87D">
                  <w:pPr>
                    <w:widowControl/>
                    <w:adjustRightInd w:val="0"/>
                    <w:snapToGrid w:val="0"/>
                    <w:jc w:val="center"/>
                    <w:rPr>
                      <w:kern w:val="0"/>
                      <w:szCs w:val="21"/>
                    </w:rPr>
                  </w:pPr>
                </w:p>
              </w:tc>
              <w:tc>
                <w:tcPr>
                  <w:tcW w:w="1326" w:type="dxa"/>
                  <w:vAlign w:val="center"/>
                </w:tcPr>
                <w:p w14:paraId="520AB87E">
                  <w:pPr>
                    <w:widowControl/>
                    <w:adjustRightInd w:val="0"/>
                    <w:snapToGrid w:val="0"/>
                    <w:jc w:val="center"/>
                    <w:rPr>
                      <w:kern w:val="0"/>
                      <w:szCs w:val="21"/>
                    </w:rPr>
                  </w:pPr>
                  <w:r>
                    <w:rPr>
                      <w:rFonts w:hint="eastAsia"/>
                      <w:szCs w:val="21"/>
                    </w:rPr>
                    <w:t>喷丸</w:t>
                  </w:r>
                </w:p>
              </w:tc>
              <w:tc>
                <w:tcPr>
                  <w:tcW w:w="828" w:type="dxa"/>
                  <w:vAlign w:val="center"/>
                </w:tcPr>
                <w:p w14:paraId="520AB87F">
                  <w:pPr>
                    <w:widowControl/>
                    <w:adjustRightInd w:val="0"/>
                    <w:snapToGrid w:val="0"/>
                    <w:jc w:val="center"/>
                    <w:rPr>
                      <w:kern w:val="0"/>
                      <w:szCs w:val="21"/>
                    </w:rPr>
                  </w:pPr>
                  <w:r>
                    <w:rPr>
                      <w:kern w:val="0"/>
                      <w:szCs w:val="21"/>
                    </w:rPr>
                    <w:t>/</w:t>
                  </w:r>
                </w:p>
              </w:tc>
              <w:tc>
                <w:tcPr>
                  <w:tcW w:w="1100" w:type="dxa"/>
                  <w:vAlign w:val="center"/>
                </w:tcPr>
                <w:p w14:paraId="520AB880">
                  <w:pPr>
                    <w:widowControl/>
                    <w:adjustRightInd w:val="0"/>
                    <w:snapToGrid w:val="0"/>
                    <w:jc w:val="center"/>
                    <w:rPr>
                      <w:kern w:val="0"/>
                      <w:szCs w:val="21"/>
                    </w:rPr>
                  </w:pPr>
                  <w:r>
                    <w:rPr>
                      <w:kern w:val="0"/>
                      <w:szCs w:val="21"/>
                    </w:rPr>
                    <w:t>/</w:t>
                  </w:r>
                </w:p>
              </w:tc>
              <w:tc>
                <w:tcPr>
                  <w:tcW w:w="1085" w:type="dxa"/>
                  <w:vAlign w:val="center"/>
                </w:tcPr>
                <w:p w14:paraId="520AB881">
                  <w:pPr>
                    <w:widowControl/>
                    <w:adjustRightInd w:val="0"/>
                    <w:snapToGrid w:val="0"/>
                    <w:jc w:val="center"/>
                    <w:rPr>
                      <w:kern w:val="0"/>
                      <w:szCs w:val="21"/>
                    </w:rPr>
                  </w:pPr>
                  <w:r>
                    <w:rPr>
                      <w:kern w:val="0"/>
                      <w:szCs w:val="21"/>
                    </w:rPr>
                    <w:t>/</w:t>
                  </w:r>
                </w:p>
              </w:tc>
              <w:tc>
                <w:tcPr>
                  <w:tcW w:w="827" w:type="dxa"/>
                  <w:vAlign w:val="center"/>
                </w:tcPr>
                <w:p w14:paraId="520AB882">
                  <w:pPr>
                    <w:widowControl/>
                    <w:adjustRightInd w:val="0"/>
                    <w:snapToGrid w:val="0"/>
                    <w:jc w:val="center"/>
                    <w:rPr>
                      <w:kern w:val="0"/>
                      <w:szCs w:val="21"/>
                    </w:rPr>
                  </w:pPr>
                  <w:r>
                    <w:rPr>
                      <w:kern w:val="0"/>
                      <w:szCs w:val="21"/>
                    </w:rPr>
                    <w:t>/</w:t>
                  </w:r>
                </w:p>
              </w:tc>
              <w:tc>
                <w:tcPr>
                  <w:tcW w:w="1100" w:type="dxa"/>
                  <w:vAlign w:val="center"/>
                </w:tcPr>
                <w:p w14:paraId="520AB883">
                  <w:pPr>
                    <w:widowControl/>
                    <w:adjustRightInd w:val="0"/>
                    <w:snapToGrid w:val="0"/>
                    <w:jc w:val="center"/>
                    <w:rPr>
                      <w:kern w:val="0"/>
                      <w:szCs w:val="21"/>
                    </w:rPr>
                  </w:pPr>
                  <w:r>
                    <w:rPr>
                      <w:kern w:val="0"/>
                      <w:szCs w:val="21"/>
                    </w:rPr>
                    <w:t>/</w:t>
                  </w:r>
                </w:p>
              </w:tc>
              <w:tc>
                <w:tcPr>
                  <w:tcW w:w="1116" w:type="dxa"/>
                  <w:vAlign w:val="center"/>
                </w:tcPr>
                <w:p w14:paraId="520AB884">
                  <w:pPr>
                    <w:widowControl/>
                    <w:adjustRightInd w:val="0"/>
                    <w:snapToGrid w:val="0"/>
                    <w:jc w:val="center"/>
                    <w:rPr>
                      <w:kern w:val="0"/>
                      <w:szCs w:val="21"/>
                    </w:rPr>
                  </w:pPr>
                  <w:r>
                    <w:rPr>
                      <w:kern w:val="0"/>
                      <w:szCs w:val="21"/>
                    </w:rPr>
                    <w:t>/</w:t>
                  </w:r>
                </w:p>
              </w:tc>
              <w:tc>
                <w:tcPr>
                  <w:tcW w:w="943" w:type="dxa"/>
                  <w:vAlign w:val="center"/>
                </w:tcPr>
                <w:p w14:paraId="520AB885">
                  <w:pPr>
                    <w:widowControl/>
                    <w:adjustRightInd w:val="0"/>
                    <w:snapToGrid w:val="0"/>
                    <w:jc w:val="center"/>
                    <w:rPr>
                      <w:kern w:val="0"/>
                      <w:szCs w:val="21"/>
                    </w:rPr>
                  </w:pPr>
                  <w:r>
                    <w:rPr>
                      <w:rFonts w:eastAsia="等线"/>
                      <w:szCs w:val="21"/>
                    </w:rPr>
                    <w:t>600</w:t>
                  </w:r>
                </w:p>
              </w:tc>
              <w:tc>
                <w:tcPr>
                  <w:tcW w:w="1396" w:type="dxa"/>
                  <w:vAlign w:val="center"/>
                </w:tcPr>
                <w:p w14:paraId="520AB886">
                  <w:pPr>
                    <w:widowControl/>
                    <w:adjustRightInd w:val="0"/>
                    <w:snapToGrid w:val="0"/>
                    <w:jc w:val="center"/>
                    <w:rPr>
                      <w:kern w:val="0"/>
                      <w:szCs w:val="21"/>
                    </w:rPr>
                  </w:pPr>
                  <w:r>
                    <w:rPr>
                      <w:rFonts w:eastAsia="等线"/>
                      <w:szCs w:val="21"/>
                    </w:rPr>
                    <w:t>0.0002</w:t>
                  </w:r>
                </w:p>
              </w:tc>
            </w:tr>
            <w:tr w14:paraId="520AB89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88">
                  <w:pPr>
                    <w:widowControl/>
                    <w:adjustRightInd w:val="0"/>
                    <w:snapToGrid w:val="0"/>
                    <w:jc w:val="center"/>
                    <w:rPr>
                      <w:kern w:val="0"/>
                      <w:szCs w:val="21"/>
                    </w:rPr>
                  </w:pPr>
                </w:p>
              </w:tc>
              <w:tc>
                <w:tcPr>
                  <w:tcW w:w="749" w:type="dxa"/>
                  <w:vMerge w:val="continue"/>
                  <w:vAlign w:val="center"/>
                </w:tcPr>
                <w:p w14:paraId="520AB889">
                  <w:pPr>
                    <w:adjustRightInd w:val="0"/>
                    <w:snapToGrid w:val="0"/>
                    <w:jc w:val="center"/>
                    <w:rPr>
                      <w:kern w:val="0"/>
                      <w:szCs w:val="21"/>
                    </w:rPr>
                  </w:pPr>
                </w:p>
              </w:tc>
              <w:tc>
                <w:tcPr>
                  <w:tcW w:w="1035" w:type="dxa"/>
                  <w:vMerge w:val="continue"/>
                  <w:vAlign w:val="center"/>
                </w:tcPr>
                <w:p w14:paraId="520AB88A">
                  <w:pPr>
                    <w:widowControl/>
                    <w:adjustRightInd w:val="0"/>
                    <w:snapToGrid w:val="0"/>
                    <w:jc w:val="center"/>
                    <w:rPr>
                      <w:kern w:val="0"/>
                      <w:szCs w:val="21"/>
                    </w:rPr>
                  </w:pPr>
                </w:p>
              </w:tc>
              <w:tc>
                <w:tcPr>
                  <w:tcW w:w="1326" w:type="dxa"/>
                  <w:vAlign w:val="center"/>
                </w:tcPr>
                <w:p w14:paraId="520AB88B">
                  <w:pPr>
                    <w:widowControl/>
                    <w:adjustRightInd w:val="0"/>
                    <w:snapToGrid w:val="0"/>
                    <w:jc w:val="center"/>
                    <w:rPr>
                      <w:kern w:val="0"/>
                      <w:szCs w:val="21"/>
                    </w:rPr>
                  </w:pPr>
                  <w:r>
                    <w:rPr>
                      <w:rFonts w:hint="eastAsia"/>
                      <w:szCs w:val="21"/>
                    </w:rPr>
                    <w:t>激光清洗</w:t>
                  </w:r>
                </w:p>
              </w:tc>
              <w:tc>
                <w:tcPr>
                  <w:tcW w:w="828" w:type="dxa"/>
                  <w:vAlign w:val="center"/>
                </w:tcPr>
                <w:p w14:paraId="520AB88C">
                  <w:pPr>
                    <w:widowControl/>
                    <w:adjustRightInd w:val="0"/>
                    <w:snapToGrid w:val="0"/>
                    <w:jc w:val="center"/>
                    <w:rPr>
                      <w:kern w:val="0"/>
                      <w:szCs w:val="21"/>
                    </w:rPr>
                  </w:pPr>
                  <w:r>
                    <w:rPr>
                      <w:kern w:val="0"/>
                      <w:szCs w:val="21"/>
                    </w:rPr>
                    <w:t>/</w:t>
                  </w:r>
                </w:p>
              </w:tc>
              <w:tc>
                <w:tcPr>
                  <w:tcW w:w="1100" w:type="dxa"/>
                  <w:vAlign w:val="center"/>
                </w:tcPr>
                <w:p w14:paraId="520AB88D">
                  <w:pPr>
                    <w:widowControl/>
                    <w:adjustRightInd w:val="0"/>
                    <w:snapToGrid w:val="0"/>
                    <w:jc w:val="center"/>
                    <w:rPr>
                      <w:kern w:val="0"/>
                      <w:szCs w:val="21"/>
                    </w:rPr>
                  </w:pPr>
                  <w:r>
                    <w:rPr>
                      <w:kern w:val="0"/>
                      <w:szCs w:val="21"/>
                    </w:rPr>
                    <w:t>/</w:t>
                  </w:r>
                </w:p>
              </w:tc>
              <w:tc>
                <w:tcPr>
                  <w:tcW w:w="1085" w:type="dxa"/>
                  <w:vAlign w:val="center"/>
                </w:tcPr>
                <w:p w14:paraId="520AB88E">
                  <w:pPr>
                    <w:widowControl/>
                    <w:adjustRightInd w:val="0"/>
                    <w:snapToGrid w:val="0"/>
                    <w:jc w:val="center"/>
                    <w:rPr>
                      <w:kern w:val="0"/>
                      <w:szCs w:val="21"/>
                    </w:rPr>
                  </w:pPr>
                  <w:r>
                    <w:rPr>
                      <w:kern w:val="0"/>
                      <w:szCs w:val="21"/>
                    </w:rPr>
                    <w:t>/</w:t>
                  </w:r>
                </w:p>
              </w:tc>
              <w:tc>
                <w:tcPr>
                  <w:tcW w:w="827" w:type="dxa"/>
                  <w:vAlign w:val="center"/>
                </w:tcPr>
                <w:p w14:paraId="520AB88F">
                  <w:pPr>
                    <w:widowControl/>
                    <w:adjustRightInd w:val="0"/>
                    <w:snapToGrid w:val="0"/>
                    <w:jc w:val="center"/>
                    <w:rPr>
                      <w:kern w:val="0"/>
                      <w:szCs w:val="21"/>
                    </w:rPr>
                  </w:pPr>
                  <w:r>
                    <w:rPr>
                      <w:kern w:val="0"/>
                      <w:szCs w:val="21"/>
                    </w:rPr>
                    <w:t>/</w:t>
                  </w:r>
                </w:p>
              </w:tc>
              <w:tc>
                <w:tcPr>
                  <w:tcW w:w="1100" w:type="dxa"/>
                  <w:vAlign w:val="center"/>
                </w:tcPr>
                <w:p w14:paraId="520AB890">
                  <w:pPr>
                    <w:widowControl/>
                    <w:adjustRightInd w:val="0"/>
                    <w:snapToGrid w:val="0"/>
                    <w:jc w:val="center"/>
                    <w:rPr>
                      <w:kern w:val="0"/>
                      <w:szCs w:val="21"/>
                    </w:rPr>
                  </w:pPr>
                  <w:r>
                    <w:rPr>
                      <w:kern w:val="0"/>
                      <w:szCs w:val="21"/>
                    </w:rPr>
                    <w:t>/</w:t>
                  </w:r>
                </w:p>
              </w:tc>
              <w:tc>
                <w:tcPr>
                  <w:tcW w:w="1116" w:type="dxa"/>
                  <w:vAlign w:val="center"/>
                </w:tcPr>
                <w:p w14:paraId="520AB891">
                  <w:pPr>
                    <w:widowControl/>
                    <w:adjustRightInd w:val="0"/>
                    <w:snapToGrid w:val="0"/>
                    <w:jc w:val="center"/>
                    <w:rPr>
                      <w:kern w:val="0"/>
                      <w:szCs w:val="21"/>
                    </w:rPr>
                  </w:pPr>
                  <w:r>
                    <w:rPr>
                      <w:kern w:val="0"/>
                      <w:szCs w:val="21"/>
                    </w:rPr>
                    <w:t>/</w:t>
                  </w:r>
                </w:p>
              </w:tc>
              <w:tc>
                <w:tcPr>
                  <w:tcW w:w="943" w:type="dxa"/>
                  <w:vAlign w:val="center"/>
                </w:tcPr>
                <w:p w14:paraId="520AB892">
                  <w:pPr>
                    <w:widowControl/>
                    <w:adjustRightInd w:val="0"/>
                    <w:snapToGrid w:val="0"/>
                    <w:jc w:val="center"/>
                    <w:rPr>
                      <w:kern w:val="0"/>
                      <w:szCs w:val="21"/>
                    </w:rPr>
                  </w:pPr>
                  <w:r>
                    <w:rPr>
                      <w:rFonts w:eastAsia="等线"/>
                      <w:szCs w:val="21"/>
                    </w:rPr>
                    <w:t>1000</w:t>
                  </w:r>
                </w:p>
              </w:tc>
              <w:tc>
                <w:tcPr>
                  <w:tcW w:w="1396" w:type="dxa"/>
                  <w:vAlign w:val="center"/>
                </w:tcPr>
                <w:p w14:paraId="520AB893">
                  <w:pPr>
                    <w:widowControl/>
                    <w:adjustRightInd w:val="0"/>
                    <w:snapToGrid w:val="0"/>
                    <w:jc w:val="center"/>
                    <w:rPr>
                      <w:kern w:val="0"/>
                      <w:szCs w:val="21"/>
                    </w:rPr>
                  </w:pPr>
                  <w:r>
                    <w:rPr>
                      <w:rFonts w:eastAsia="等线"/>
                      <w:szCs w:val="21"/>
                    </w:rPr>
                    <w:t>0.0262</w:t>
                  </w:r>
                </w:p>
              </w:tc>
            </w:tr>
            <w:tr w14:paraId="520AB8A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95">
                  <w:pPr>
                    <w:widowControl/>
                    <w:adjustRightInd w:val="0"/>
                    <w:snapToGrid w:val="0"/>
                    <w:jc w:val="center"/>
                    <w:rPr>
                      <w:kern w:val="0"/>
                      <w:szCs w:val="21"/>
                    </w:rPr>
                  </w:pPr>
                </w:p>
              </w:tc>
              <w:tc>
                <w:tcPr>
                  <w:tcW w:w="749" w:type="dxa"/>
                  <w:vMerge w:val="continue"/>
                  <w:vAlign w:val="center"/>
                </w:tcPr>
                <w:p w14:paraId="520AB896">
                  <w:pPr>
                    <w:adjustRightInd w:val="0"/>
                    <w:snapToGrid w:val="0"/>
                    <w:jc w:val="center"/>
                    <w:rPr>
                      <w:kern w:val="0"/>
                      <w:szCs w:val="21"/>
                    </w:rPr>
                  </w:pPr>
                </w:p>
              </w:tc>
              <w:tc>
                <w:tcPr>
                  <w:tcW w:w="1035" w:type="dxa"/>
                  <w:vMerge w:val="continue"/>
                  <w:vAlign w:val="center"/>
                </w:tcPr>
                <w:p w14:paraId="520AB897">
                  <w:pPr>
                    <w:widowControl/>
                    <w:adjustRightInd w:val="0"/>
                    <w:snapToGrid w:val="0"/>
                    <w:jc w:val="center"/>
                    <w:rPr>
                      <w:kern w:val="0"/>
                      <w:szCs w:val="21"/>
                    </w:rPr>
                  </w:pPr>
                </w:p>
              </w:tc>
              <w:tc>
                <w:tcPr>
                  <w:tcW w:w="1326" w:type="dxa"/>
                  <w:vMerge w:val="restart"/>
                  <w:vAlign w:val="center"/>
                </w:tcPr>
                <w:p w14:paraId="520AB898">
                  <w:pPr>
                    <w:widowControl/>
                    <w:adjustRightInd w:val="0"/>
                    <w:snapToGrid w:val="0"/>
                    <w:jc w:val="center"/>
                    <w:rPr>
                      <w:kern w:val="0"/>
                      <w:szCs w:val="21"/>
                    </w:rPr>
                  </w:pPr>
                  <w:r>
                    <w:rPr>
                      <w:rFonts w:hint="eastAsia"/>
                      <w:szCs w:val="21"/>
                    </w:rPr>
                    <w:t>1208</w:t>
                  </w:r>
                  <w:r>
                    <w:rPr>
                      <w:rFonts w:hint="eastAsia"/>
                      <w:kern w:val="0"/>
                      <w:szCs w:val="21"/>
                    </w:rPr>
                    <w:t>#厂房</w:t>
                  </w:r>
                  <w:r>
                    <w:rPr>
                      <w:rFonts w:hint="eastAsia"/>
                      <w:szCs w:val="21"/>
                    </w:rPr>
                    <w:t>钎焊、氩弧焊、切割</w:t>
                  </w:r>
                </w:p>
              </w:tc>
              <w:tc>
                <w:tcPr>
                  <w:tcW w:w="828" w:type="dxa"/>
                  <w:vAlign w:val="center"/>
                </w:tcPr>
                <w:p w14:paraId="520AB899">
                  <w:pPr>
                    <w:widowControl/>
                    <w:adjustRightInd w:val="0"/>
                    <w:snapToGrid w:val="0"/>
                    <w:jc w:val="center"/>
                    <w:rPr>
                      <w:kern w:val="0"/>
                      <w:szCs w:val="21"/>
                    </w:rPr>
                  </w:pPr>
                  <w:r>
                    <w:rPr>
                      <w:kern w:val="0"/>
                      <w:szCs w:val="21"/>
                    </w:rPr>
                    <w:t>/</w:t>
                  </w:r>
                </w:p>
              </w:tc>
              <w:tc>
                <w:tcPr>
                  <w:tcW w:w="1100" w:type="dxa"/>
                  <w:vAlign w:val="center"/>
                </w:tcPr>
                <w:p w14:paraId="520AB89A">
                  <w:pPr>
                    <w:widowControl/>
                    <w:adjustRightInd w:val="0"/>
                    <w:snapToGrid w:val="0"/>
                    <w:jc w:val="center"/>
                    <w:rPr>
                      <w:kern w:val="0"/>
                      <w:szCs w:val="21"/>
                    </w:rPr>
                  </w:pPr>
                  <w:r>
                    <w:rPr>
                      <w:kern w:val="0"/>
                      <w:szCs w:val="21"/>
                    </w:rPr>
                    <w:t>/</w:t>
                  </w:r>
                </w:p>
              </w:tc>
              <w:tc>
                <w:tcPr>
                  <w:tcW w:w="1085" w:type="dxa"/>
                  <w:vAlign w:val="center"/>
                </w:tcPr>
                <w:p w14:paraId="520AB89B">
                  <w:pPr>
                    <w:widowControl/>
                    <w:adjustRightInd w:val="0"/>
                    <w:snapToGrid w:val="0"/>
                    <w:jc w:val="center"/>
                    <w:rPr>
                      <w:kern w:val="0"/>
                      <w:szCs w:val="21"/>
                    </w:rPr>
                  </w:pPr>
                  <w:r>
                    <w:rPr>
                      <w:kern w:val="0"/>
                      <w:szCs w:val="21"/>
                    </w:rPr>
                    <w:t>/</w:t>
                  </w:r>
                </w:p>
              </w:tc>
              <w:tc>
                <w:tcPr>
                  <w:tcW w:w="827" w:type="dxa"/>
                  <w:vAlign w:val="center"/>
                </w:tcPr>
                <w:p w14:paraId="520AB89C">
                  <w:pPr>
                    <w:widowControl/>
                    <w:adjustRightInd w:val="0"/>
                    <w:snapToGrid w:val="0"/>
                    <w:jc w:val="center"/>
                    <w:rPr>
                      <w:kern w:val="0"/>
                      <w:szCs w:val="21"/>
                    </w:rPr>
                  </w:pPr>
                  <w:r>
                    <w:rPr>
                      <w:kern w:val="0"/>
                      <w:szCs w:val="21"/>
                    </w:rPr>
                    <w:t>/</w:t>
                  </w:r>
                </w:p>
              </w:tc>
              <w:tc>
                <w:tcPr>
                  <w:tcW w:w="1100" w:type="dxa"/>
                  <w:vAlign w:val="center"/>
                </w:tcPr>
                <w:p w14:paraId="520AB89D">
                  <w:pPr>
                    <w:widowControl/>
                    <w:adjustRightInd w:val="0"/>
                    <w:snapToGrid w:val="0"/>
                    <w:jc w:val="center"/>
                    <w:rPr>
                      <w:kern w:val="0"/>
                      <w:szCs w:val="21"/>
                    </w:rPr>
                  </w:pPr>
                  <w:r>
                    <w:rPr>
                      <w:kern w:val="0"/>
                      <w:szCs w:val="21"/>
                    </w:rPr>
                    <w:t>/</w:t>
                  </w:r>
                </w:p>
              </w:tc>
              <w:tc>
                <w:tcPr>
                  <w:tcW w:w="1116" w:type="dxa"/>
                  <w:vAlign w:val="center"/>
                </w:tcPr>
                <w:p w14:paraId="520AB89E">
                  <w:pPr>
                    <w:widowControl/>
                    <w:adjustRightInd w:val="0"/>
                    <w:snapToGrid w:val="0"/>
                    <w:jc w:val="center"/>
                    <w:rPr>
                      <w:kern w:val="0"/>
                      <w:szCs w:val="21"/>
                    </w:rPr>
                  </w:pPr>
                  <w:r>
                    <w:rPr>
                      <w:kern w:val="0"/>
                      <w:szCs w:val="21"/>
                    </w:rPr>
                    <w:t>/</w:t>
                  </w:r>
                </w:p>
              </w:tc>
              <w:tc>
                <w:tcPr>
                  <w:tcW w:w="943" w:type="dxa"/>
                  <w:vAlign w:val="center"/>
                </w:tcPr>
                <w:p w14:paraId="520AB89F">
                  <w:pPr>
                    <w:widowControl/>
                    <w:adjustRightInd w:val="0"/>
                    <w:snapToGrid w:val="0"/>
                    <w:jc w:val="center"/>
                    <w:rPr>
                      <w:kern w:val="0"/>
                      <w:szCs w:val="21"/>
                    </w:rPr>
                  </w:pPr>
                  <w:r>
                    <w:rPr>
                      <w:rFonts w:eastAsia="等线"/>
                      <w:szCs w:val="21"/>
                    </w:rPr>
                    <w:t>1000</w:t>
                  </w:r>
                </w:p>
              </w:tc>
              <w:tc>
                <w:tcPr>
                  <w:tcW w:w="1396" w:type="dxa"/>
                  <w:vAlign w:val="center"/>
                </w:tcPr>
                <w:p w14:paraId="520AB8A0">
                  <w:pPr>
                    <w:widowControl/>
                    <w:adjustRightInd w:val="0"/>
                    <w:snapToGrid w:val="0"/>
                    <w:jc w:val="center"/>
                    <w:rPr>
                      <w:kern w:val="0"/>
                      <w:szCs w:val="21"/>
                    </w:rPr>
                  </w:pPr>
                  <w:r>
                    <w:rPr>
                      <w:rFonts w:eastAsia="等线"/>
                      <w:szCs w:val="21"/>
                    </w:rPr>
                    <w:t>0.0078</w:t>
                  </w:r>
                </w:p>
              </w:tc>
            </w:tr>
            <w:tr w14:paraId="520AB8A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01" w:type="dxa"/>
                  <w:vMerge w:val="continue"/>
                  <w:vAlign w:val="center"/>
                </w:tcPr>
                <w:p w14:paraId="520AB8A2">
                  <w:pPr>
                    <w:widowControl/>
                    <w:adjustRightInd w:val="0"/>
                    <w:snapToGrid w:val="0"/>
                    <w:jc w:val="center"/>
                    <w:rPr>
                      <w:kern w:val="0"/>
                      <w:szCs w:val="21"/>
                    </w:rPr>
                  </w:pPr>
                </w:p>
              </w:tc>
              <w:tc>
                <w:tcPr>
                  <w:tcW w:w="749" w:type="dxa"/>
                  <w:vMerge w:val="continue"/>
                  <w:vAlign w:val="center"/>
                </w:tcPr>
                <w:p w14:paraId="520AB8A3">
                  <w:pPr>
                    <w:widowControl/>
                    <w:adjustRightInd w:val="0"/>
                    <w:snapToGrid w:val="0"/>
                    <w:jc w:val="center"/>
                    <w:rPr>
                      <w:kern w:val="0"/>
                      <w:szCs w:val="21"/>
                    </w:rPr>
                  </w:pPr>
                </w:p>
              </w:tc>
              <w:tc>
                <w:tcPr>
                  <w:tcW w:w="1035" w:type="dxa"/>
                  <w:vAlign w:val="center"/>
                </w:tcPr>
                <w:p w14:paraId="520AB8A4">
                  <w:pPr>
                    <w:widowControl/>
                    <w:adjustRightInd w:val="0"/>
                    <w:snapToGrid w:val="0"/>
                    <w:jc w:val="center"/>
                    <w:rPr>
                      <w:kern w:val="0"/>
                      <w:szCs w:val="21"/>
                    </w:rPr>
                  </w:pPr>
                  <w:r>
                    <w:rPr>
                      <w:rFonts w:hint="eastAsia"/>
                      <w:szCs w:val="21"/>
                    </w:rPr>
                    <w:t>锡及其化合物</w:t>
                  </w:r>
                </w:p>
              </w:tc>
              <w:tc>
                <w:tcPr>
                  <w:tcW w:w="1326" w:type="dxa"/>
                  <w:vMerge w:val="continue"/>
                  <w:vAlign w:val="center"/>
                </w:tcPr>
                <w:p w14:paraId="520AB8A5">
                  <w:pPr>
                    <w:widowControl/>
                    <w:adjustRightInd w:val="0"/>
                    <w:snapToGrid w:val="0"/>
                    <w:jc w:val="center"/>
                    <w:rPr>
                      <w:kern w:val="0"/>
                      <w:szCs w:val="21"/>
                    </w:rPr>
                  </w:pPr>
                </w:p>
              </w:tc>
              <w:tc>
                <w:tcPr>
                  <w:tcW w:w="828" w:type="dxa"/>
                  <w:vAlign w:val="center"/>
                </w:tcPr>
                <w:p w14:paraId="520AB8A6">
                  <w:pPr>
                    <w:widowControl/>
                    <w:adjustRightInd w:val="0"/>
                    <w:snapToGrid w:val="0"/>
                    <w:jc w:val="center"/>
                    <w:rPr>
                      <w:kern w:val="0"/>
                      <w:szCs w:val="21"/>
                    </w:rPr>
                  </w:pPr>
                  <w:r>
                    <w:rPr>
                      <w:kern w:val="0"/>
                      <w:szCs w:val="21"/>
                    </w:rPr>
                    <w:t>/</w:t>
                  </w:r>
                </w:p>
              </w:tc>
              <w:tc>
                <w:tcPr>
                  <w:tcW w:w="1100" w:type="dxa"/>
                  <w:vAlign w:val="center"/>
                </w:tcPr>
                <w:p w14:paraId="520AB8A7">
                  <w:pPr>
                    <w:widowControl/>
                    <w:adjustRightInd w:val="0"/>
                    <w:snapToGrid w:val="0"/>
                    <w:jc w:val="center"/>
                    <w:rPr>
                      <w:kern w:val="0"/>
                      <w:szCs w:val="21"/>
                    </w:rPr>
                  </w:pPr>
                  <w:r>
                    <w:rPr>
                      <w:kern w:val="0"/>
                      <w:szCs w:val="21"/>
                    </w:rPr>
                    <w:t>/</w:t>
                  </w:r>
                </w:p>
              </w:tc>
              <w:tc>
                <w:tcPr>
                  <w:tcW w:w="1085" w:type="dxa"/>
                  <w:vAlign w:val="center"/>
                </w:tcPr>
                <w:p w14:paraId="520AB8A8">
                  <w:pPr>
                    <w:widowControl/>
                    <w:adjustRightInd w:val="0"/>
                    <w:snapToGrid w:val="0"/>
                    <w:jc w:val="center"/>
                    <w:rPr>
                      <w:kern w:val="0"/>
                      <w:szCs w:val="21"/>
                    </w:rPr>
                  </w:pPr>
                  <w:r>
                    <w:rPr>
                      <w:kern w:val="0"/>
                      <w:szCs w:val="21"/>
                    </w:rPr>
                    <w:t>/</w:t>
                  </w:r>
                </w:p>
              </w:tc>
              <w:tc>
                <w:tcPr>
                  <w:tcW w:w="827" w:type="dxa"/>
                  <w:vAlign w:val="center"/>
                </w:tcPr>
                <w:p w14:paraId="520AB8A9">
                  <w:pPr>
                    <w:widowControl/>
                    <w:adjustRightInd w:val="0"/>
                    <w:snapToGrid w:val="0"/>
                    <w:jc w:val="center"/>
                    <w:rPr>
                      <w:kern w:val="0"/>
                      <w:szCs w:val="21"/>
                    </w:rPr>
                  </w:pPr>
                  <w:r>
                    <w:rPr>
                      <w:kern w:val="0"/>
                      <w:szCs w:val="21"/>
                    </w:rPr>
                    <w:t>/</w:t>
                  </w:r>
                </w:p>
              </w:tc>
              <w:tc>
                <w:tcPr>
                  <w:tcW w:w="1100" w:type="dxa"/>
                  <w:vAlign w:val="center"/>
                </w:tcPr>
                <w:p w14:paraId="520AB8AA">
                  <w:pPr>
                    <w:widowControl/>
                    <w:adjustRightInd w:val="0"/>
                    <w:snapToGrid w:val="0"/>
                    <w:jc w:val="center"/>
                    <w:rPr>
                      <w:kern w:val="0"/>
                      <w:szCs w:val="21"/>
                    </w:rPr>
                  </w:pPr>
                  <w:r>
                    <w:rPr>
                      <w:kern w:val="0"/>
                      <w:szCs w:val="21"/>
                    </w:rPr>
                    <w:t>/</w:t>
                  </w:r>
                </w:p>
              </w:tc>
              <w:tc>
                <w:tcPr>
                  <w:tcW w:w="1116" w:type="dxa"/>
                  <w:vAlign w:val="center"/>
                </w:tcPr>
                <w:p w14:paraId="520AB8AB">
                  <w:pPr>
                    <w:widowControl/>
                    <w:adjustRightInd w:val="0"/>
                    <w:snapToGrid w:val="0"/>
                    <w:jc w:val="center"/>
                    <w:rPr>
                      <w:kern w:val="0"/>
                      <w:szCs w:val="21"/>
                    </w:rPr>
                  </w:pPr>
                  <w:r>
                    <w:rPr>
                      <w:kern w:val="0"/>
                      <w:szCs w:val="21"/>
                    </w:rPr>
                    <w:t>/</w:t>
                  </w:r>
                </w:p>
              </w:tc>
              <w:tc>
                <w:tcPr>
                  <w:tcW w:w="943" w:type="dxa"/>
                  <w:vAlign w:val="center"/>
                </w:tcPr>
                <w:p w14:paraId="520AB8AC">
                  <w:pPr>
                    <w:widowControl/>
                    <w:adjustRightInd w:val="0"/>
                    <w:snapToGrid w:val="0"/>
                    <w:jc w:val="center"/>
                    <w:rPr>
                      <w:kern w:val="0"/>
                      <w:szCs w:val="21"/>
                    </w:rPr>
                  </w:pPr>
                  <w:r>
                    <w:rPr>
                      <w:rFonts w:eastAsia="等线"/>
                      <w:szCs w:val="21"/>
                    </w:rPr>
                    <w:t>1000</w:t>
                  </w:r>
                </w:p>
              </w:tc>
              <w:tc>
                <w:tcPr>
                  <w:tcW w:w="1396" w:type="dxa"/>
                  <w:vAlign w:val="center"/>
                </w:tcPr>
                <w:p w14:paraId="520AB8AD">
                  <w:pPr>
                    <w:widowControl/>
                    <w:adjustRightInd w:val="0"/>
                    <w:snapToGrid w:val="0"/>
                    <w:jc w:val="center"/>
                    <w:rPr>
                      <w:kern w:val="0"/>
                      <w:szCs w:val="21"/>
                    </w:rPr>
                  </w:pPr>
                  <w:r>
                    <w:rPr>
                      <w:rFonts w:eastAsia="等线"/>
                      <w:szCs w:val="21"/>
                    </w:rPr>
                    <w:t>0.0040</w:t>
                  </w:r>
                </w:p>
              </w:tc>
            </w:tr>
          </w:tbl>
          <w:p w14:paraId="520AB8AF">
            <w:pPr>
              <w:adjustRightInd w:val="0"/>
              <w:snapToGrid w:val="0"/>
              <w:ind w:firstLine="420" w:firstLineChars="200"/>
              <w:rPr>
                <w:rFonts w:eastAsia="黑体"/>
              </w:rPr>
            </w:pPr>
            <w:r>
              <w:rPr>
                <w:rFonts w:eastAsia="黑体"/>
              </w:rPr>
              <w:t>注：</w:t>
            </w:r>
            <w:r>
              <w:rPr>
                <w:rFonts w:hint="eastAsia" w:ascii="宋体" w:hAnsi="宋体" w:cs="宋体"/>
              </w:rPr>
              <w:t>①</w:t>
            </w:r>
            <w:r>
              <w:rPr>
                <w:rFonts w:hint="eastAsia" w:ascii="黑体" w:hAnsi="黑体" w:eastAsia="黑体" w:cs="宋体"/>
              </w:rPr>
              <w:t>氮氧化物</w:t>
            </w:r>
            <w:r>
              <w:rPr>
                <w:rFonts w:hint="eastAsia" w:eastAsia="黑体"/>
              </w:rPr>
              <w:t>排放浓度检测结果为N</w:t>
            </w:r>
            <w:r>
              <w:rPr>
                <w:rFonts w:eastAsia="黑体"/>
              </w:rPr>
              <w:t>D</w:t>
            </w:r>
            <w:r>
              <w:rPr>
                <w:rFonts w:hint="eastAsia" w:eastAsia="黑体"/>
              </w:rPr>
              <w:t>（低于检出限），取检出限</w:t>
            </w:r>
            <w:r>
              <w:rPr>
                <w:rFonts w:eastAsia="黑体"/>
              </w:rPr>
              <w:t>3mg/m</w:t>
            </w:r>
            <w:r>
              <w:rPr>
                <w:rFonts w:eastAsia="黑体"/>
                <w:vertAlign w:val="superscript"/>
              </w:rPr>
              <w:t>3</w:t>
            </w:r>
            <w:r>
              <w:rPr>
                <w:rFonts w:hint="eastAsia" w:eastAsia="黑体"/>
              </w:rPr>
              <w:t>的</w:t>
            </w:r>
            <w:r>
              <w:rPr>
                <w:rFonts w:eastAsia="黑体"/>
              </w:rPr>
              <w:t>1/2</w:t>
            </w:r>
            <w:r>
              <w:rPr>
                <w:rFonts w:hint="eastAsia" w:eastAsia="黑体"/>
              </w:rPr>
              <w:t>进行污染物实际排放量计算。</w:t>
            </w:r>
          </w:p>
          <w:p w14:paraId="520AB8B0">
            <w:pPr>
              <w:adjustRightInd w:val="0"/>
              <w:snapToGrid w:val="0"/>
              <w:ind w:firstLine="420" w:firstLineChars="200"/>
              <w:rPr>
                <w:rFonts w:hint="eastAsia" w:ascii="黑体" w:hAnsi="黑体" w:eastAsia="黑体"/>
                <w:snapToGrid w:val="0"/>
                <w:sz w:val="15"/>
                <w:szCs w:val="15"/>
                <w:highlight w:val="yellow"/>
              </w:rPr>
            </w:pPr>
            <w:r>
              <w:rPr>
                <w:rFonts w:hint="eastAsia" w:ascii="宋体" w:hAnsi="宋体" w:cs="宋体"/>
              </w:rPr>
              <w:t>②</w:t>
            </w:r>
            <w:r>
              <w:rPr>
                <w:rFonts w:hint="eastAsia" w:eastAsia="黑体"/>
              </w:rPr>
              <w:t>根据企业提供实际生产数据，202</w:t>
            </w:r>
            <w:r>
              <w:rPr>
                <w:rFonts w:eastAsia="黑体"/>
              </w:rPr>
              <w:t>5</w:t>
            </w:r>
            <w:r>
              <w:rPr>
                <w:rFonts w:hint="eastAsia" w:eastAsia="黑体"/>
              </w:rPr>
              <w:t>.0</w:t>
            </w:r>
            <w:r>
              <w:rPr>
                <w:rFonts w:eastAsia="黑体"/>
              </w:rPr>
              <w:t>4</w:t>
            </w:r>
            <w:r>
              <w:rPr>
                <w:rFonts w:hint="eastAsia" w:eastAsia="黑体"/>
              </w:rPr>
              <w:t>.2</w:t>
            </w:r>
            <w:r>
              <w:rPr>
                <w:rFonts w:eastAsia="黑体"/>
              </w:rPr>
              <w:t>2-2025.04.23</w:t>
            </w:r>
            <w:r>
              <w:rPr>
                <w:rFonts w:hint="eastAsia" w:eastAsia="黑体"/>
              </w:rPr>
              <w:t>检测时电镀生产线、电镀污水处理站生产负荷约为</w:t>
            </w:r>
            <w:r>
              <w:rPr>
                <w:rFonts w:eastAsia="黑体"/>
              </w:rPr>
              <w:t>95</w:t>
            </w:r>
            <w:r>
              <w:rPr>
                <w:rFonts w:hint="eastAsia" w:eastAsia="黑体"/>
              </w:rPr>
              <w:t>%，喷涂生产线、1</w:t>
            </w:r>
            <w:r>
              <w:rPr>
                <w:rFonts w:eastAsia="黑体"/>
              </w:rPr>
              <w:t>01</w:t>
            </w:r>
            <w:r>
              <w:rPr>
                <w:rFonts w:hint="eastAsia" w:eastAsia="黑体"/>
              </w:rPr>
              <w:t>汽油清洗间、1</w:t>
            </w:r>
            <w:r>
              <w:rPr>
                <w:rFonts w:eastAsia="黑体"/>
              </w:rPr>
              <w:t>205</w:t>
            </w:r>
            <w:r>
              <w:rPr>
                <w:rFonts w:hint="eastAsia" w:eastAsia="黑体"/>
              </w:rPr>
              <w:t>焊接、1</w:t>
            </w:r>
            <w:r>
              <w:rPr>
                <w:rFonts w:eastAsia="黑体"/>
              </w:rPr>
              <w:t>48</w:t>
            </w:r>
            <w:r>
              <w:rPr>
                <w:rFonts w:hint="eastAsia" w:eastAsia="黑体"/>
              </w:rPr>
              <w:t>钎焊、106汽油清洗间、1</w:t>
            </w:r>
            <w:r>
              <w:rPr>
                <w:rFonts w:eastAsia="黑体"/>
              </w:rPr>
              <w:t>53</w:t>
            </w:r>
            <w:r>
              <w:rPr>
                <w:rFonts w:hint="eastAsia" w:eastAsia="黑体"/>
              </w:rPr>
              <w:t>钎焊生产负荷约为</w:t>
            </w:r>
            <w:r>
              <w:rPr>
                <w:rFonts w:eastAsia="黑体"/>
              </w:rPr>
              <w:t>40</w:t>
            </w:r>
            <w:r>
              <w:rPr>
                <w:rFonts w:hint="eastAsia" w:eastAsia="黑体"/>
              </w:rPr>
              <w:t>%；202</w:t>
            </w:r>
            <w:r>
              <w:rPr>
                <w:rFonts w:eastAsia="黑体"/>
              </w:rPr>
              <w:t>5</w:t>
            </w:r>
            <w:r>
              <w:rPr>
                <w:rFonts w:hint="eastAsia" w:eastAsia="黑体"/>
              </w:rPr>
              <w:t>.0</w:t>
            </w:r>
            <w:r>
              <w:rPr>
                <w:rFonts w:eastAsia="黑体"/>
              </w:rPr>
              <w:t>4</w:t>
            </w:r>
            <w:r>
              <w:rPr>
                <w:rFonts w:hint="eastAsia" w:eastAsia="黑体"/>
              </w:rPr>
              <w:t>.2</w:t>
            </w:r>
            <w:r>
              <w:rPr>
                <w:rFonts w:eastAsia="黑体"/>
              </w:rPr>
              <w:t>7-2025.04.28</w:t>
            </w:r>
            <w:r>
              <w:rPr>
                <w:rFonts w:hint="eastAsia" w:eastAsia="黑体"/>
              </w:rPr>
              <w:t>检测时1</w:t>
            </w:r>
            <w:r>
              <w:rPr>
                <w:rFonts w:eastAsia="黑体"/>
              </w:rPr>
              <w:t>01</w:t>
            </w:r>
            <w:r>
              <w:rPr>
                <w:rFonts w:hint="eastAsia" w:eastAsia="黑体"/>
              </w:rPr>
              <w:t>热处理、1</w:t>
            </w:r>
            <w:r>
              <w:rPr>
                <w:rFonts w:eastAsia="黑体"/>
              </w:rPr>
              <w:t>01</w:t>
            </w:r>
            <w:r>
              <w:rPr>
                <w:rFonts w:hint="eastAsia" w:eastAsia="黑体"/>
              </w:rPr>
              <w:t>油类实验1</w:t>
            </w:r>
            <w:r>
              <w:rPr>
                <w:rFonts w:eastAsia="黑体"/>
              </w:rPr>
              <w:t>#</w:t>
            </w:r>
            <w:r>
              <w:rPr>
                <w:rFonts w:hint="eastAsia" w:eastAsia="黑体"/>
              </w:rPr>
              <w:t>、1</w:t>
            </w:r>
            <w:r>
              <w:rPr>
                <w:rFonts w:eastAsia="黑体"/>
              </w:rPr>
              <w:t>206</w:t>
            </w:r>
            <w:r>
              <w:rPr>
                <w:rFonts w:hint="eastAsia" w:eastAsia="黑体"/>
              </w:rPr>
              <w:t>油类实验、危废贮存库生产负荷约为3</w:t>
            </w:r>
            <w:r>
              <w:rPr>
                <w:rFonts w:eastAsia="黑体"/>
              </w:rPr>
              <w:t>5</w:t>
            </w:r>
            <w:r>
              <w:rPr>
                <w:rFonts w:hint="eastAsia" w:eastAsia="黑体"/>
              </w:rPr>
              <w:t>%；</w:t>
            </w:r>
            <w:r>
              <w:rPr>
                <w:rFonts w:eastAsia="黑体"/>
              </w:rPr>
              <w:t>2024.06.06检测时</w:t>
            </w:r>
            <w:r>
              <w:rPr>
                <w:rFonts w:hint="eastAsia" w:eastAsia="黑体"/>
              </w:rPr>
              <w:t>1</w:t>
            </w:r>
            <w:r>
              <w:rPr>
                <w:rFonts w:eastAsia="黑体"/>
              </w:rPr>
              <w:t>68</w:t>
            </w:r>
            <w:r>
              <w:rPr>
                <w:rFonts w:hint="eastAsia" w:eastAsia="黑体"/>
              </w:rPr>
              <w:t>油类试验</w:t>
            </w:r>
            <w:r>
              <w:rPr>
                <w:rFonts w:eastAsia="黑体"/>
              </w:rPr>
              <w:t>生产</w:t>
            </w:r>
            <w:r>
              <w:rPr>
                <w:rFonts w:hint="eastAsia" w:eastAsia="黑体"/>
              </w:rPr>
              <w:t>负荷</w:t>
            </w:r>
            <w:r>
              <w:rPr>
                <w:rFonts w:eastAsia="黑体"/>
              </w:rPr>
              <w:t>约为32%</w:t>
            </w:r>
            <w:r>
              <w:rPr>
                <w:rFonts w:hint="eastAsia" w:eastAsia="黑体"/>
              </w:rPr>
              <w:t>；2</w:t>
            </w:r>
            <w:r>
              <w:rPr>
                <w:rFonts w:eastAsia="黑体"/>
              </w:rPr>
              <w:t>025.01.01-2025.05.31</w:t>
            </w:r>
            <w:r>
              <w:rPr>
                <w:rFonts w:hint="eastAsia" w:eastAsia="黑体"/>
              </w:rPr>
              <w:t>喷涂生产线平均生产负荷约为3</w:t>
            </w:r>
            <w:r>
              <w:rPr>
                <w:rFonts w:eastAsia="黑体"/>
              </w:rPr>
              <w:t>5%</w:t>
            </w:r>
            <w:r>
              <w:rPr>
                <w:rFonts w:hint="eastAsia" w:eastAsia="黑体"/>
              </w:rPr>
              <w:t>；</w:t>
            </w:r>
            <w:r>
              <w:rPr>
                <w:rFonts w:eastAsia="黑体"/>
              </w:rPr>
              <w:t>根据生产</w:t>
            </w:r>
            <w:r>
              <w:rPr>
                <w:rFonts w:hint="eastAsia" w:eastAsia="黑体"/>
              </w:rPr>
              <w:t>负荷</w:t>
            </w:r>
            <w:r>
              <w:rPr>
                <w:rFonts w:eastAsia="黑体"/>
              </w:rPr>
              <w:t>折算出满负荷生产时的最大排放量。</w:t>
            </w:r>
          </w:p>
        </w:tc>
      </w:tr>
    </w:tbl>
    <w:p w14:paraId="520AB8B2">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sectPr>
          <w:pgSz w:w="16838" w:h="11906" w:orient="landscape"/>
          <w:pgMar w:top="1531" w:right="1701" w:bottom="1531" w:left="1701" w:header="851" w:footer="851" w:gutter="0"/>
          <w:cols w:space="720" w:num="1"/>
          <w:docGrid w:linePitch="312" w:charSpace="0"/>
        </w:sectPr>
      </w:pPr>
    </w:p>
    <w:tbl>
      <w:tblPr>
        <w:tblStyle w:val="18"/>
        <w:tblW w:w="898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99"/>
        <w:gridCol w:w="8285"/>
      </w:tblGrid>
      <w:tr w14:paraId="520ABA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19" w:hRule="atLeast"/>
          <w:jc w:val="center"/>
        </w:trPr>
        <w:tc>
          <w:tcPr>
            <w:tcW w:w="699" w:type="dxa"/>
            <w:vAlign w:val="center"/>
          </w:tcPr>
          <w:p w14:paraId="520AB8B3">
            <w:pPr>
              <w:pStyle w:val="16"/>
              <w:adjustRightInd w:val="0"/>
              <w:snapToGrid w:val="0"/>
              <w:spacing w:before="0" w:beforeAutospacing="0" w:after="0" w:afterAutospacing="0"/>
              <w:jc w:val="center"/>
              <w:rPr>
                <w:rFonts w:hint="eastAsia" w:cs="宋体"/>
                <w:bCs/>
                <w:kern w:val="2"/>
                <w:sz w:val="21"/>
                <w:szCs w:val="21"/>
                <w:highlight w:val="yellow"/>
                <w:lang w:val="en-US"/>
              </w:rPr>
            </w:pPr>
            <w:r>
              <w:rPr>
                <w:rFonts w:hint="eastAsia" w:cs="宋体"/>
                <w:bCs/>
                <w:sz w:val="21"/>
                <w:szCs w:val="21"/>
              </w:rPr>
              <w:t>与项目有关的原有环境污染问题</w:t>
            </w:r>
          </w:p>
        </w:tc>
        <w:tc>
          <w:tcPr>
            <w:tcW w:w="8285" w:type="dxa"/>
          </w:tcPr>
          <w:p w14:paraId="520AB8B4">
            <w:pPr>
              <w:spacing w:line="460" w:lineRule="exact"/>
              <w:ind w:firstLine="480" w:firstLineChars="200"/>
              <w:rPr>
                <w:sz w:val="24"/>
              </w:rPr>
            </w:pPr>
            <w:r>
              <w:rPr>
                <w:rFonts w:hint="eastAsia"/>
                <w:sz w:val="24"/>
              </w:rPr>
              <w:t>根据上述现有工程检测数据可知，排气筒DA001-</w:t>
            </w:r>
            <w:r>
              <w:rPr>
                <w:sz w:val="24"/>
              </w:rPr>
              <w:t>DA0</w:t>
            </w:r>
            <w:r>
              <w:rPr>
                <w:rFonts w:hint="eastAsia"/>
                <w:sz w:val="24"/>
              </w:rPr>
              <w:t>08、D</w:t>
            </w:r>
            <w:r>
              <w:rPr>
                <w:sz w:val="24"/>
              </w:rPr>
              <w:t>A01</w:t>
            </w:r>
            <w:r>
              <w:rPr>
                <w:rFonts w:hint="eastAsia"/>
                <w:sz w:val="24"/>
              </w:rPr>
              <w:t>0氮氧化物、铬酸雾、硫酸雾、氯化氢、氰化氢废气排放浓度均能够满足</w:t>
            </w:r>
            <w:r>
              <w:rPr>
                <w:sz w:val="24"/>
              </w:rPr>
              <w:t>《电镀污染物排放标准》（GB21900-2008）表5中</w:t>
            </w:r>
            <w:r>
              <w:rPr>
                <w:rFonts w:hint="eastAsia"/>
                <w:sz w:val="24"/>
              </w:rPr>
              <w:t>氮氧化物200mg/m</w:t>
            </w:r>
            <w:r>
              <w:rPr>
                <w:rFonts w:hint="eastAsia"/>
                <w:sz w:val="24"/>
                <w:vertAlign w:val="superscript"/>
              </w:rPr>
              <w:t>3</w:t>
            </w:r>
            <w:r>
              <w:rPr>
                <w:rFonts w:hint="eastAsia"/>
                <w:sz w:val="24"/>
              </w:rPr>
              <w:t>、铬酸雾0.05mg/m</w:t>
            </w:r>
            <w:r>
              <w:rPr>
                <w:rFonts w:hint="eastAsia"/>
                <w:sz w:val="24"/>
                <w:vertAlign w:val="superscript"/>
              </w:rPr>
              <w:t>3</w:t>
            </w:r>
            <w:r>
              <w:rPr>
                <w:rFonts w:hint="eastAsia"/>
                <w:sz w:val="24"/>
              </w:rPr>
              <w:t>、硫酸雾30mg/m</w:t>
            </w:r>
            <w:r>
              <w:rPr>
                <w:rFonts w:hint="eastAsia"/>
                <w:sz w:val="24"/>
                <w:vertAlign w:val="superscript"/>
              </w:rPr>
              <w:t>3</w:t>
            </w:r>
            <w:r>
              <w:rPr>
                <w:rFonts w:hint="eastAsia"/>
                <w:sz w:val="24"/>
              </w:rPr>
              <w:t>、氯化氢30mg/m</w:t>
            </w:r>
            <w:r>
              <w:rPr>
                <w:rFonts w:hint="eastAsia"/>
                <w:sz w:val="24"/>
                <w:vertAlign w:val="superscript"/>
              </w:rPr>
              <w:t>3</w:t>
            </w:r>
            <w:r>
              <w:rPr>
                <w:rFonts w:hint="eastAsia"/>
                <w:sz w:val="24"/>
              </w:rPr>
              <w:t>、氰化氢0.5mg/m</w:t>
            </w:r>
            <w:r>
              <w:rPr>
                <w:rFonts w:hint="eastAsia"/>
                <w:sz w:val="24"/>
                <w:vertAlign w:val="superscript"/>
              </w:rPr>
              <w:t>3</w:t>
            </w:r>
            <w:r>
              <w:rPr>
                <w:rFonts w:hint="eastAsia"/>
                <w:sz w:val="24"/>
              </w:rPr>
              <w:t>的限值要求；</w:t>
            </w:r>
          </w:p>
          <w:p w14:paraId="520AB8B5">
            <w:pPr>
              <w:spacing w:line="460" w:lineRule="exact"/>
              <w:ind w:firstLine="480" w:firstLineChars="200"/>
              <w:rPr>
                <w:sz w:val="24"/>
              </w:rPr>
            </w:pPr>
            <w:r>
              <w:rPr>
                <w:sz w:val="24"/>
              </w:rPr>
              <w:t>排气筒</w:t>
            </w:r>
            <w:r>
              <w:rPr>
                <w:rFonts w:hint="eastAsia"/>
                <w:sz w:val="24"/>
              </w:rPr>
              <w:t>DA011非甲烷总烃、苯、甲苯与二甲苯合计排放浓度可以满足</w:t>
            </w:r>
            <w:r>
              <w:rPr>
                <w:sz w:val="24"/>
              </w:rPr>
              <w:t>《工业涂装工序挥发性有机物排放标准》（DB41/1951-2020）表</w:t>
            </w:r>
            <w:r>
              <w:rPr>
                <w:rFonts w:hint="eastAsia"/>
                <w:sz w:val="24"/>
              </w:rPr>
              <w:t>1非甲烷总烃50mg/m</w:t>
            </w:r>
            <w:r>
              <w:rPr>
                <w:rFonts w:hint="eastAsia"/>
                <w:sz w:val="24"/>
                <w:vertAlign w:val="superscript"/>
              </w:rPr>
              <w:t>3</w:t>
            </w:r>
            <w:r>
              <w:rPr>
                <w:rFonts w:hint="eastAsia"/>
                <w:sz w:val="24"/>
              </w:rPr>
              <w:t>、苯1mg/m</w:t>
            </w:r>
            <w:r>
              <w:rPr>
                <w:rFonts w:hint="eastAsia"/>
                <w:sz w:val="24"/>
                <w:vertAlign w:val="superscript"/>
              </w:rPr>
              <w:t>3</w:t>
            </w:r>
            <w:r>
              <w:rPr>
                <w:rFonts w:hint="eastAsia"/>
                <w:sz w:val="24"/>
              </w:rPr>
              <w:t>、甲苯与二甲苯合计20mg/m</w:t>
            </w:r>
            <w:r>
              <w:rPr>
                <w:rFonts w:hint="eastAsia"/>
                <w:sz w:val="24"/>
                <w:vertAlign w:val="superscript"/>
              </w:rPr>
              <w:t>3</w:t>
            </w:r>
            <w:r>
              <w:rPr>
                <w:rFonts w:hint="eastAsia"/>
                <w:sz w:val="24"/>
              </w:rPr>
              <w:t>的限值要求</w:t>
            </w:r>
            <w:r>
              <w:rPr>
                <w:rFonts w:hint="eastAsia"/>
                <w:bCs/>
                <w:sz w:val="24"/>
              </w:rPr>
              <w:t>；</w:t>
            </w:r>
          </w:p>
          <w:p w14:paraId="520AB8B6">
            <w:pPr>
              <w:spacing w:line="460" w:lineRule="exact"/>
              <w:ind w:firstLine="480" w:firstLineChars="200"/>
              <w:rPr>
                <w:sz w:val="24"/>
              </w:rPr>
            </w:pPr>
            <w:r>
              <w:rPr>
                <w:rFonts w:hint="eastAsia"/>
                <w:bCs/>
                <w:sz w:val="24"/>
              </w:rPr>
              <w:t>排气筒</w:t>
            </w:r>
            <w:r>
              <w:rPr>
                <w:rFonts w:hint="eastAsia"/>
                <w:sz w:val="24"/>
              </w:rPr>
              <w:t>DA0</w:t>
            </w:r>
            <w:r>
              <w:rPr>
                <w:rFonts w:hint="eastAsia"/>
                <w:bCs/>
                <w:sz w:val="24"/>
              </w:rPr>
              <w:t>12、</w:t>
            </w:r>
            <w:r>
              <w:rPr>
                <w:rFonts w:hint="eastAsia"/>
                <w:sz w:val="24"/>
              </w:rPr>
              <w:t>DA0</w:t>
            </w:r>
            <w:r>
              <w:rPr>
                <w:rFonts w:hint="eastAsia"/>
                <w:bCs/>
                <w:sz w:val="24"/>
              </w:rPr>
              <w:t>1</w:t>
            </w:r>
            <w:r>
              <w:rPr>
                <w:bCs/>
                <w:sz w:val="24"/>
              </w:rPr>
              <w:t>4</w:t>
            </w:r>
            <w:r>
              <w:rPr>
                <w:rFonts w:hint="eastAsia"/>
                <w:sz w:val="24"/>
              </w:rPr>
              <w:t>、DA0</w:t>
            </w:r>
            <w:r>
              <w:rPr>
                <w:rFonts w:hint="eastAsia"/>
                <w:bCs/>
                <w:sz w:val="24"/>
              </w:rPr>
              <w:t>17</w:t>
            </w:r>
            <w:r>
              <w:rPr>
                <w:rFonts w:hint="eastAsia"/>
                <w:sz w:val="24"/>
              </w:rPr>
              <w:t>、DA0</w:t>
            </w:r>
            <w:r>
              <w:rPr>
                <w:rFonts w:hint="eastAsia"/>
                <w:bCs/>
                <w:sz w:val="24"/>
              </w:rPr>
              <w:t>18</w:t>
            </w:r>
            <w:r>
              <w:rPr>
                <w:rFonts w:hint="eastAsia"/>
                <w:sz w:val="24"/>
              </w:rPr>
              <w:t>、DA0</w:t>
            </w:r>
            <w:r>
              <w:rPr>
                <w:rFonts w:hint="eastAsia"/>
                <w:bCs/>
                <w:sz w:val="24"/>
              </w:rPr>
              <w:t>22、D</w:t>
            </w:r>
            <w:r>
              <w:rPr>
                <w:bCs/>
                <w:sz w:val="24"/>
              </w:rPr>
              <w:t>A025</w:t>
            </w:r>
            <w:r>
              <w:rPr>
                <w:rFonts w:hint="eastAsia"/>
                <w:bCs/>
                <w:sz w:val="24"/>
              </w:rPr>
              <w:t>、D</w:t>
            </w:r>
            <w:r>
              <w:rPr>
                <w:bCs/>
                <w:sz w:val="24"/>
              </w:rPr>
              <w:t>A026</w:t>
            </w:r>
            <w:r>
              <w:rPr>
                <w:rFonts w:hint="eastAsia"/>
                <w:bCs/>
                <w:sz w:val="24"/>
              </w:rPr>
              <w:t>非甲烷总烃废气排放浓度可以满足《</w:t>
            </w:r>
            <w:r>
              <w:rPr>
                <w:bCs/>
                <w:sz w:val="24"/>
              </w:rPr>
              <w:t>关于全省开展工业企业挥发性有机物专项治理工作中排放建议值的通知》（豫环攻坚办（2017）162号）附件</w:t>
            </w:r>
            <w:r>
              <w:rPr>
                <w:rFonts w:hint="eastAsia"/>
                <w:bCs/>
                <w:sz w:val="24"/>
              </w:rPr>
              <w:t>1其他行业非甲烷总烃80</w:t>
            </w:r>
            <w:r>
              <w:rPr>
                <w:rFonts w:hint="eastAsia"/>
                <w:sz w:val="24"/>
              </w:rPr>
              <w:t>mg/m</w:t>
            </w:r>
            <w:r>
              <w:rPr>
                <w:rFonts w:hint="eastAsia"/>
                <w:sz w:val="24"/>
                <w:vertAlign w:val="superscript"/>
              </w:rPr>
              <w:t>3</w:t>
            </w:r>
            <w:r>
              <w:rPr>
                <w:rFonts w:hint="eastAsia"/>
                <w:sz w:val="24"/>
              </w:rPr>
              <w:t>的限值要求；</w:t>
            </w:r>
          </w:p>
          <w:p w14:paraId="520AB8B7">
            <w:pPr>
              <w:spacing w:line="460" w:lineRule="exact"/>
              <w:ind w:firstLine="480" w:firstLineChars="200"/>
              <w:rPr>
                <w:sz w:val="24"/>
              </w:rPr>
            </w:pPr>
            <w:r>
              <w:rPr>
                <w:rFonts w:hint="eastAsia"/>
                <w:bCs/>
                <w:sz w:val="24"/>
              </w:rPr>
              <w:t>排气筒</w:t>
            </w:r>
            <w:r>
              <w:rPr>
                <w:rFonts w:hint="eastAsia"/>
                <w:sz w:val="24"/>
              </w:rPr>
              <w:t>DA011、DA0</w:t>
            </w:r>
            <w:r>
              <w:rPr>
                <w:rFonts w:hint="eastAsia"/>
                <w:bCs/>
                <w:sz w:val="24"/>
              </w:rPr>
              <w:t>15、</w:t>
            </w:r>
            <w:r>
              <w:rPr>
                <w:rFonts w:hint="eastAsia"/>
                <w:sz w:val="24"/>
              </w:rPr>
              <w:t>DA0</w:t>
            </w:r>
            <w:r>
              <w:rPr>
                <w:rFonts w:hint="eastAsia"/>
                <w:bCs/>
                <w:sz w:val="24"/>
              </w:rPr>
              <w:t>16颗粒物废气排放浓度可以满足《新乡市生态环境局关于进一步规范工业企业颗粒物排放限值的通知》有组织颗粒物排放浓度10mg/m</w:t>
            </w:r>
            <w:r>
              <w:rPr>
                <w:rFonts w:hint="eastAsia"/>
                <w:bCs/>
                <w:sz w:val="24"/>
                <w:vertAlign w:val="superscript"/>
              </w:rPr>
              <w:t>3</w:t>
            </w:r>
            <w:r>
              <w:rPr>
                <w:rFonts w:hint="eastAsia"/>
                <w:bCs/>
                <w:sz w:val="24"/>
              </w:rPr>
              <w:t>的标准限值。</w:t>
            </w:r>
          </w:p>
          <w:p w14:paraId="520AB8B8">
            <w:pPr>
              <w:spacing w:line="460" w:lineRule="exact"/>
              <w:ind w:firstLine="482" w:firstLineChars="200"/>
              <w:rPr>
                <w:b/>
                <w:sz w:val="24"/>
              </w:rPr>
            </w:pPr>
            <w:r>
              <w:rPr>
                <w:rFonts w:hint="eastAsia"/>
                <w:b/>
                <w:sz w:val="24"/>
              </w:rPr>
              <w:t>I</w:t>
            </w:r>
            <w:r>
              <w:rPr>
                <w:b/>
                <w:sz w:val="24"/>
              </w:rPr>
              <w:t>I</w:t>
            </w:r>
            <w:r>
              <w:rPr>
                <w:rFonts w:hint="eastAsia"/>
                <w:b/>
                <w:sz w:val="24"/>
              </w:rPr>
              <w:t>）</w:t>
            </w:r>
            <w:r>
              <w:rPr>
                <w:b/>
                <w:sz w:val="24"/>
              </w:rPr>
              <w:t>无组织废气</w:t>
            </w:r>
          </w:p>
          <w:p w14:paraId="520AB8B9">
            <w:pPr>
              <w:spacing w:line="460" w:lineRule="exact"/>
              <w:ind w:firstLine="480" w:firstLineChars="200"/>
              <w:rPr>
                <w:sz w:val="24"/>
              </w:rPr>
            </w:pPr>
            <w:r>
              <w:rPr>
                <w:sz w:val="24"/>
              </w:rPr>
              <w:t>河南</w:t>
            </w:r>
            <w:r>
              <w:rPr>
                <w:rFonts w:hint="eastAsia"/>
                <w:sz w:val="24"/>
              </w:rPr>
              <w:t>鑫成环测</w:t>
            </w:r>
            <w:r>
              <w:rPr>
                <w:sz w:val="24"/>
              </w:rPr>
              <w:t>检测</w:t>
            </w:r>
            <w:r>
              <w:rPr>
                <w:rFonts w:hint="eastAsia"/>
                <w:sz w:val="24"/>
              </w:rPr>
              <w:t>技术</w:t>
            </w:r>
            <w:r>
              <w:rPr>
                <w:sz w:val="24"/>
              </w:rPr>
              <w:t>有限公司</w:t>
            </w:r>
            <w:r>
              <w:rPr>
                <w:rFonts w:hint="eastAsia"/>
                <w:sz w:val="24"/>
              </w:rPr>
              <w:t>202</w:t>
            </w:r>
            <w:r>
              <w:rPr>
                <w:sz w:val="24"/>
              </w:rPr>
              <w:t>5</w:t>
            </w:r>
            <w:r>
              <w:rPr>
                <w:rFonts w:hint="eastAsia"/>
                <w:sz w:val="24"/>
              </w:rPr>
              <w:t>年</w:t>
            </w:r>
            <w:r>
              <w:rPr>
                <w:sz w:val="24"/>
              </w:rPr>
              <w:t>4</w:t>
            </w:r>
            <w:r>
              <w:rPr>
                <w:rFonts w:hint="eastAsia"/>
                <w:sz w:val="24"/>
              </w:rPr>
              <w:t>月2</w:t>
            </w:r>
            <w:r>
              <w:rPr>
                <w:sz w:val="24"/>
              </w:rPr>
              <w:t>8</w:t>
            </w:r>
            <w:r>
              <w:rPr>
                <w:rFonts w:hint="eastAsia"/>
                <w:sz w:val="24"/>
              </w:rPr>
              <w:t>日对建设路厂区已建工程的无组织废气进行了检测，</w:t>
            </w:r>
            <w:r>
              <w:rPr>
                <w:sz w:val="24"/>
              </w:rPr>
              <w:t>河南析源环境检测有限公司</w:t>
            </w:r>
            <w:r>
              <w:rPr>
                <w:rFonts w:hint="eastAsia"/>
                <w:sz w:val="24"/>
              </w:rPr>
              <w:t>2024年6月4日对建设路厂区涂装工序厂房外的无组织非甲烷总烃进行了检测，结果如下：</w:t>
            </w:r>
          </w:p>
          <w:p w14:paraId="520AB8BA">
            <w:pPr>
              <w:spacing w:line="460" w:lineRule="exact"/>
              <w:ind w:firstLine="480" w:firstLineChars="200"/>
              <w:rPr>
                <w:rFonts w:eastAsia="黑体"/>
                <w:sz w:val="24"/>
              </w:rPr>
            </w:pPr>
            <w:r>
              <w:rPr>
                <w:rFonts w:eastAsia="黑体"/>
                <w:sz w:val="24"/>
              </w:rPr>
              <w:t>表</w:t>
            </w:r>
            <w:r>
              <w:rPr>
                <w:rFonts w:hint="eastAsia" w:eastAsia="黑体"/>
                <w:sz w:val="24"/>
              </w:rPr>
              <w:t>24</w:t>
            </w:r>
            <w:r>
              <w:rPr>
                <w:rFonts w:eastAsia="黑体"/>
                <w:sz w:val="24"/>
              </w:rPr>
              <w:t xml:space="preserve">     </w:t>
            </w:r>
            <w:r>
              <w:rPr>
                <w:rFonts w:hint="eastAsia" w:eastAsia="黑体"/>
                <w:sz w:val="24"/>
              </w:rPr>
              <w:t xml:space="preserve">    建设路厂区已建工程无</w:t>
            </w:r>
            <w:r>
              <w:rPr>
                <w:rFonts w:eastAsia="黑体"/>
                <w:sz w:val="24"/>
              </w:rPr>
              <w:t>组织废气排放情况</w:t>
            </w:r>
          </w:p>
          <w:tbl>
            <w:tblPr>
              <w:tblStyle w:val="18"/>
              <w:tblpPr w:leftFromText="180" w:rightFromText="180" w:vertAnchor="text" w:tblpY="1"/>
              <w:tblOverlap w:val="never"/>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45" w:type="dxa"/>
                <w:bottom w:w="0" w:type="dxa"/>
                <w:right w:w="45" w:type="dxa"/>
              </w:tblCellMar>
            </w:tblPr>
            <w:tblGrid>
              <w:gridCol w:w="1546"/>
              <w:gridCol w:w="1630"/>
              <w:gridCol w:w="1631"/>
              <w:gridCol w:w="1631"/>
              <w:gridCol w:w="1631"/>
            </w:tblGrid>
            <w:tr w14:paraId="520AB8B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blHeader/>
              </w:trPr>
              <w:tc>
                <w:tcPr>
                  <w:tcW w:w="1546" w:type="dxa"/>
                  <w:vMerge w:val="restart"/>
                  <w:vAlign w:val="center"/>
                </w:tcPr>
                <w:p w14:paraId="520AB8BB">
                  <w:pPr>
                    <w:pStyle w:val="46"/>
                    <w:rPr>
                      <w:color w:val="auto"/>
                    </w:rPr>
                  </w:pPr>
                  <w:r>
                    <w:rPr>
                      <w:rFonts w:hint="eastAsia"/>
                      <w:color w:val="auto"/>
                    </w:rPr>
                    <w:t>检测日期</w:t>
                  </w:r>
                </w:p>
              </w:tc>
              <w:tc>
                <w:tcPr>
                  <w:tcW w:w="6523" w:type="dxa"/>
                  <w:gridSpan w:val="4"/>
                  <w:vAlign w:val="center"/>
                </w:tcPr>
                <w:p w14:paraId="520AB8BC">
                  <w:pPr>
                    <w:pStyle w:val="46"/>
                    <w:rPr>
                      <w:color w:val="auto"/>
                    </w:rPr>
                  </w:pPr>
                  <w:r>
                    <w:rPr>
                      <w:color w:val="auto"/>
                    </w:rPr>
                    <w:t>排放浓度</w:t>
                  </w:r>
                  <w:r>
                    <w:rPr>
                      <w:rFonts w:hint="eastAsia"/>
                      <w:color w:val="auto"/>
                    </w:rPr>
                    <w:t>(</w:t>
                  </w:r>
                  <w:r>
                    <w:rPr>
                      <w:color w:val="auto"/>
                    </w:rPr>
                    <w:t>mg/m</w:t>
                  </w:r>
                  <w:r>
                    <w:rPr>
                      <w:color w:val="auto"/>
                      <w:vertAlign w:val="superscript"/>
                    </w:rPr>
                    <w:t>3</w:t>
                  </w:r>
                  <w:r>
                    <w:rPr>
                      <w:rFonts w:hint="eastAsia"/>
                      <w:color w:val="auto"/>
                    </w:rPr>
                    <w:t>)</w:t>
                  </w:r>
                </w:p>
              </w:tc>
            </w:tr>
            <w:tr w14:paraId="520AB8C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blHeader/>
              </w:trPr>
              <w:tc>
                <w:tcPr>
                  <w:tcW w:w="1546" w:type="dxa"/>
                  <w:vMerge w:val="continue"/>
                  <w:vAlign w:val="center"/>
                </w:tcPr>
                <w:p w14:paraId="520AB8BE">
                  <w:pPr>
                    <w:pStyle w:val="46"/>
                    <w:rPr>
                      <w:color w:val="auto"/>
                    </w:rPr>
                  </w:pPr>
                </w:p>
              </w:tc>
              <w:tc>
                <w:tcPr>
                  <w:tcW w:w="1630" w:type="dxa"/>
                  <w:vAlign w:val="center"/>
                </w:tcPr>
                <w:p w14:paraId="520AB8BF">
                  <w:pPr>
                    <w:pStyle w:val="46"/>
                    <w:rPr>
                      <w:color w:val="auto"/>
                    </w:rPr>
                  </w:pPr>
                  <w:r>
                    <w:rPr>
                      <w:rFonts w:hint="eastAsia"/>
                      <w:color w:val="auto"/>
                    </w:rPr>
                    <w:t>厂界</w:t>
                  </w:r>
                  <w:r>
                    <w:rPr>
                      <w:color w:val="auto"/>
                    </w:rPr>
                    <w:t>氯化氢</w:t>
                  </w:r>
                </w:p>
              </w:tc>
              <w:tc>
                <w:tcPr>
                  <w:tcW w:w="1631" w:type="dxa"/>
                  <w:vAlign w:val="center"/>
                </w:tcPr>
                <w:p w14:paraId="520AB8C0">
                  <w:pPr>
                    <w:pStyle w:val="46"/>
                    <w:rPr>
                      <w:color w:val="auto"/>
                    </w:rPr>
                  </w:pPr>
                  <w:r>
                    <w:rPr>
                      <w:rFonts w:hint="eastAsia"/>
                      <w:color w:val="auto"/>
                    </w:rPr>
                    <w:t>厂界</w:t>
                  </w:r>
                  <w:r>
                    <w:rPr>
                      <w:color w:val="auto"/>
                    </w:rPr>
                    <w:t>硫酸雾</w:t>
                  </w:r>
                </w:p>
              </w:tc>
              <w:tc>
                <w:tcPr>
                  <w:tcW w:w="1631" w:type="dxa"/>
                  <w:vAlign w:val="center"/>
                </w:tcPr>
                <w:p w14:paraId="520AB8C1">
                  <w:pPr>
                    <w:pStyle w:val="46"/>
                    <w:rPr>
                      <w:color w:val="auto"/>
                    </w:rPr>
                  </w:pPr>
                  <w:r>
                    <w:rPr>
                      <w:rFonts w:hint="eastAsia"/>
                      <w:color w:val="auto"/>
                    </w:rPr>
                    <w:t>厂界</w:t>
                  </w:r>
                  <w:r>
                    <w:rPr>
                      <w:color w:val="auto"/>
                    </w:rPr>
                    <w:t>铬酸雾</w:t>
                  </w:r>
                </w:p>
              </w:tc>
              <w:tc>
                <w:tcPr>
                  <w:tcW w:w="1631" w:type="dxa"/>
                  <w:vAlign w:val="center"/>
                </w:tcPr>
                <w:p w14:paraId="520AB8C2">
                  <w:pPr>
                    <w:pStyle w:val="46"/>
                    <w:rPr>
                      <w:color w:val="auto"/>
                    </w:rPr>
                  </w:pPr>
                  <w:r>
                    <w:rPr>
                      <w:rFonts w:hint="eastAsia"/>
                      <w:color w:val="auto"/>
                    </w:rPr>
                    <w:t>厂界</w:t>
                  </w:r>
                  <w:r>
                    <w:rPr>
                      <w:color w:val="auto"/>
                    </w:rPr>
                    <w:t>颗粒物</w:t>
                  </w:r>
                </w:p>
              </w:tc>
            </w:tr>
            <w:tr w14:paraId="520AB8C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rPr>
              <w:tc>
                <w:tcPr>
                  <w:tcW w:w="1546" w:type="dxa"/>
                  <w:vAlign w:val="center"/>
                </w:tcPr>
                <w:p w14:paraId="520AB8C4">
                  <w:pPr>
                    <w:pStyle w:val="41"/>
                    <w:rPr>
                      <w:bCs/>
                      <w:kern w:val="2"/>
                    </w:rPr>
                  </w:pPr>
                  <w:r>
                    <w:rPr>
                      <w:rFonts w:hint="eastAsia"/>
                      <w:bCs/>
                      <w:kern w:val="2"/>
                    </w:rPr>
                    <w:t>202</w:t>
                  </w:r>
                  <w:r>
                    <w:rPr>
                      <w:bCs/>
                      <w:kern w:val="2"/>
                    </w:rPr>
                    <w:t>5</w:t>
                  </w:r>
                  <w:r>
                    <w:rPr>
                      <w:rFonts w:hint="eastAsia"/>
                      <w:bCs/>
                      <w:kern w:val="2"/>
                    </w:rPr>
                    <w:t>.0</w:t>
                  </w:r>
                  <w:r>
                    <w:rPr>
                      <w:bCs/>
                      <w:kern w:val="2"/>
                    </w:rPr>
                    <w:t>4.28</w:t>
                  </w:r>
                </w:p>
              </w:tc>
              <w:tc>
                <w:tcPr>
                  <w:tcW w:w="1630" w:type="dxa"/>
                  <w:vAlign w:val="center"/>
                </w:tcPr>
                <w:p w14:paraId="520AB8C5">
                  <w:pPr>
                    <w:pStyle w:val="41"/>
                    <w:rPr>
                      <w:bCs/>
                    </w:rPr>
                  </w:pPr>
                  <w:r>
                    <w:rPr>
                      <w:rFonts w:hint="eastAsia"/>
                      <w:bCs/>
                    </w:rPr>
                    <w:t>0.</w:t>
                  </w:r>
                  <w:r>
                    <w:rPr>
                      <w:bCs/>
                    </w:rPr>
                    <w:t>07</w:t>
                  </w:r>
                  <w:r>
                    <w:rPr>
                      <w:rFonts w:hint="eastAsia"/>
                      <w:bCs/>
                    </w:rPr>
                    <w:t>~0.</w:t>
                  </w:r>
                  <w:r>
                    <w:rPr>
                      <w:bCs/>
                    </w:rPr>
                    <w:t>1</w:t>
                  </w:r>
                  <w:r>
                    <w:rPr>
                      <w:rFonts w:hint="eastAsia"/>
                      <w:bCs/>
                    </w:rPr>
                    <w:t>9</w:t>
                  </w:r>
                </w:p>
              </w:tc>
              <w:tc>
                <w:tcPr>
                  <w:tcW w:w="1631" w:type="dxa"/>
                  <w:vAlign w:val="center"/>
                </w:tcPr>
                <w:p w14:paraId="520AB8C6">
                  <w:pPr>
                    <w:pStyle w:val="41"/>
                    <w:rPr>
                      <w:bCs/>
                    </w:rPr>
                  </w:pPr>
                  <w:r>
                    <w:rPr>
                      <w:bCs/>
                    </w:rPr>
                    <w:t>ND</w:t>
                  </w:r>
                </w:p>
              </w:tc>
              <w:tc>
                <w:tcPr>
                  <w:tcW w:w="1631" w:type="dxa"/>
                  <w:vAlign w:val="center"/>
                </w:tcPr>
                <w:p w14:paraId="520AB8C7">
                  <w:pPr>
                    <w:pStyle w:val="41"/>
                    <w:rPr>
                      <w:bCs/>
                    </w:rPr>
                  </w:pPr>
                  <w:r>
                    <w:rPr>
                      <w:bCs/>
                    </w:rPr>
                    <w:t>ND</w:t>
                  </w:r>
                </w:p>
              </w:tc>
              <w:tc>
                <w:tcPr>
                  <w:tcW w:w="1631" w:type="dxa"/>
                  <w:vAlign w:val="center"/>
                </w:tcPr>
                <w:p w14:paraId="520AB8C8">
                  <w:pPr>
                    <w:pStyle w:val="41"/>
                    <w:rPr>
                      <w:bCs/>
                    </w:rPr>
                  </w:pPr>
                  <w:r>
                    <w:rPr>
                      <w:rFonts w:hint="eastAsia"/>
                      <w:bCs/>
                    </w:rPr>
                    <w:t>0.</w:t>
                  </w:r>
                  <w:r>
                    <w:rPr>
                      <w:bCs/>
                    </w:rPr>
                    <w:t>222</w:t>
                  </w:r>
                  <w:r>
                    <w:rPr>
                      <w:rFonts w:hint="eastAsia"/>
                      <w:bCs/>
                    </w:rPr>
                    <w:t>~0.</w:t>
                  </w:r>
                  <w:r>
                    <w:rPr>
                      <w:bCs/>
                    </w:rPr>
                    <w:t>303</w:t>
                  </w:r>
                </w:p>
              </w:tc>
            </w:tr>
            <w:tr w14:paraId="520AB8C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rPr>
              <w:tc>
                <w:tcPr>
                  <w:tcW w:w="1546" w:type="dxa"/>
                  <w:vMerge w:val="restart"/>
                  <w:vAlign w:val="center"/>
                </w:tcPr>
                <w:p w14:paraId="520AB8CA">
                  <w:pPr>
                    <w:pStyle w:val="41"/>
                    <w:rPr>
                      <w:b/>
                      <w:kern w:val="2"/>
                    </w:rPr>
                  </w:pPr>
                  <w:r>
                    <w:rPr>
                      <w:rFonts w:hint="eastAsia"/>
                      <w:b/>
                      <w:kern w:val="2"/>
                      <w:lang w:val="en-US"/>
                    </w:rPr>
                    <w:t>检测日期</w:t>
                  </w:r>
                </w:p>
              </w:tc>
              <w:tc>
                <w:tcPr>
                  <w:tcW w:w="6523" w:type="dxa"/>
                  <w:gridSpan w:val="4"/>
                  <w:vAlign w:val="center"/>
                </w:tcPr>
                <w:p w14:paraId="520AB8CB">
                  <w:pPr>
                    <w:pStyle w:val="46"/>
                    <w:rPr>
                      <w:color w:val="auto"/>
                    </w:rPr>
                  </w:pPr>
                  <w:r>
                    <w:rPr>
                      <w:color w:val="auto"/>
                    </w:rPr>
                    <w:t>排放浓度</w:t>
                  </w:r>
                  <w:r>
                    <w:rPr>
                      <w:rFonts w:hint="eastAsia"/>
                      <w:color w:val="auto"/>
                    </w:rPr>
                    <w:t>(</w:t>
                  </w:r>
                  <w:r>
                    <w:rPr>
                      <w:color w:val="auto"/>
                    </w:rPr>
                    <w:t>mg/m</w:t>
                  </w:r>
                  <w:r>
                    <w:rPr>
                      <w:color w:val="auto"/>
                      <w:vertAlign w:val="superscript"/>
                    </w:rPr>
                    <w:t>3</w:t>
                  </w:r>
                  <w:r>
                    <w:rPr>
                      <w:rFonts w:hint="eastAsia"/>
                      <w:color w:val="auto"/>
                    </w:rPr>
                    <w:t>)</w:t>
                  </w:r>
                </w:p>
              </w:tc>
            </w:tr>
            <w:tr w14:paraId="520AB8D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rPr>
              <w:tc>
                <w:tcPr>
                  <w:tcW w:w="1546" w:type="dxa"/>
                  <w:vMerge w:val="continue"/>
                  <w:vAlign w:val="center"/>
                </w:tcPr>
                <w:p w14:paraId="520AB8CD">
                  <w:pPr>
                    <w:pStyle w:val="41"/>
                    <w:rPr>
                      <w:b/>
                      <w:kern w:val="2"/>
                    </w:rPr>
                  </w:pPr>
                </w:p>
              </w:tc>
              <w:tc>
                <w:tcPr>
                  <w:tcW w:w="1630" w:type="dxa"/>
                  <w:vAlign w:val="center"/>
                </w:tcPr>
                <w:p w14:paraId="520AB8CE">
                  <w:pPr>
                    <w:pStyle w:val="46"/>
                    <w:rPr>
                      <w:color w:val="auto"/>
                    </w:rPr>
                  </w:pPr>
                  <w:r>
                    <w:rPr>
                      <w:rFonts w:hint="eastAsia"/>
                      <w:color w:val="auto"/>
                    </w:rPr>
                    <w:t>厂界氨</w:t>
                  </w:r>
                </w:p>
              </w:tc>
              <w:tc>
                <w:tcPr>
                  <w:tcW w:w="1631" w:type="dxa"/>
                  <w:vAlign w:val="center"/>
                </w:tcPr>
                <w:p w14:paraId="520AB8CF">
                  <w:pPr>
                    <w:pStyle w:val="46"/>
                    <w:rPr>
                      <w:color w:val="auto"/>
                    </w:rPr>
                  </w:pPr>
                  <w:r>
                    <w:rPr>
                      <w:rFonts w:hint="eastAsia"/>
                      <w:color w:val="auto"/>
                    </w:rPr>
                    <w:t>厂界硫化氢</w:t>
                  </w:r>
                </w:p>
              </w:tc>
              <w:tc>
                <w:tcPr>
                  <w:tcW w:w="1631" w:type="dxa"/>
                  <w:vAlign w:val="center"/>
                </w:tcPr>
                <w:p w14:paraId="520AB8D0">
                  <w:pPr>
                    <w:pStyle w:val="46"/>
                    <w:rPr>
                      <w:color w:val="auto"/>
                    </w:rPr>
                  </w:pPr>
                  <w:r>
                    <w:rPr>
                      <w:rFonts w:hint="eastAsia"/>
                      <w:color w:val="auto"/>
                    </w:rPr>
                    <w:t>厂界</w:t>
                  </w:r>
                  <w:r>
                    <w:rPr>
                      <w:rFonts w:cs="Times New Roman"/>
                      <w:color w:val="auto"/>
                      <w:kern w:val="0"/>
                      <w:szCs w:val="21"/>
                    </w:rPr>
                    <w:t>氰化氢</w:t>
                  </w:r>
                </w:p>
              </w:tc>
              <w:tc>
                <w:tcPr>
                  <w:tcW w:w="1631" w:type="dxa"/>
                  <w:vAlign w:val="center"/>
                </w:tcPr>
                <w:p w14:paraId="520AB8D1">
                  <w:pPr>
                    <w:pStyle w:val="46"/>
                    <w:rPr>
                      <w:color w:val="auto"/>
                    </w:rPr>
                  </w:pPr>
                  <w:r>
                    <w:rPr>
                      <w:rFonts w:hint="eastAsia"/>
                      <w:color w:val="auto"/>
                    </w:rPr>
                    <w:t>厂界非甲烷总烃</w:t>
                  </w:r>
                </w:p>
              </w:tc>
            </w:tr>
            <w:tr w14:paraId="520AB8D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rPr>
              <w:tc>
                <w:tcPr>
                  <w:tcW w:w="1546" w:type="dxa"/>
                  <w:vAlign w:val="center"/>
                </w:tcPr>
                <w:p w14:paraId="520AB8D3">
                  <w:pPr>
                    <w:pStyle w:val="41"/>
                    <w:rPr>
                      <w:bCs/>
                      <w:kern w:val="2"/>
                    </w:rPr>
                  </w:pPr>
                  <w:r>
                    <w:rPr>
                      <w:rFonts w:hint="eastAsia"/>
                      <w:bCs/>
                      <w:kern w:val="2"/>
                    </w:rPr>
                    <w:t>202</w:t>
                  </w:r>
                  <w:r>
                    <w:rPr>
                      <w:bCs/>
                      <w:kern w:val="2"/>
                    </w:rPr>
                    <w:t>5</w:t>
                  </w:r>
                  <w:r>
                    <w:rPr>
                      <w:rFonts w:hint="eastAsia"/>
                      <w:bCs/>
                      <w:kern w:val="2"/>
                    </w:rPr>
                    <w:t>.0</w:t>
                  </w:r>
                  <w:r>
                    <w:rPr>
                      <w:bCs/>
                      <w:kern w:val="2"/>
                    </w:rPr>
                    <w:t>4.28</w:t>
                  </w:r>
                </w:p>
              </w:tc>
              <w:tc>
                <w:tcPr>
                  <w:tcW w:w="1630" w:type="dxa"/>
                  <w:vAlign w:val="center"/>
                </w:tcPr>
                <w:p w14:paraId="520AB8D4">
                  <w:pPr>
                    <w:pStyle w:val="41"/>
                    <w:rPr>
                      <w:bCs/>
                    </w:rPr>
                  </w:pPr>
                  <w:r>
                    <w:rPr>
                      <w:rFonts w:hint="eastAsia"/>
                      <w:bCs/>
                    </w:rPr>
                    <w:t>0.</w:t>
                  </w:r>
                  <w:r>
                    <w:rPr>
                      <w:bCs/>
                    </w:rPr>
                    <w:t>06</w:t>
                  </w:r>
                  <w:r>
                    <w:rPr>
                      <w:rFonts w:hint="eastAsia"/>
                      <w:bCs/>
                    </w:rPr>
                    <w:t>~0.</w:t>
                  </w:r>
                  <w:r>
                    <w:rPr>
                      <w:bCs/>
                    </w:rPr>
                    <w:t>19</w:t>
                  </w:r>
                </w:p>
              </w:tc>
              <w:tc>
                <w:tcPr>
                  <w:tcW w:w="1631" w:type="dxa"/>
                  <w:vAlign w:val="center"/>
                </w:tcPr>
                <w:p w14:paraId="520AB8D5">
                  <w:pPr>
                    <w:pStyle w:val="41"/>
                    <w:rPr>
                      <w:bCs/>
                    </w:rPr>
                  </w:pPr>
                  <w:r>
                    <w:rPr>
                      <w:rFonts w:hint="eastAsia"/>
                      <w:bCs/>
                    </w:rPr>
                    <w:t>0.</w:t>
                  </w:r>
                  <w:r>
                    <w:rPr>
                      <w:bCs/>
                    </w:rPr>
                    <w:t>004</w:t>
                  </w:r>
                  <w:r>
                    <w:rPr>
                      <w:rFonts w:hint="eastAsia"/>
                      <w:bCs/>
                    </w:rPr>
                    <w:t>~0.</w:t>
                  </w:r>
                  <w:r>
                    <w:rPr>
                      <w:bCs/>
                    </w:rPr>
                    <w:t>015</w:t>
                  </w:r>
                </w:p>
              </w:tc>
              <w:tc>
                <w:tcPr>
                  <w:tcW w:w="1631" w:type="dxa"/>
                  <w:vAlign w:val="center"/>
                </w:tcPr>
                <w:p w14:paraId="520AB8D6">
                  <w:pPr>
                    <w:pStyle w:val="41"/>
                    <w:rPr>
                      <w:bCs/>
                    </w:rPr>
                  </w:pPr>
                  <w:r>
                    <w:rPr>
                      <w:rFonts w:hint="eastAsia"/>
                      <w:bCs/>
                    </w:rPr>
                    <w:t>ND</w:t>
                  </w:r>
                </w:p>
              </w:tc>
              <w:tc>
                <w:tcPr>
                  <w:tcW w:w="1631" w:type="dxa"/>
                  <w:vAlign w:val="center"/>
                </w:tcPr>
                <w:p w14:paraId="520AB8D7">
                  <w:pPr>
                    <w:pStyle w:val="41"/>
                    <w:rPr>
                      <w:bCs/>
                    </w:rPr>
                  </w:pPr>
                  <w:r>
                    <w:rPr>
                      <w:bCs/>
                    </w:rPr>
                    <w:t>1.02-1.</w:t>
                  </w:r>
                  <w:r>
                    <w:rPr>
                      <w:rFonts w:hint="eastAsia"/>
                      <w:bCs/>
                    </w:rPr>
                    <w:t>4</w:t>
                  </w:r>
                  <w:r>
                    <w:rPr>
                      <w:bCs/>
                    </w:rPr>
                    <w:t>3</w:t>
                  </w:r>
                </w:p>
              </w:tc>
            </w:tr>
            <w:tr w14:paraId="520AB8D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rPr>
              <w:tc>
                <w:tcPr>
                  <w:tcW w:w="1546" w:type="dxa"/>
                  <w:vMerge w:val="restart"/>
                  <w:vAlign w:val="center"/>
                </w:tcPr>
                <w:p w14:paraId="520AB8D9">
                  <w:pPr>
                    <w:pStyle w:val="41"/>
                    <w:rPr>
                      <w:bCs/>
                      <w:kern w:val="2"/>
                    </w:rPr>
                  </w:pPr>
                  <w:r>
                    <w:rPr>
                      <w:rFonts w:hint="eastAsia"/>
                      <w:b/>
                      <w:kern w:val="2"/>
                      <w:lang w:val="en-US"/>
                    </w:rPr>
                    <w:t>检测日期</w:t>
                  </w:r>
                </w:p>
              </w:tc>
              <w:tc>
                <w:tcPr>
                  <w:tcW w:w="6523" w:type="dxa"/>
                  <w:gridSpan w:val="4"/>
                  <w:vAlign w:val="center"/>
                </w:tcPr>
                <w:p w14:paraId="520AB8DA">
                  <w:pPr>
                    <w:pStyle w:val="41"/>
                    <w:rPr>
                      <w:b/>
                    </w:rPr>
                  </w:pPr>
                  <w:r>
                    <w:rPr>
                      <w:rFonts w:hint="eastAsia"/>
                      <w:b/>
                    </w:rPr>
                    <w:t>排放浓度(mg/m</w:t>
                  </w:r>
                  <w:r>
                    <w:rPr>
                      <w:rFonts w:hint="eastAsia"/>
                      <w:b/>
                      <w:vertAlign w:val="superscript"/>
                    </w:rPr>
                    <w:t>3</w:t>
                  </w:r>
                  <w:r>
                    <w:rPr>
                      <w:rFonts w:hint="eastAsia"/>
                      <w:b/>
                    </w:rPr>
                    <w:t>)</w:t>
                  </w:r>
                </w:p>
              </w:tc>
            </w:tr>
            <w:tr w14:paraId="520AB8D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rPr>
              <w:tc>
                <w:tcPr>
                  <w:tcW w:w="1546" w:type="dxa"/>
                  <w:vMerge w:val="continue"/>
                  <w:vAlign w:val="center"/>
                </w:tcPr>
                <w:p w14:paraId="520AB8DC">
                  <w:pPr>
                    <w:pStyle w:val="41"/>
                    <w:rPr>
                      <w:bCs/>
                      <w:kern w:val="2"/>
                    </w:rPr>
                  </w:pPr>
                </w:p>
              </w:tc>
              <w:tc>
                <w:tcPr>
                  <w:tcW w:w="6523" w:type="dxa"/>
                  <w:gridSpan w:val="4"/>
                  <w:vAlign w:val="center"/>
                </w:tcPr>
                <w:p w14:paraId="520AB8DD">
                  <w:pPr>
                    <w:pStyle w:val="41"/>
                    <w:rPr>
                      <w:b/>
                    </w:rPr>
                  </w:pPr>
                  <w:r>
                    <w:rPr>
                      <w:rFonts w:hint="eastAsia"/>
                      <w:b/>
                    </w:rPr>
                    <w:t>涂装工序厂房外非甲烷总烃</w:t>
                  </w:r>
                </w:p>
              </w:tc>
            </w:tr>
            <w:tr w14:paraId="520AB8E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rPr>
              <w:tc>
                <w:tcPr>
                  <w:tcW w:w="1546" w:type="dxa"/>
                  <w:vAlign w:val="center"/>
                </w:tcPr>
                <w:p w14:paraId="520AB8DF">
                  <w:pPr>
                    <w:pStyle w:val="41"/>
                    <w:rPr>
                      <w:bCs/>
                      <w:kern w:val="2"/>
                    </w:rPr>
                  </w:pPr>
                  <w:r>
                    <w:rPr>
                      <w:rFonts w:hint="eastAsia"/>
                      <w:bCs/>
                      <w:kern w:val="2"/>
                    </w:rPr>
                    <w:t>2024.06.04</w:t>
                  </w:r>
                </w:p>
              </w:tc>
              <w:tc>
                <w:tcPr>
                  <w:tcW w:w="6523" w:type="dxa"/>
                  <w:gridSpan w:val="4"/>
                  <w:vAlign w:val="center"/>
                </w:tcPr>
                <w:p w14:paraId="520AB8E0">
                  <w:pPr>
                    <w:pStyle w:val="41"/>
                    <w:rPr>
                      <w:bCs/>
                    </w:rPr>
                  </w:pPr>
                  <w:r>
                    <w:rPr>
                      <w:rFonts w:hint="eastAsia"/>
                      <w:bCs/>
                    </w:rPr>
                    <w:t>2</w:t>
                  </w:r>
                  <w:r>
                    <w:rPr>
                      <w:bCs/>
                    </w:rPr>
                    <w:t>.</w:t>
                  </w:r>
                  <w:r>
                    <w:rPr>
                      <w:rFonts w:hint="eastAsia"/>
                      <w:bCs/>
                    </w:rPr>
                    <w:t>52</w:t>
                  </w:r>
                  <w:r>
                    <w:rPr>
                      <w:bCs/>
                    </w:rPr>
                    <w:t>-2.</w:t>
                  </w:r>
                  <w:r>
                    <w:rPr>
                      <w:rFonts w:hint="eastAsia"/>
                      <w:bCs/>
                    </w:rPr>
                    <w:t>61</w:t>
                  </w:r>
                </w:p>
              </w:tc>
            </w:tr>
          </w:tbl>
          <w:p w14:paraId="520AB8E2">
            <w:pPr>
              <w:spacing w:line="460" w:lineRule="exact"/>
              <w:ind w:firstLine="480" w:firstLineChars="200"/>
              <w:rPr>
                <w:sz w:val="24"/>
              </w:rPr>
            </w:pPr>
            <w:r>
              <w:rPr>
                <w:rFonts w:hint="eastAsia"/>
                <w:sz w:val="24"/>
              </w:rPr>
              <w:t>由上表检测数据可知，建设路厂区厂界上下风向的</w:t>
            </w:r>
            <w:r>
              <w:rPr>
                <w:sz w:val="24"/>
              </w:rPr>
              <w:t>非甲烷总烃</w:t>
            </w:r>
            <w:r>
              <w:rPr>
                <w:rFonts w:hint="eastAsia"/>
                <w:sz w:val="24"/>
              </w:rPr>
              <w:t>废气</w:t>
            </w:r>
            <w:r>
              <w:rPr>
                <w:sz w:val="24"/>
              </w:rPr>
              <w:t>无组织排放浓度</w:t>
            </w:r>
            <w:r>
              <w:rPr>
                <w:rFonts w:hint="eastAsia"/>
                <w:sz w:val="24"/>
              </w:rPr>
              <w:t>能够满足《</w:t>
            </w:r>
            <w:r>
              <w:rPr>
                <w:sz w:val="24"/>
              </w:rPr>
              <w:t>关于全省开展工业企业挥发性有机物专项治理工作中排放建议值的通知》（豫环攻坚办（2017）162号）中</w:t>
            </w:r>
            <w:r>
              <w:rPr>
                <w:rFonts w:hint="eastAsia"/>
                <w:sz w:val="24"/>
              </w:rPr>
              <w:t>附件2-其他企业</w:t>
            </w:r>
            <w:r>
              <w:rPr>
                <w:sz w:val="24"/>
              </w:rPr>
              <w:t>非甲烷总烃</w:t>
            </w:r>
            <w:r>
              <w:rPr>
                <w:rFonts w:hint="eastAsia"/>
                <w:sz w:val="24"/>
              </w:rPr>
              <w:t>2.0</w:t>
            </w:r>
            <w:r>
              <w:rPr>
                <w:sz w:val="24"/>
              </w:rPr>
              <w:t>mg/m</w:t>
            </w:r>
            <w:r>
              <w:rPr>
                <w:sz w:val="24"/>
                <w:vertAlign w:val="superscript"/>
              </w:rPr>
              <w:t>3</w:t>
            </w:r>
            <w:r>
              <w:rPr>
                <w:sz w:val="24"/>
              </w:rPr>
              <w:t>的限值要求</w:t>
            </w:r>
            <w:r>
              <w:rPr>
                <w:rFonts w:hint="eastAsia"/>
                <w:sz w:val="24"/>
              </w:rPr>
              <w:t>；涂装工序厂房外的</w:t>
            </w:r>
            <w:r>
              <w:rPr>
                <w:sz w:val="24"/>
              </w:rPr>
              <w:t>非甲烷总烃</w:t>
            </w:r>
            <w:r>
              <w:rPr>
                <w:rFonts w:hint="eastAsia"/>
                <w:sz w:val="24"/>
              </w:rPr>
              <w:t>废气</w:t>
            </w:r>
            <w:r>
              <w:rPr>
                <w:sz w:val="24"/>
              </w:rPr>
              <w:t>无组织排放浓度</w:t>
            </w:r>
            <w:r>
              <w:rPr>
                <w:rFonts w:hint="eastAsia"/>
                <w:sz w:val="24"/>
              </w:rPr>
              <w:t>能够满足《</w:t>
            </w:r>
            <w:r>
              <w:rPr>
                <w:sz w:val="24"/>
              </w:rPr>
              <w:t>关于全省开展工业企业挥发性有机物专项治理工作中排放建议值的通知》（豫环攻坚办（2017）162号）中</w:t>
            </w:r>
            <w:r>
              <w:rPr>
                <w:rFonts w:hint="eastAsia"/>
                <w:sz w:val="24"/>
              </w:rPr>
              <w:t>附件</w:t>
            </w:r>
            <w:r>
              <w:rPr>
                <w:sz w:val="24"/>
              </w:rPr>
              <w:t>3</w:t>
            </w:r>
            <w:r>
              <w:rPr>
                <w:rFonts w:hint="eastAsia"/>
                <w:sz w:val="24"/>
              </w:rPr>
              <w:t>-生产车间或生产设备边界挥发性有机物排放建议值</w:t>
            </w:r>
            <w:r>
              <w:rPr>
                <w:sz w:val="24"/>
              </w:rPr>
              <w:t>非甲烷总烃4</w:t>
            </w:r>
            <w:r>
              <w:rPr>
                <w:rFonts w:hint="eastAsia"/>
                <w:sz w:val="24"/>
              </w:rPr>
              <w:t>.0</w:t>
            </w:r>
            <w:r>
              <w:rPr>
                <w:sz w:val="24"/>
              </w:rPr>
              <w:t>mg/m</w:t>
            </w:r>
            <w:r>
              <w:rPr>
                <w:sz w:val="24"/>
                <w:vertAlign w:val="superscript"/>
              </w:rPr>
              <w:t>3</w:t>
            </w:r>
            <w:r>
              <w:rPr>
                <w:sz w:val="24"/>
              </w:rPr>
              <w:t>的限值要求；</w:t>
            </w:r>
            <w:r>
              <w:rPr>
                <w:rFonts w:hint="eastAsia"/>
                <w:sz w:val="24"/>
              </w:rPr>
              <w:t>氯化氢、硫酸雾、铬酸雾、氰化氢废气</w:t>
            </w:r>
            <w:r>
              <w:rPr>
                <w:sz w:val="24"/>
              </w:rPr>
              <w:t>无组织排放浓度</w:t>
            </w:r>
            <w:r>
              <w:rPr>
                <w:rFonts w:hint="eastAsia"/>
                <w:sz w:val="24"/>
              </w:rPr>
              <w:t>能够满足</w:t>
            </w:r>
            <w:r>
              <w:rPr>
                <w:sz w:val="24"/>
              </w:rPr>
              <w:t>《大气污染物综合排放标准》（GB16297-1996）表2二级周界外最高浓度</w:t>
            </w:r>
            <w:r>
              <w:rPr>
                <w:rFonts w:hint="eastAsia"/>
                <w:sz w:val="24"/>
              </w:rPr>
              <w:t>氯化氢0.2</w:t>
            </w:r>
            <w:r>
              <w:rPr>
                <w:sz w:val="24"/>
              </w:rPr>
              <w:t>mg/m</w:t>
            </w:r>
            <w:r>
              <w:rPr>
                <w:sz w:val="24"/>
                <w:vertAlign w:val="superscript"/>
              </w:rPr>
              <w:t>3</w:t>
            </w:r>
            <w:r>
              <w:rPr>
                <w:rFonts w:hint="eastAsia"/>
                <w:sz w:val="24"/>
              </w:rPr>
              <w:t>、硫酸雾1.2</w:t>
            </w:r>
            <w:r>
              <w:rPr>
                <w:sz w:val="24"/>
              </w:rPr>
              <w:t>mg/m</w:t>
            </w:r>
            <w:r>
              <w:rPr>
                <w:sz w:val="24"/>
                <w:vertAlign w:val="superscript"/>
              </w:rPr>
              <w:t>3</w:t>
            </w:r>
            <w:r>
              <w:rPr>
                <w:rFonts w:hint="eastAsia"/>
                <w:sz w:val="24"/>
              </w:rPr>
              <w:t>、铬酸雾0.006</w:t>
            </w:r>
            <w:r>
              <w:rPr>
                <w:sz w:val="24"/>
              </w:rPr>
              <w:t>mg/m</w:t>
            </w:r>
            <w:r>
              <w:rPr>
                <w:sz w:val="24"/>
                <w:vertAlign w:val="superscript"/>
              </w:rPr>
              <w:t>3</w:t>
            </w:r>
            <w:r>
              <w:rPr>
                <w:rFonts w:hint="eastAsia"/>
                <w:sz w:val="24"/>
              </w:rPr>
              <w:t>、氰化氢0.024</w:t>
            </w:r>
            <w:r>
              <w:rPr>
                <w:sz w:val="24"/>
              </w:rPr>
              <w:t>mg/m</w:t>
            </w:r>
            <w:r>
              <w:rPr>
                <w:sz w:val="24"/>
                <w:vertAlign w:val="superscript"/>
              </w:rPr>
              <w:t>3</w:t>
            </w:r>
            <w:r>
              <w:rPr>
                <w:sz w:val="24"/>
              </w:rPr>
              <w:t>的限值要求</w:t>
            </w:r>
            <w:r>
              <w:rPr>
                <w:rFonts w:hint="eastAsia"/>
                <w:sz w:val="24"/>
              </w:rPr>
              <w:t>；颗粒物废气</w:t>
            </w:r>
            <w:r>
              <w:rPr>
                <w:sz w:val="24"/>
              </w:rPr>
              <w:t>无组织排放浓度</w:t>
            </w:r>
            <w:r>
              <w:rPr>
                <w:rFonts w:hint="eastAsia"/>
                <w:sz w:val="24"/>
              </w:rPr>
              <w:t>能够满足</w:t>
            </w:r>
            <w:r>
              <w:rPr>
                <w:rFonts w:hint="eastAsia"/>
                <w:kern w:val="0"/>
                <w:sz w:val="24"/>
              </w:rPr>
              <w:t>《</w:t>
            </w:r>
            <w:r>
              <w:rPr>
                <w:kern w:val="0"/>
                <w:sz w:val="24"/>
              </w:rPr>
              <w:t>新乡市生态环境局关于进一步规范工业企业颗粒物排放限值的通知</w:t>
            </w:r>
            <w:r>
              <w:rPr>
                <w:rFonts w:hint="eastAsia"/>
                <w:kern w:val="0"/>
                <w:sz w:val="24"/>
              </w:rPr>
              <w:t>》中厂界无组织0.5</w:t>
            </w:r>
            <w:r>
              <w:rPr>
                <w:sz w:val="24"/>
              </w:rPr>
              <w:t>mg/m</w:t>
            </w:r>
            <w:r>
              <w:rPr>
                <w:sz w:val="24"/>
                <w:vertAlign w:val="superscript"/>
              </w:rPr>
              <w:t>3</w:t>
            </w:r>
            <w:r>
              <w:rPr>
                <w:sz w:val="24"/>
              </w:rPr>
              <w:t>的限值要求</w:t>
            </w:r>
            <w:r>
              <w:rPr>
                <w:rFonts w:hint="eastAsia"/>
                <w:sz w:val="24"/>
              </w:rPr>
              <w:t>；氨、硫化氢废气</w:t>
            </w:r>
            <w:r>
              <w:rPr>
                <w:sz w:val="24"/>
              </w:rPr>
              <w:t>无组织排放浓度</w:t>
            </w:r>
            <w:r>
              <w:rPr>
                <w:rFonts w:hint="eastAsia"/>
                <w:sz w:val="24"/>
              </w:rPr>
              <w:t>能够满足《恶臭污染物排放浓度标准》（GB14554-93）</w:t>
            </w:r>
            <w:r>
              <w:rPr>
                <w:rFonts w:hint="eastAsia"/>
                <w:kern w:val="0"/>
                <w:sz w:val="24"/>
              </w:rPr>
              <w:t>中表1二级厂界无组织氨</w:t>
            </w:r>
            <w:r>
              <w:rPr>
                <w:kern w:val="0"/>
                <w:sz w:val="24"/>
              </w:rPr>
              <w:t>1.5</w:t>
            </w:r>
            <w:r>
              <w:rPr>
                <w:sz w:val="24"/>
              </w:rPr>
              <w:t>mg/m</w:t>
            </w:r>
            <w:r>
              <w:rPr>
                <w:sz w:val="24"/>
                <w:vertAlign w:val="superscript"/>
              </w:rPr>
              <w:t>3</w:t>
            </w:r>
            <w:r>
              <w:rPr>
                <w:rFonts w:hint="eastAsia"/>
                <w:kern w:val="0"/>
                <w:sz w:val="24"/>
              </w:rPr>
              <w:t>、硫化氢0</w:t>
            </w:r>
            <w:r>
              <w:rPr>
                <w:kern w:val="0"/>
                <w:sz w:val="24"/>
              </w:rPr>
              <w:t>.06</w:t>
            </w:r>
            <w:r>
              <w:rPr>
                <w:sz w:val="24"/>
              </w:rPr>
              <w:t>mg/m</w:t>
            </w:r>
            <w:r>
              <w:rPr>
                <w:sz w:val="24"/>
                <w:vertAlign w:val="superscript"/>
              </w:rPr>
              <w:t>3</w:t>
            </w:r>
            <w:r>
              <w:rPr>
                <w:sz w:val="24"/>
              </w:rPr>
              <w:t>的限值要求</w:t>
            </w:r>
            <w:r>
              <w:rPr>
                <w:rFonts w:hint="eastAsia"/>
                <w:sz w:val="24"/>
              </w:rPr>
              <w:t>。</w:t>
            </w:r>
          </w:p>
          <w:p w14:paraId="520AB8E3">
            <w:pPr>
              <w:spacing w:line="460" w:lineRule="exact"/>
              <w:ind w:firstLine="482" w:firstLineChars="200"/>
              <w:rPr>
                <w:b/>
                <w:sz w:val="24"/>
              </w:rPr>
            </w:pPr>
            <w:r>
              <w:rPr>
                <w:rFonts w:hint="eastAsia"/>
                <w:b/>
                <w:sz w:val="24"/>
              </w:rPr>
              <w:t>（Ⅲ）废气污染物排放总量</w:t>
            </w:r>
          </w:p>
          <w:p w14:paraId="520AB8E4">
            <w:pPr>
              <w:spacing w:line="460" w:lineRule="exact"/>
              <w:ind w:firstLine="480" w:firstLineChars="200"/>
              <w:rPr>
                <w:bCs/>
                <w:sz w:val="24"/>
              </w:rPr>
            </w:pPr>
            <w:r>
              <w:rPr>
                <w:rFonts w:hint="eastAsia"/>
                <w:bCs/>
                <w:kern w:val="0"/>
                <w:sz w:val="24"/>
              </w:rPr>
              <w:t>根据上述分析</w:t>
            </w:r>
            <w:r>
              <w:rPr>
                <w:rFonts w:hint="eastAsia"/>
                <w:bCs/>
                <w:sz w:val="24"/>
              </w:rPr>
              <w:t>得出建设路厂区现有项目满负荷时废气污染物实际排放量见下表：</w:t>
            </w:r>
          </w:p>
          <w:p w14:paraId="520AB8E5">
            <w:pPr>
              <w:snapToGrid w:val="0"/>
              <w:spacing w:line="460" w:lineRule="exact"/>
              <w:ind w:firstLine="480" w:firstLineChars="200"/>
              <w:rPr>
                <w:bCs/>
                <w:sz w:val="24"/>
              </w:rPr>
            </w:pPr>
            <w:r>
              <w:rPr>
                <w:rFonts w:eastAsia="黑体"/>
                <w:bCs/>
                <w:sz w:val="24"/>
              </w:rPr>
              <w:t>表</w:t>
            </w:r>
            <w:r>
              <w:rPr>
                <w:rFonts w:hint="eastAsia" w:eastAsia="黑体"/>
                <w:bCs/>
                <w:sz w:val="24"/>
              </w:rPr>
              <w:t>25</w:t>
            </w:r>
            <w:r>
              <w:rPr>
                <w:rFonts w:eastAsia="黑体"/>
                <w:bCs/>
                <w:sz w:val="24"/>
              </w:rPr>
              <w:t xml:space="preserve">     </w:t>
            </w:r>
            <w:r>
              <w:rPr>
                <w:rFonts w:hint="eastAsia" w:eastAsia="黑体"/>
                <w:bCs/>
                <w:sz w:val="24"/>
              </w:rPr>
              <w:t xml:space="preserve">  建设路厂区现有工程废气</w:t>
            </w:r>
            <w:r>
              <w:rPr>
                <w:rFonts w:eastAsia="黑体"/>
                <w:bCs/>
                <w:sz w:val="24"/>
              </w:rPr>
              <w:t xml:space="preserve">总量排放控制指标    </w:t>
            </w:r>
            <w:r>
              <w:rPr>
                <w:rFonts w:hint="eastAsia" w:eastAsia="黑体"/>
                <w:bCs/>
                <w:sz w:val="24"/>
              </w:rPr>
              <w:t xml:space="preserve"> </w:t>
            </w:r>
            <w:r>
              <w:rPr>
                <w:rFonts w:eastAsia="黑体"/>
                <w:bCs/>
                <w:sz w:val="24"/>
              </w:rPr>
              <w:t>单位：t/</w:t>
            </w:r>
            <w:r>
              <w:rPr>
                <w:bCs/>
                <w:sz w:val="24"/>
              </w:rPr>
              <w:t>a</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32"/>
              <w:gridCol w:w="1393"/>
              <w:gridCol w:w="1985"/>
              <w:gridCol w:w="2037"/>
              <w:gridCol w:w="2013"/>
              <w:gridCol w:w="9"/>
            </w:tblGrid>
            <w:tr w14:paraId="520AB8E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atLeast"/>
                <w:jc w:val="center"/>
              </w:trPr>
              <w:tc>
                <w:tcPr>
                  <w:tcW w:w="632" w:type="dxa"/>
                  <w:vAlign w:val="center"/>
                </w:tcPr>
                <w:p w14:paraId="520AB8E6">
                  <w:pPr>
                    <w:adjustRightInd w:val="0"/>
                    <w:snapToGrid w:val="0"/>
                    <w:jc w:val="center"/>
                    <w:rPr>
                      <w:rFonts w:hint="eastAsia" w:ascii="宋体" w:hAnsi="宋体" w:cs="宋体"/>
                      <w:b/>
                      <w:szCs w:val="21"/>
                    </w:rPr>
                  </w:pPr>
                  <w:r>
                    <w:rPr>
                      <w:rFonts w:hint="eastAsia" w:ascii="宋体" w:hAnsi="宋体" w:cs="宋体"/>
                      <w:b/>
                      <w:szCs w:val="21"/>
                    </w:rPr>
                    <w:t>序号</w:t>
                  </w:r>
                </w:p>
              </w:tc>
              <w:tc>
                <w:tcPr>
                  <w:tcW w:w="1393" w:type="dxa"/>
                  <w:vAlign w:val="center"/>
                </w:tcPr>
                <w:p w14:paraId="520AB8E7">
                  <w:pPr>
                    <w:adjustRightInd w:val="0"/>
                    <w:snapToGrid w:val="0"/>
                    <w:jc w:val="center"/>
                    <w:rPr>
                      <w:rFonts w:hint="eastAsia" w:ascii="宋体" w:hAnsi="宋体" w:cs="宋体"/>
                      <w:b/>
                      <w:szCs w:val="21"/>
                    </w:rPr>
                  </w:pPr>
                  <w:r>
                    <w:rPr>
                      <w:rFonts w:hint="eastAsia" w:ascii="宋体" w:hAnsi="宋体" w:cs="宋体"/>
                      <w:b/>
                      <w:szCs w:val="21"/>
                    </w:rPr>
                    <w:t>污染物</w:t>
                  </w:r>
                </w:p>
              </w:tc>
              <w:tc>
                <w:tcPr>
                  <w:tcW w:w="1985" w:type="dxa"/>
                  <w:vAlign w:val="center"/>
                </w:tcPr>
                <w:p w14:paraId="520AB8E8">
                  <w:pPr>
                    <w:snapToGrid w:val="0"/>
                    <w:jc w:val="center"/>
                    <w:rPr>
                      <w:b/>
                      <w:szCs w:val="21"/>
                    </w:rPr>
                  </w:pPr>
                  <w:r>
                    <w:rPr>
                      <w:rFonts w:hint="eastAsia"/>
                      <w:b/>
                      <w:szCs w:val="21"/>
                    </w:rPr>
                    <w:t>已建工程</w:t>
                  </w:r>
                  <w:r>
                    <w:rPr>
                      <w:b/>
                      <w:szCs w:val="21"/>
                    </w:rPr>
                    <w:t>实际排放量</w:t>
                  </w:r>
                </w:p>
              </w:tc>
              <w:tc>
                <w:tcPr>
                  <w:tcW w:w="2037" w:type="dxa"/>
                  <w:vAlign w:val="center"/>
                </w:tcPr>
                <w:p w14:paraId="520AB8E9">
                  <w:pPr>
                    <w:snapToGrid w:val="0"/>
                    <w:jc w:val="center"/>
                    <w:rPr>
                      <w:b/>
                      <w:szCs w:val="21"/>
                    </w:rPr>
                  </w:pPr>
                  <w:r>
                    <w:rPr>
                      <w:rFonts w:hint="eastAsia"/>
                      <w:b/>
                      <w:szCs w:val="21"/>
                    </w:rPr>
                    <w:t>已建工程许可排放量</w:t>
                  </w:r>
                </w:p>
              </w:tc>
              <w:tc>
                <w:tcPr>
                  <w:tcW w:w="2013" w:type="dxa"/>
                  <w:vAlign w:val="center"/>
                </w:tcPr>
                <w:p w14:paraId="520AB8EA">
                  <w:pPr>
                    <w:snapToGrid w:val="0"/>
                    <w:jc w:val="center"/>
                    <w:rPr>
                      <w:b/>
                      <w:szCs w:val="21"/>
                    </w:rPr>
                  </w:pPr>
                  <w:r>
                    <w:rPr>
                      <w:rFonts w:hint="eastAsia"/>
                      <w:b/>
                      <w:szCs w:val="21"/>
                    </w:rPr>
                    <w:t>在建工程</w:t>
                  </w:r>
                  <w:r>
                    <w:rPr>
                      <w:rFonts w:hint="eastAsia"/>
                      <w:b/>
                      <w:szCs w:val="20"/>
                    </w:rPr>
                    <w:t>环评批复量</w:t>
                  </w:r>
                </w:p>
              </w:tc>
            </w:tr>
            <w:tr w14:paraId="520AB8F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atLeast"/>
                <w:jc w:val="center"/>
              </w:trPr>
              <w:tc>
                <w:tcPr>
                  <w:tcW w:w="632" w:type="dxa"/>
                  <w:vAlign w:val="center"/>
                </w:tcPr>
                <w:p w14:paraId="520AB8EC">
                  <w:pPr>
                    <w:adjustRightInd w:val="0"/>
                    <w:snapToGrid w:val="0"/>
                    <w:jc w:val="center"/>
                    <w:rPr>
                      <w:bCs/>
                      <w:szCs w:val="21"/>
                    </w:rPr>
                  </w:pPr>
                  <w:bookmarkStart w:id="4" w:name="_Hlk170228026"/>
                  <w:r>
                    <w:rPr>
                      <w:bCs/>
                      <w:szCs w:val="21"/>
                    </w:rPr>
                    <w:t>1</w:t>
                  </w:r>
                </w:p>
              </w:tc>
              <w:tc>
                <w:tcPr>
                  <w:tcW w:w="1393" w:type="dxa"/>
                  <w:vAlign w:val="center"/>
                </w:tcPr>
                <w:p w14:paraId="520AB8ED">
                  <w:pPr>
                    <w:adjustRightInd w:val="0"/>
                    <w:snapToGrid w:val="0"/>
                    <w:jc w:val="center"/>
                    <w:rPr>
                      <w:bCs/>
                      <w:szCs w:val="21"/>
                    </w:rPr>
                  </w:pPr>
                  <w:r>
                    <w:rPr>
                      <w:rFonts w:hint="eastAsia"/>
                      <w:szCs w:val="21"/>
                    </w:rPr>
                    <w:t>铬酸雾</w:t>
                  </w:r>
                </w:p>
              </w:tc>
              <w:tc>
                <w:tcPr>
                  <w:tcW w:w="1985" w:type="dxa"/>
                  <w:vAlign w:val="center"/>
                </w:tcPr>
                <w:p w14:paraId="520AB8EE">
                  <w:pPr>
                    <w:snapToGrid w:val="0"/>
                    <w:jc w:val="center"/>
                    <w:rPr>
                      <w:bCs/>
                      <w:szCs w:val="21"/>
                    </w:rPr>
                  </w:pPr>
                  <w:r>
                    <w:rPr>
                      <w:szCs w:val="21"/>
                    </w:rPr>
                    <w:t>0.0020</w:t>
                  </w:r>
                </w:p>
              </w:tc>
              <w:tc>
                <w:tcPr>
                  <w:tcW w:w="2037" w:type="dxa"/>
                  <w:vAlign w:val="center"/>
                </w:tcPr>
                <w:p w14:paraId="520AB8EF">
                  <w:pPr>
                    <w:snapToGrid w:val="0"/>
                    <w:jc w:val="center"/>
                    <w:rPr>
                      <w:bCs/>
                      <w:szCs w:val="21"/>
                    </w:rPr>
                  </w:pPr>
                  <w:r>
                    <w:rPr>
                      <w:szCs w:val="21"/>
                    </w:rPr>
                    <w:t>0.003</w:t>
                  </w:r>
                  <w:r>
                    <w:rPr>
                      <w:rFonts w:hint="eastAsia"/>
                      <w:szCs w:val="21"/>
                    </w:rPr>
                    <w:t>0</w:t>
                  </w:r>
                </w:p>
              </w:tc>
              <w:tc>
                <w:tcPr>
                  <w:tcW w:w="2013" w:type="dxa"/>
                  <w:vAlign w:val="center"/>
                </w:tcPr>
                <w:p w14:paraId="520AB8F0">
                  <w:pPr>
                    <w:snapToGrid w:val="0"/>
                    <w:jc w:val="center"/>
                    <w:rPr>
                      <w:bCs/>
                      <w:szCs w:val="21"/>
                    </w:rPr>
                  </w:pPr>
                  <w:r>
                    <w:rPr>
                      <w:szCs w:val="21"/>
                    </w:rPr>
                    <w:t>/</w:t>
                  </w:r>
                </w:p>
              </w:tc>
            </w:tr>
            <w:tr w14:paraId="520AB8F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2" w:type="dxa"/>
                  <w:vAlign w:val="center"/>
                </w:tcPr>
                <w:p w14:paraId="520AB8F2">
                  <w:pPr>
                    <w:adjustRightInd w:val="0"/>
                    <w:snapToGrid w:val="0"/>
                    <w:jc w:val="center"/>
                    <w:rPr>
                      <w:bCs/>
                      <w:szCs w:val="21"/>
                    </w:rPr>
                  </w:pPr>
                  <w:r>
                    <w:rPr>
                      <w:bCs/>
                      <w:szCs w:val="21"/>
                    </w:rPr>
                    <w:t>2</w:t>
                  </w:r>
                </w:p>
              </w:tc>
              <w:tc>
                <w:tcPr>
                  <w:tcW w:w="1393" w:type="dxa"/>
                  <w:vAlign w:val="center"/>
                </w:tcPr>
                <w:p w14:paraId="520AB8F3">
                  <w:pPr>
                    <w:adjustRightInd w:val="0"/>
                    <w:snapToGrid w:val="0"/>
                    <w:jc w:val="center"/>
                    <w:rPr>
                      <w:bCs/>
                      <w:szCs w:val="21"/>
                    </w:rPr>
                  </w:pPr>
                  <w:r>
                    <w:rPr>
                      <w:rFonts w:hint="eastAsia"/>
                      <w:szCs w:val="21"/>
                    </w:rPr>
                    <w:t>硫酸雾</w:t>
                  </w:r>
                </w:p>
              </w:tc>
              <w:tc>
                <w:tcPr>
                  <w:tcW w:w="1985" w:type="dxa"/>
                  <w:vAlign w:val="center"/>
                </w:tcPr>
                <w:p w14:paraId="520AB8F4">
                  <w:pPr>
                    <w:pStyle w:val="41"/>
                    <w:rPr>
                      <w:bCs/>
                    </w:rPr>
                  </w:pPr>
                  <w:r>
                    <w:t>0.1409</w:t>
                  </w:r>
                </w:p>
              </w:tc>
              <w:tc>
                <w:tcPr>
                  <w:tcW w:w="2037" w:type="dxa"/>
                  <w:vAlign w:val="center"/>
                </w:tcPr>
                <w:p w14:paraId="520AB8F5">
                  <w:pPr>
                    <w:pStyle w:val="41"/>
                    <w:rPr>
                      <w:bCs/>
                    </w:rPr>
                  </w:pPr>
                  <w:r>
                    <w:t>0.1525</w:t>
                  </w:r>
                </w:p>
              </w:tc>
              <w:tc>
                <w:tcPr>
                  <w:tcW w:w="2022" w:type="dxa"/>
                  <w:gridSpan w:val="2"/>
                  <w:vAlign w:val="center"/>
                </w:tcPr>
                <w:p w14:paraId="520AB8F6">
                  <w:pPr>
                    <w:pStyle w:val="41"/>
                    <w:rPr>
                      <w:bCs/>
                    </w:rPr>
                  </w:pPr>
                  <w:r>
                    <w:t>/</w:t>
                  </w:r>
                </w:p>
              </w:tc>
            </w:tr>
            <w:tr w14:paraId="520AB8F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2" w:type="dxa"/>
                  <w:vAlign w:val="center"/>
                </w:tcPr>
                <w:p w14:paraId="520AB8F8">
                  <w:pPr>
                    <w:adjustRightInd w:val="0"/>
                    <w:snapToGrid w:val="0"/>
                    <w:jc w:val="center"/>
                    <w:rPr>
                      <w:bCs/>
                      <w:szCs w:val="21"/>
                    </w:rPr>
                  </w:pPr>
                  <w:r>
                    <w:rPr>
                      <w:rFonts w:hint="eastAsia"/>
                      <w:bCs/>
                      <w:szCs w:val="21"/>
                    </w:rPr>
                    <w:t>3</w:t>
                  </w:r>
                </w:p>
              </w:tc>
              <w:tc>
                <w:tcPr>
                  <w:tcW w:w="1393" w:type="dxa"/>
                  <w:vAlign w:val="center"/>
                </w:tcPr>
                <w:p w14:paraId="520AB8F9">
                  <w:pPr>
                    <w:adjustRightInd w:val="0"/>
                    <w:snapToGrid w:val="0"/>
                    <w:jc w:val="center"/>
                    <w:rPr>
                      <w:bCs/>
                      <w:szCs w:val="21"/>
                    </w:rPr>
                  </w:pPr>
                  <w:r>
                    <w:rPr>
                      <w:rFonts w:hint="eastAsia"/>
                      <w:szCs w:val="21"/>
                    </w:rPr>
                    <w:t>氯化氢</w:t>
                  </w:r>
                </w:p>
              </w:tc>
              <w:tc>
                <w:tcPr>
                  <w:tcW w:w="1985" w:type="dxa"/>
                  <w:vAlign w:val="center"/>
                </w:tcPr>
                <w:p w14:paraId="520AB8FA">
                  <w:pPr>
                    <w:pStyle w:val="41"/>
                    <w:rPr>
                      <w:bCs/>
                    </w:rPr>
                  </w:pPr>
                  <w:r>
                    <w:t>0.1769</w:t>
                  </w:r>
                </w:p>
              </w:tc>
              <w:tc>
                <w:tcPr>
                  <w:tcW w:w="2037" w:type="dxa"/>
                  <w:vAlign w:val="center"/>
                </w:tcPr>
                <w:p w14:paraId="520AB8FB">
                  <w:pPr>
                    <w:pStyle w:val="41"/>
                    <w:rPr>
                      <w:bCs/>
                    </w:rPr>
                  </w:pPr>
                  <w:r>
                    <w:t>0.4813</w:t>
                  </w:r>
                </w:p>
              </w:tc>
              <w:tc>
                <w:tcPr>
                  <w:tcW w:w="2022" w:type="dxa"/>
                  <w:gridSpan w:val="2"/>
                  <w:vAlign w:val="center"/>
                </w:tcPr>
                <w:p w14:paraId="520AB8FC">
                  <w:pPr>
                    <w:pStyle w:val="41"/>
                    <w:rPr>
                      <w:bCs/>
                    </w:rPr>
                  </w:pPr>
                  <w:r>
                    <w:t>/</w:t>
                  </w:r>
                </w:p>
              </w:tc>
            </w:tr>
            <w:tr w14:paraId="520AB90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2" w:type="dxa"/>
                  <w:vAlign w:val="center"/>
                </w:tcPr>
                <w:p w14:paraId="520AB8FE">
                  <w:pPr>
                    <w:adjustRightInd w:val="0"/>
                    <w:snapToGrid w:val="0"/>
                    <w:jc w:val="center"/>
                    <w:rPr>
                      <w:bCs/>
                      <w:szCs w:val="21"/>
                    </w:rPr>
                  </w:pPr>
                  <w:r>
                    <w:rPr>
                      <w:rFonts w:hint="eastAsia"/>
                      <w:bCs/>
                      <w:szCs w:val="21"/>
                    </w:rPr>
                    <w:t>4</w:t>
                  </w:r>
                </w:p>
              </w:tc>
              <w:tc>
                <w:tcPr>
                  <w:tcW w:w="1393" w:type="dxa"/>
                  <w:vAlign w:val="center"/>
                </w:tcPr>
                <w:p w14:paraId="520AB8FF">
                  <w:pPr>
                    <w:adjustRightInd w:val="0"/>
                    <w:snapToGrid w:val="0"/>
                    <w:jc w:val="center"/>
                    <w:rPr>
                      <w:bCs/>
                      <w:szCs w:val="21"/>
                    </w:rPr>
                  </w:pPr>
                  <w:r>
                    <w:rPr>
                      <w:rFonts w:hint="eastAsia"/>
                      <w:szCs w:val="21"/>
                    </w:rPr>
                    <w:t>氰化氢</w:t>
                  </w:r>
                </w:p>
              </w:tc>
              <w:tc>
                <w:tcPr>
                  <w:tcW w:w="1985" w:type="dxa"/>
                  <w:vAlign w:val="center"/>
                </w:tcPr>
                <w:p w14:paraId="520AB900">
                  <w:pPr>
                    <w:pStyle w:val="41"/>
                    <w:rPr>
                      <w:bCs/>
                    </w:rPr>
                  </w:pPr>
                  <w:r>
                    <w:t>0.0077</w:t>
                  </w:r>
                </w:p>
              </w:tc>
              <w:tc>
                <w:tcPr>
                  <w:tcW w:w="2037" w:type="dxa"/>
                  <w:vAlign w:val="center"/>
                </w:tcPr>
                <w:p w14:paraId="520AB901">
                  <w:pPr>
                    <w:pStyle w:val="41"/>
                    <w:rPr>
                      <w:bCs/>
                    </w:rPr>
                  </w:pPr>
                  <w:r>
                    <w:t>0.0086</w:t>
                  </w:r>
                </w:p>
              </w:tc>
              <w:tc>
                <w:tcPr>
                  <w:tcW w:w="2022" w:type="dxa"/>
                  <w:gridSpan w:val="2"/>
                  <w:vAlign w:val="center"/>
                </w:tcPr>
                <w:p w14:paraId="520AB902">
                  <w:pPr>
                    <w:pStyle w:val="41"/>
                    <w:rPr>
                      <w:bCs/>
                    </w:rPr>
                  </w:pPr>
                  <w:r>
                    <w:t>/</w:t>
                  </w:r>
                </w:p>
              </w:tc>
            </w:tr>
            <w:tr w14:paraId="520AB90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2" w:type="dxa"/>
                  <w:vAlign w:val="center"/>
                </w:tcPr>
                <w:p w14:paraId="520AB904">
                  <w:pPr>
                    <w:adjustRightInd w:val="0"/>
                    <w:snapToGrid w:val="0"/>
                    <w:jc w:val="center"/>
                    <w:rPr>
                      <w:bCs/>
                      <w:szCs w:val="21"/>
                    </w:rPr>
                  </w:pPr>
                  <w:r>
                    <w:rPr>
                      <w:rFonts w:hint="eastAsia"/>
                      <w:bCs/>
                      <w:szCs w:val="21"/>
                    </w:rPr>
                    <w:t>5</w:t>
                  </w:r>
                </w:p>
              </w:tc>
              <w:tc>
                <w:tcPr>
                  <w:tcW w:w="1393" w:type="dxa"/>
                  <w:vAlign w:val="center"/>
                </w:tcPr>
                <w:p w14:paraId="520AB905">
                  <w:pPr>
                    <w:adjustRightInd w:val="0"/>
                    <w:snapToGrid w:val="0"/>
                    <w:jc w:val="center"/>
                    <w:rPr>
                      <w:bCs/>
                      <w:szCs w:val="21"/>
                    </w:rPr>
                  </w:pPr>
                  <w:r>
                    <w:rPr>
                      <w:rFonts w:hint="eastAsia"/>
                      <w:szCs w:val="21"/>
                    </w:rPr>
                    <w:t>氮氧化物</w:t>
                  </w:r>
                </w:p>
              </w:tc>
              <w:tc>
                <w:tcPr>
                  <w:tcW w:w="1985" w:type="dxa"/>
                  <w:vAlign w:val="center"/>
                </w:tcPr>
                <w:p w14:paraId="520AB906">
                  <w:pPr>
                    <w:pStyle w:val="41"/>
                    <w:rPr>
                      <w:bCs/>
                    </w:rPr>
                  </w:pPr>
                  <w:r>
                    <w:t>0.7709</w:t>
                  </w:r>
                </w:p>
              </w:tc>
              <w:tc>
                <w:tcPr>
                  <w:tcW w:w="2037" w:type="dxa"/>
                  <w:vAlign w:val="center"/>
                </w:tcPr>
                <w:p w14:paraId="520AB907">
                  <w:pPr>
                    <w:pStyle w:val="41"/>
                    <w:rPr>
                      <w:bCs/>
                    </w:rPr>
                  </w:pPr>
                  <w:r>
                    <w:t>5.1907</w:t>
                  </w:r>
                </w:p>
              </w:tc>
              <w:tc>
                <w:tcPr>
                  <w:tcW w:w="2022" w:type="dxa"/>
                  <w:gridSpan w:val="2"/>
                  <w:vAlign w:val="center"/>
                </w:tcPr>
                <w:p w14:paraId="520AB908">
                  <w:pPr>
                    <w:pStyle w:val="41"/>
                    <w:rPr>
                      <w:bCs/>
                    </w:rPr>
                  </w:pPr>
                  <w:r>
                    <w:t>/</w:t>
                  </w:r>
                </w:p>
              </w:tc>
            </w:tr>
            <w:tr w14:paraId="520AB90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2" w:type="dxa"/>
                  <w:vAlign w:val="center"/>
                </w:tcPr>
                <w:p w14:paraId="520AB90A">
                  <w:pPr>
                    <w:adjustRightInd w:val="0"/>
                    <w:snapToGrid w:val="0"/>
                    <w:jc w:val="center"/>
                    <w:rPr>
                      <w:bCs/>
                      <w:szCs w:val="21"/>
                    </w:rPr>
                  </w:pPr>
                  <w:r>
                    <w:rPr>
                      <w:bCs/>
                      <w:szCs w:val="21"/>
                    </w:rPr>
                    <w:t>6</w:t>
                  </w:r>
                </w:p>
              </w:tc>
              <w:tc>
                <w:tcPr>
                  <w:tcW w:w="1393" w:type="dxa"/>
                  <w:vAlign w:val="center"/>
                </w:tcPr>
                <w:p w14:paraId="520AB90B">
                  <w:pPr>
                    <w:adjustRightInd w:val="0"/>
                    <w:snapToGrid w:val="0"/>
                    <w:jc w:val="center"/>
                    <w:rPr>
                      <w:bCs/>
                      <w:szCs w:val="21"/>
                    </w:rPr>
                  </w:pPr>
                  <w:r>
                    <w:rPr>
                      <w:rFonts w:hint="eastAsia"/>
                      <w:szCs w:val="21"/>
                    </w:rPr>
                    <w:t>锡及其化合物</w:t>
                  </w:r>
                </w:p>
              </w:tc>
              <w:tc>
                <w:tcPr>
                  <w:tcW w:w="1985" w:type="dxa"/>
                  <w:vAlign w:val="center"/>
                </w:tcPr>
                <w:p w14:paraId="520AB90C">
                  <w:pPr>
                    <w:pStyle w:val="41"/>
                    <w:rPr>
                      <w:bCs/>
                    </w:rPr>
                  </w:pPr>
                  <w:r>
                    <w:t>/</w:t>
                  </w:r>
                </w:p>
              </w:tc>
              <w:tc>
                <w:tcPr>
                  <w:tcW w:w="2037" w:type="dxa"/>
                  <w:vAlign w:val="center"/>
                </w:tcPr>
                <w:p w14:paraId="520AB90D">
                  <w:pPr>
                    <w:pStyle w:val="41"/>
                    <w:rPr>
                      <w:bCs/>
                    </w:rPr>
                  </w:pPr>
                  <w:r>
                    <w:t>/</w:t>
                  </w:r>
                </w:p>
              </w:tc>
              <w:tc>
                <w:tcPr>
                  <w:tcW w:w="2022" w:type="dxa"/>
                  <w:gridSpan w:val="2"/>
                  <w:vAlign w:val="center"/>
                </w:tcPr>
                <w:p w14:paraId="520AB90E">
                  <w:pPr>
                    <w:pStyle w:val="41"/>
                    <w:rPr>
                      <w:bCs/>
                    </w:rPr>
                  </w:pPr>
                  <w:r>
                    <w:t>0.022</w:t>
                  </w:r>
                  <w:r>
                    <w:rPr>
                      <w:rFonts w:hint="eastAsia"/>
                    </w:rPr>
                    <w:t>0</w:t>
                  </w:r>
                </w:p>
              </w:tc>
            </w:tr>
            <w:tr w14:paraId="520AB91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2" w:type="dxa"/>
                  <w:vAlign w:val="center"/>
                </w:tcPr>
                <w:p w14:paraId="520AB910">
                  <w:pPr>
                    <w:adjustRightInd w:val="0"/>
                    <w:snapToGrid w:val="0"/>
                    <w:jc w:val="center"/>
                    <w:rPr>
                      <w:bCs/>
                      <w:szCs w:val="21"/>
                    </w:rPr>
                  </w:pPr>
                  <w:r>
                    <w:rPr>
                      <w:bCs/>
                      <w:szCs w:val="21"/>
                    </w:rPr>
                    <w:t>7</w:t>
                  </w:r>
                </w:p>
              </w:tc>
              <w:tc>
                <w:tcPr>
                  <w:tcW w:w="1393" w:type="dxa"/>
                  <w:vAlign w:val="center"/>
                </w:tcPr>
                <w:p w14:paraId="520AB911">
                  <w:pPr>
                    <w:adjustRightInd w:val="0"/>
                    <w:snapToGrid w:val="0"/>
                    <w:jc w:val="center"/>
                    <w:rPr>
                      <w:bCs/>
                      <w:szCs w:val="21"/>
                    </w:rPr>
                  </w:pPr>
                  <w:r>
                    <w:rPr>
                      <w:rFonts w:hint="eastAsia"/>
                      <w:szCs w:val="21"/>
                    </w:rPr>
                    <w:t>颗粒物</w:t>
                  </w:r>
                </w:p>
              </w:tc>
              <w:tc>
                <w:tcPr>
                  <w:tcW w:w="1985" w:type="dxa"/>
                  <w:vAlign w:val="center"/>
                </w:tcPr>
                <w:p w14:paraId="520AB912">
                  <w:pPr>
                    <w:pStyle w:val="41"/>
                    <w:rPr>
                      <w:bCs/>
                    </w:rPr>
                  </w:pPr>
                  <w:r>
                    <w:t>0.4388</w:t>
                  </w:r>
                </w:p>
              </w:tc>
              <w:tc>
                <w:tcPr>
                  <w:tcW w:w="2037" w:type="dxa"/>
                  <w:vAlign w:val="center"/>
                </w:tcPr>
                <w:p w14:paraId="520AB913">
                  <w:pPr>
                    <w:pStyle w:val="41"/>
                    <w:rPr>
                      <w:bCs/>
                    </w:rPr>
                  </w:pPr>
                  <w:r>
                    <w:t>1.424</w:t>
                  </w:r>
                  <w:r>
                    <w:rPr>
                      <w:rFonts w:hint="eastAsia"/>
                    </w:rPr>
                    <w:t>0</w:t>
                  </w:r>
                  <w:r>
                    <w:t>4</w:t>
                  </w:r>
                </w:p>
              </w:tc>
              <w:tc>
                <w:tcPr>
                  <w:tcW w:w="2022" w:type="dxa"/>
                  <w:gridSpan w:val="2"/>
                  <w:vAlign w:val="center"/>
                </w:tcPr>
                <w:p w14:paraId="520AB914">
                  <w:pPr>
                    <w:pStyle w:val="41"/>
                    <w:rPr>
                      <w:bCs/>
                    </w:rPr>
                  </w:pPr>
                  <w:r>
                    <w:t>0.1296</w:t>
                  </w:r>
                </w:p>
              </w:tc>
            </w:tr>
            <w:tr w14:paraId="520AB91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2" w:type="dxa"/>
                  <w:vAlign w:val="center"/>
                </w:tcPr>
                <w:p w14:paraId="520AB916">
                  <w:pPr>
                    <w:adjustRightInd w:val="0"/>
                    <w:snapToGrid w:val="0"/>
                    <w:jc w:val="center"/>
                    <w:rPr>
                      <w:bCs/>
                      <w:szCs w:val="21"/>
                    </w:rPr>
                  </w:pPr>
                  <w:r>
                    <w:rPr>
                      <w:rFonts w:hint="eastAsia"/>
                      <w:bCs/>
                      <w:szCs w:val="21"/>
                    </w:rPr>
                    <w:t>8</w:t>
                  </w:r>
                </w:p>
              </w:tc>
              <w:tc>
                <w:tcPr>
                  <w:tcW w:w="1393" w:type="dxa"/>
                  <w:vAlign w:val="center"/>
                </w:tcPr>
                <w:p w14:paraId="520AB917">
                  <w:pPr>
                    <w:adjustRightInd w:val="0"/>
                    <w:snapToGrid w:val="0"/>
                    <w:jc w:val="center"/>
                    <w:rPr>
                      <w:bCs/>
                      <w:szCs w:val="21"/>
                    </w:rPr>
                  </w:pPr>
                  <w:r>
                    <w:rPr>
                      <w:szCs w:val="21"/>
                    </w:rPr>
                    <w:t>VOCs</w:t>
                  </w:r>
                </w:p>
              </w:tc>
              <w:tc>
                <w:tcPr>
                  <w:tcW w:w="1985" w:type="dxa"/>
                  <w:vAlign w:val="center"/>
                </w:tcPr>
                <w:p w14:paraId="520AB918">
                  <w:pPr>
                    <w:pStyle w:val="41"/>
                    <w:rPr>
                      <w:bCs/>
                    </w:rPr>
                  </w:pPr>
                  <w:r>
                    <w:t>2.2324</w:t>
                  </w:r>
                </w:p>
              </w:tc>
              <w:tc>
                <w:tcPr>
                  <w:tcW w:w="2037" w:type="dxa"/>
                  <w:vAlign w:val="center"/>
                </w:tcPr>
                <w:p w14:paraId="520AB919">
                  <w:pPr>
                    <w:pStyle w:val="41"/>
                    <w:rPr>
                      <w:bCs/>
                    </w:rPr>
                  </w:pPr>
                  <w:r>
                    <w:t>2.5052</w:t>
                  </w:r>
                </w:p>
              </w:tc>
              <w:tc>
                <w:tcPr>
                  <w:tcW w:w="2022" w:type="dxa"/>
                  <w:gridSpan w:val="2"/>
                  <w:vAlign w:val="center"/>
                </w:tcPr>
                <w:p w14:paraId="520AB91A">
                  <w:pPr>
                    <w:pStyle w:val="41"/>
                    <w:rPr>
                      <w:bCs/>
                    </w:rPr>
                  </w:pPr>
                  <w:r>
                    <w:t>2.2023</w:t>
                  </w:r>
                </w:p>
              </w:tc>
            </w:tr>
            <w:tr w14:paraId="520AB92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2" w:type="dxa"/>
                  <w:vAlign w:val="center"/>
                </w:tcPr>
                <w:p w14:paraId="520AB91C">
                  <w:pPr>
                    <w:adjustRightInd w:val="0"/>
                    <w:snapToGrid w:val="0"/>
                    <w:jc w:val="center"/>
                    <w:rPr>
                      <w:bCs/>
                      <w:szCs w:val="21"/>
                    </w:rPr>
                  </w:pPr>
                  <w:r>
                    <w:rPr>
                      <w:rFonts w:hint="eastAsia"/>
                      <w:bCs/>
                      <w:szCs w:val="21"/>
                    </w:rPr>
                    <w:t>9</w:t>
                  </w:r>
                </w:p>
              </w:tc>
              <w:tc>
                <w:tcPr>
                  <w:tcW w:w="1393" w:type="dxa"/>
                  <w:vAlign w:val="center"/>
                </w:tcPr>
                <w:p w14:paraId="520AB91D">
                  <w:pPr>
                    <w:adjustRightInd w:val="0"/>
                    <w:snapToGrid w:val="0"/>
                    <w:jc w:val="center"/>
                    <w:rPr>
                      <w:szCs w:val="21"/>
                    </w:rPr>
                  </w:pPr>
                  <w:r>
                    <w:rPr>
                      <w:rFonts w:hint="eastAsia"/>
                      <w:szCs w:val="21"/>
                    </w:rPr>
                    <w:t>氨</w:t>
                  </w:r>
                </w:p>
              </w:tc>
              <w:tc>
                <w:tcPr>
                  <w:tcW w:w="1985" w:type="dxa"/>
                  <w:vAlign w:val="center"/>
                </w:tcPr>
                <w:p w14:paraId="520AB91E">
                  <w:pPr>
                    <w:pStyle w:val="41"/>
                  </w:pPr>
                  <w:r>
                    <w:t>/</w:t>
                  </w:r>
                </w:p>
              </w:tc>
              <w:tc>
                <w:tcPr>
                  <w:tcW w:w="2037" w:type="dxa"/>
                  <w:vAlign w:val="center"/>
                </w:tcPr>
                <w:p w14:paraId="520AB91F">
                  <w:pPr>
                    <w:pStyle w:val="41"/>
                  </w:pPr>
                  <w:r>
                    <w:t>/</w:t>
                  </w:r>
                </w:p>
              </w:tc>
              <w:tc>
                <w:tcPr>
                  <w:tcW w:w="2022" w:type="dxa"/>
                  <w:gridSpan w:val="2"/>
                  <w:vAlign w:val="center"/>
                </w:tcPr>
                <w:p w14:paraId="520AB920">
                  <w:pPr>
                    <w:pStyle w:val="41"/>
                    <w:rPr>
                      <w:bCs/>
                    </w:rPr>
                  </w:pPr>
                  <w:r>
                    <w:t>0.0111</w:t>
                  </w:r>
                </w:p>
              </w:tc>
            </w:tr>
            <w:bookmarkEnd w:id="4"/>
          </w:tbl>
          <w:p w14:paraId="520AB922">
            <w:pPr>
              <w:adjustRightInd w:val="0"/>
              <w:snapToGrid w:val="0"/>
              <w:spacing w:line="460" w:lineRule="exact"/>
              <w:ind w:firstLine="482" w:firstLineChars="200"/>
              <w:rPr>
                <w:b/>
                <w:sz w:val="24"/>
              </w:rPr>
            </w:pPr>
            <w:r>
              <w:rPr>
                <w:rFonts w:hint="eastAsia"/>
                <w:b/>
                <w:sz w:val="24"/>
              </w:rPr>
              <w:t>（3）</w:t>
            </w:r>
            <w:r>
              <w:rPr>
                <w:b/>
                <w:sz w:val="24"/>
              </w:rPr>
              <w:t>噪声</w:t>
            </w:r>
          </w:p>
          <w:p w14:paraId="520AB923">
            <w:pPr>
              <w:spacing w:line="460" w:lineRule="exact"/>
              <w:ind w:firstLine="480" w:firstLineChars="200"/>
              <w:rPr>
                <w:sz w:val="24"/>
              </w:rPr>
            </w:pPr>
            <w:r>
              <w:rPr>
                <w:rFonts w:hint="eastAsia"/>
                <w:sz w:val="24"/>
              </w:rPr>
              <w:t>建设路厂区现有工程主要高噪声设备为机械加工设备，</w:t>
            </w:r>
            <w:r>
              <w:rPr>
                <w:rFonts w:hint="eastAsia"/>
                <w:bCs/>
                <w:sz w:val="24"/>
              </w:rPr>
              <w:t>采取设备减振、厂房隔声等措施后能够达标排放。</w:t>
            </w:r>
            <w:r>
              <w:rPr>
                <w:rFonts w:hint="eastAsia"/>
                <w:sz w:val="24"/>
              </w:rPr>
              <w:t>根据河南鑫成环测检测技术有限公司2025年4月29日对厂界四周噪声检测结果可知，检测期间，东、南、西、北各厂界昼间噪声值在53~56dB(A)之间、夜间噪声值在45~48dB(A)之间，可以满足《工业企业厂界环境噪声排放标准》（</w:t>
            </w:r>
            <w:r>
              <w:rPr>
                <w:sz w:val="24"/>
              </w:rPr>
              <w:t>GB12348-2008</w:t>
            </w:r>
            <w:r>
              <w:rPr>
                <w:rFonts w:hint="eastAsia"/>
                <w:sz w:val="24"/>
              </w:rPr>
              <w:t>）2类标准，即昼间</w:t>
            </w:r>
            <w:r>
              <w:rPr>
                <w:sz w:val="24"/>
              </w:rPr>
              <w:t>6</w:t>
            </w:r>
            <w:r>
              <w:rPr>
                <w:rFonts w:hint="eastAsia"/>
                <w:sz w:val="24"/>
              </w:rPr>
              <w:t>0</w:t>
            </w:r>
            <w:r>
              <w:rPr>
                <w:sz w:val="24"/>
              </w:rPr>
              <w:t>dB</w:t>
            </w:r>
            <w:r>
              <w:rPr>
                <w:rFonts w:hint="eastAsia"/>
                <w:sz w:val="24"/>
              </w:rPr>
              <w:t>(</w:t>
            </w:r>
            <w:r>
              <w:rPr>
                <w:sz w:val="24"/>
              </w:rPr>
              <w:t>A</w:t>
            </w:r>
            <w:r>
              <w:rPr>
                <w:rFonts w:hint="eastAsia"/>
                <w:sz w:val="24"/>
              </w:rPr>
              <w:t>)、夜间50</w:t>
            </w:r>
            <w:r>
              <w:rPr>
                <w:sz w:val="24"/>
              </w:rPr>
              <w:t>dB(A</w:t>
            </w:r>
            <w:r>
              <w:rPr>
                <w:rFonts w:hint="eastAsia"/>
                <w:sz w:val="24"/>
              </w:rPr>
              <w:t>)。</w:t>
            </w:r>
          </w:p>
          <w:p w14:paraId="520AB924">
            <w:pPr>
              <w:spacing w:line="460" w:lineRule="exact"/>
              <w:ind w:firstLine="482" w:firstLineChars="200"/>
              <w:rPr>
                <w:b/>
                <w:sz w:val="24"/>
              </w:rPr>
            </w:pPr>
            <w:r>
              <w:rPr>
                <w:rFonts w:hint="eastAsia"/>
                <w:b/>
                <w:sz w:val="24"/>
              </w:rPr>
              <w:t>（4）固废</w:t>
            </w:r>
          </w:p>
          <w:p w14:paraId="520AB925">
            <w:pPr>
              <w:spacing w:line="460" w:lineRule="exact"/>
              <w:ind w:firstLine="480" w:firstLineChars="200"/>
              <w:rPr>
                <w:sz w:val="24"/>
              </w:rPr>
            </w:pPr>
            <w:r>
              <w:rPr>
                <w:rFonts w:hint="eastAsia"/>
                <w:sz w:val="24"/>
              </w:rPr>
              <w:t>建设路厂区已建工程产生的一般固废主要为废包装材料10t/a；危险废物主要为含油废金属屑14.</w:t>
            </w:r>
            <w:r>
              <w:rPr>
                <w:sz w:val="24"/>
              </w:rPr>
              <w:t>955</w:t>
            </w:r>
            <w:r>
              <w:rPr>
                <w:rFonts w:hint="eastAsia"/>
                <w:sz w:val="24"/>
              </w:rPr>
              <w:t>t/a、废切削液20</w:t>
            </w:r>
            <w:r>
              <w:rPr>
                <w:sz w:val="24"/>
              </w:rPr>
              <w:t>.07</w:t>
            </w:r>
            <w:r>
              <w:rPr>
                <w:rFonts w:hint="eastAsia"/>
                <w:sz w:val="24"/>
              </w:rPr>
              <w:t>t/a、废漆渣、稀料12t/a、废矿物油15</w:t>
            </w:r>
            <w:r>
              <w:rPr>
                <w:sz w:val="24"/>
              </w:rPr>
              <w:t>.1</w:t>
            </w:r>
            <w:r>
              <w:rPr>
                <w:rFonts w:hint="eastAsia"/>
                <w:sz w:val="24"/>
              </w:rPr>
              <w:t>t/a、废液压油4</w:t>
            </w:r>
            <w:r>
              <w:rPr>
                <w:sz w:val="24"/>
              </w:rPr>
              <w:t>.02</w:t>
            </w:r>
            <w:r>
              <w:rPr>
                <w:rFonts w:hint="eastAsia"/>
                <w:sz w:val="24"/>
              </w:rPr>
              <w:t>t/a、废乙二醇1t/a、废酒精1t/a、废感光材料2t/a（射线探伤产生）、废化学药品1t/a、废化学药品包装物1t/a、废漆桶2t/a、废U</w:t>
            </w:r>
            <w:r>
              <w:rPr>
                <w:sz w:val="24"/>
              </w:rPr>
              <w:t>V</w:t>
            </w:r>
            <w:r>
              <w:rPr>
                <w:rFonts w:hint="eastAsia"/>
                <w:sz w:val="24"/>
              </w:rPr>
              <w:t>灯管暂未产生、废瓦楞纸、过滤棉1t/a、废滤袋、滤筒1t/a、废活性炭3</w:t>
            </w:r>
            <w:r>
              <w:rPr>
                <w:sz w:val="24"/>
              </w:rPr>
              <w:t>.06</w:t>
            </w:r>
            <w:r>
              <w:rPr>
                <w:rFonts w:hint="eastAsia"/>
                <w:sz w:val="24"/>
              </w:rPr>
              <w:t>t/a、废石英砂1</w:t>
            </w:r>
            <w:r>
              <w:rPr>
                <w:sz w:val="24"/>
              </w:rPr>
              <w:t>.2</w:t>
            </w:r>
            <w:r>
              <w:rPr>
                <w:rFonts w:hint="eastAsia"/>
                <w:sz w:val="24"/>
              </w:rPr>
              <w:t>t/a、废含油棉纱5t/a、含铬污泥50t/a、废活性炭（含铬）2t/a、废氰化物包装物0.5t/a、碳氢废液5t/a、废催化剂0.0</w:t>
            </w:r>
            <w:r>
              <w:rPr>
                <w:sz w:val="24"/>
              </w:rPr>
              <w:t>4</w:t>
            </w:r>
            <w:r>
              <w:rPr>
                <w:rFonts w:hint="eastAsia"/>
                <w:sz w:val="24"/>
              </w:rPr>
              <w:t>t/5a。废包装材料收集至一般固废间定期外售；含油废金属屑</w:t>
            </w:r>
            <w:r>
              <w:rPr>
                <w:rFonts w:hint="eastAsia"/>
                <w:bCs/>
                <w:sz w:val="24"/>
              </w:rPr>
              <w:t>放置在危废贮存库内将废切削液过滤收集后作为危险废物交由有资质的单位进行安全处置，废金属屑静置至无</w:t>
            </w:r>
            <w:r>
              <w:rPr>
                <w:rFonts w:hint="eastAsia"/>
                <w:sz w:val="24"/>
              </w:rPr>
              <w:t>切削液</w:t>
            </w:r>
            <w:r>
              <w:rPr>
                <w:rFonts w:hint="eastAsia"/>
                <w:bCs/>
                <w:sz w:val="24"/>
              </w:rPr>
              <w:t>滴漏后打包综合利用</w:t>
            </w:r>
            <w:r>
              <w:rPr>
                <w:rFonts w:hint="eastAsia"/>
                <w:sz w:val="24"/>
              </w:rPr>
              <w:t>，其他危险废物分类分区收集暂存于危废贮存库，</w:t>
            </w:r>
            <w:r>
              <w:rPr>
                <w:sz w:val="24"/>
              </w:rPr>
              <w:t>定期</w:t>
            </w:r>
            <w:r>
              <w:rPr>
                <w:rFonts w:hint="eastAsia"/>
                <w:sz w:val="24"/>
              </w:rPr>
              <w:t>交由有</w:t>
            </w:r>
            <w:r>
              <w:rPr>
                <w:sz w:val="24"/>
              </w:rPr>
              <w:t>危废处理资质单位安全处</w:t>
            </w:r>
            <w:r>
              <w:rPr>
                <w:rFonts w:hint="eastAsia"/>
                <w:sz w:val="24"/>
              </w:rPr>
              <w:t>置。</w:t>
            </w:r>
          </w:p>
          <w:p w14:paraId="520AB926">
            <w:pPr>
              <w:adjustRightInd w:val="0"/>
              <w:snapToGrid w:val="0"/>
              <w:spacing w:line="460" w:lineRule="exact"/>
              <w:ind w:firstLine="480" w:firstLineChars="200"/>
              <w:rPr>
                <w:sz w:val="24"/>
              </w:rPr>
            </w:pPr>
            <w:r>
              <w:rPr>
                <w:rFonts w:hint="eastAsia"/>
                <w:sz w:val="24"/>
              </w:rPr>
              <w:t>建设路厂区在建工程产生的一般固废主要为废包装材料0.006t/a、废石英砂3t/a、除尘器收集粉尘4.6906t/a；危险废物主要为含油废金属屑</w:t>
            </w:r>
            <w:r>
              <w:rPr>
                <w:sz w:val="24"/>
              </w:rPr>
              <w:t>8.1</w:t>
            </w:r>
            <w:r>
              <w:rPr>
                <w:rFonts w:hint="eastAsia"/>
                <w:sz w:val="24"/>
              </w:rPr>
              <w:t>t/a、废切削液5.8</w:t>
            </w:r>
            <w:r>
              <w:rPr>
                <w:sz w:val="24"/>
              </w:rPr>
              <w:t>45</w:t>
            </w:r>
            <w:r>
              <w:rPr>
                <w:rFonts w:hint="eastAsia"/>
                <w:sz w:val="24"/>
              </w:rPr>
              <w:t>t/a、废液压油0.1</w:t>
            </w:r>
            <w:r>
              <w:rPr>
                <w:sz w:val="24"/>
              </w:rPr>
              <w:t>1</w:t>
            </w:r>
            <w:r>
              <w:rPr>
                <w:rFonts w:hint="eastAsia"/>
                <w:sz w:val="24"/>
              </w:rPr>
              <w:t>6t/a、废矿物油9</w:t>
            </w:r>
            <w:r>
              <w:rPr>
                <w:sz w:val="24"/>
              </w:rPr>
              <w:t>3.1</w:t>
            </w:r>
            <w:r>
              <w:rPr>
                <w:rFonts w:hint="eastAsia"/>
                <w:sz w:val="24"/>
              </w:rPr>
              <w:t>75t/a、废活性炭</w:t>
            </w:r>
            <w:r>
              <w:rPr>
                <w:sz w:val="24"/>
              </w:rPr>
              <w:t>8</w:t>
            </w:r>
            <w:r>
              <w:rPr>
                <w:rFonts w:hint="eastAsia"/>
                <w:sz w:val="24"/>
              </w:rPr>
              <w:t>.</w:t>
            </w:r>
            <w:r>
              <w:rPr>
                <w:sz w:val="24"/>
              </w:rPr>
              <w:t>168</w:t>
            </w:r>
            <w:r>
              <w:rPr>
                <w:rFonts w:hint="eastAsia"/>
                <w:sz w:val="24"/>
              </w:rPr>
              <w:t>t/a、废催化剂0.0</w:t>
            </w:r>
            <w:r>
              <w:rPr>
                <w:sz w:val="24"/>
              </w:rPr>
              <w:t>6</w:t>
            </w:r>
            <w:r>
              <w:rPr>
                <w:rFonts w:hint="eastAsia"/>
                <w:sz w:val="24"/>
              </w:rPr>
              <w:t>t/5a、改性醇釜残2.4t/a、碳氢清洗釜残10.5t/a、废UV灯管0.003t/a。含油废金属屑放置在危废贮存库内将废切削液过滤收集后作为危险废物交由有资质的单位进行安全处置，废金属屑静置至无切削液滴漏后打包综合利用，其他危险废物收集暂存于危废贮存库，定期交由有危废处理资质单位安全处置。</w:t>
            </w:r>
          </w:p>
          <w:p w14:paraId="520AB927">
            <w:pPr>
              <w:adjustRightInd w:val="0"/>
              <w:snapToGrid w:val="0"/>
              <w:spacing w:line="460" w:lineRule="exact"/>
              <w:ind w:firstLine="480" w:firstLineChars="200"/>
              <w:rPr>
                <w:bCs/>
                <w:kern w:val="0"/>
                <w:sz w:val="24"/>
              </w:rPr>
            </w:pPr>
            <w:r>
              <w:rPr>
                <w:rFonts w:hint="eastAsia"/>
                <w:sz w:val="24"/>
              </w:rPr>
              <w:t>现有工程设置了1座1</w:t>
            </w:r>
            <w:r>
              <w:rPr>
                <w:sz w:val="24"/>
              </w:rPr>
              <w:t>00</w:t>
            </w:r>
            <w:r>
              <w:rPr>
                <w:rFonts w:hint="eastAsia"/>
                <w:sz w:val="24"/>
              </w:rPr>
              <w:t>m</w:t>
            </w:r>
            <w:r>
              <w:rPr>
                <w:rFonts w:hint="eastAsia"/>
                <w:sz w:val="24"/>
                <w:vertAlign w:val="superscript"/>
              </w:rPr>
              <w:t>2</w:t>
            </w:r>
            <w:r>
              <w:rPr>
                <w:rFonts w:hint="eastAsia"/>
                <w:sz w:val="24"/>
              </w:rPr>
              <w:t>的</w:t>
            </w:r>
            <w:r>
              <w:rPr>
                <w:sz w:val="24"/>
              </w:rPr>
              <w:t>一般固废间</w:t>
            </w:r>
            <w:r>
              <w:rPr>
                <w:rFonts w:hint="eastAsia"/>
                <w:sz w:val="24"/>
              </w:rPr>
              <w:t>，已采取防渗漏、防雨淋、防扬尘设施，满足</w:t>
            </w:r>
            <w:r>
              <w:rPr>
                <w:sz w:val="24"/>
              </w:rPr>
              <w:t>《一般工业固体废物贮存和填埋污染控制标准》（GB18599-2020）的</w:t>
            </w:r>
            <w:r>
              <w:rPr>
                <w:rFonts w:hint="eastAsia"/>
                <w:sz w:val="24"/>
              </w:rPr>
              <w:t>防渗漏、防雨淋、防扬尘要求。</w:t>
            </w:r>
            <w:r>
              <w:rPr>
                <w:rFonts w:hint="eastAsia"/>
                <w:bCs/>
                <w:kern w:val="0"/>
                <w:sz w:val="24"/>
              </w:rPr>
              <w:t>现有工程已设置了1座</w:t>
            </w:r>
            <w:r>
              <w:rPr>
                <w:rFonts w:hint="eastAsia"/>
                <w:bCs/>
                <w:sz w:val="24"/>
              </w:rPr>
              <w:t>危废贮存库（内含7间危废贮存间，</w:t>
            </w:r>
            <w:r>
              <w:rPr>
                <w:rFonts w:hint="eastAsia"/>
                <w:bCs/>
                <w:kern w:val="0"/>
                <w:sz w:val="24"/>
              </w:rPr>
              <w:t>共1</w:t>
            </w:r>
            <w:r>
              <w:rPr>
                <w:bCs/>
                <w:kern w:val="0"/>
                <w:sz w:val="24"/>
              </w:rPr>
              <w:t>98</w:t>
            </w:r>
            <w:r>
              <w:rPr>
                <w:rFonts w:hint="eastAsia"/>
                <w:bCs/>
                <w:kern w:val="0"/>
                <w:sz w:val="24"/>
              </w:rPr>
              <w:t>m</w:t>
            </w:r>
            <w:r>
              <w:rPr>
                <w:rFonts w:hint="eastAsia"/>
                <w:bCs/>
                <w:kern w:val="0"/>
                <w:sz w:val="24"/>
                <w:vertAlign w:val="superscript"/>
              </w:rPr>
              <w:t>2</w:t>
            </w:r>
            <w:r>
              <w:rPr>
                <w:rFonts w:hint="eastAsia"/>
                <w:bCs/>
                <w:sz w:val="24"/>
              </w:rPr>
              <w:t>）</w:t>
            </w:r>
            <w:r>
              <w:rPr>
                <w:rFonts w:hint="eastAsia"/>
                <w:bCs/>
                <w:kern w:val="0"/>
                <w:sz w:val="24"/>
              </w:rPr>
              <w:t>，满足</w:t>
            </w:r>
            <w:r>
              <w:rPr>
                <w:bCs/>
                <w:kern w:val="0"/>
                <w:sz w:val="24"/>
              </w:rPr>
              <w:t>防风、防晒、防雨淋</w:t>
            </w:r>
            <w:r>
              <w:rPr>
                <w:rFonts w:hint="eastAsia"/>
                <w:bCs/>
                <w:kern w:val="0"/>
                <w:sz w:val="24"/>
              </w:rPr>
              <w:t>的“</w:t>
            </w:r>
            <w:r>
              <w:rPr>
                <w:bCs/>
                <w:kern w:val="0"/>
                <w:sz w:val="24"/>
              </w:rPr>
              <w:t>三防</w:t>
            </w:r>
            <w:r>
              <w:rPr>
                <w:rFonts w:hint="eastAsia"/>
                <w:bCs/>
                <w:kern w:val="0"/>
                <w:sz w:val="24"/>
              </w:rPr>
              <w:t>”</w:t>
            </w:r>
            <w:r>
              <w:rPr>
                <w:bCs/>
                <w:kern w:val="0"/>
                <w:sz w:val="24"/>
              </w:rPr>
              <w:t>要求，地面采取了硬化和防腐防渗设施，满足</w:t>
            </w:r>
            <w:r>
              <w:rPr>
                <w:rFonts w:hint="eastAsia"/>
                <w:bCs/>
                <w:kern w:val="0"/>
                <w:sz w:val="24"/>
              </w:rPr>
              <w:t>《危险废物贮存污染控制标准》（GB18597-2023）</w:t>
            </w:r>
            <w:r>
              <w:rPr>
                <w:bCs/>
                <w:kern w:val="0"/>
                <w:sz w:val="24"/>
              </w:rPr>
              <w:t>的要求。</w:t>
            </w:r>
          </w:p>
          <w:p w14:paraId="520AB928">
            <w:pPr>
              <w:adjustRightInd w:val="0"/>
              <w:snapToGrid w:val="0"/>
              <w:spacing w:line="460" w:lineRule="exact"/>
              <w:ind w:firstLine="482" w:firstLineChars="200"/>
              <w:rPr>
                <w:b/>
                <w:kern w:val="0"/>
                <w:sz w:val="24"/>
              </w:rPr>
            </w:pPr>
            <w:r>
              <w:rPr>
                <w:rFonts w:hint="eastAsia"/>
                <w:b/>
                <w:kern w:val="0"/>
                <w:sz w:val="24"/>
              </w:rPr>
              <w:t>（5）环境风险</w:t>
            </w:r>
          </w:p>
          <w:p w14:paraId="520AB929">
            <w:pPr>
              <w:adjustRightInd w:val="0"/>
              <w:snapToGrid w:val="0"/>
              <w:spacing w:line="460" w:lineRule="exact"/>
              <w:ind w:firstLine="480" w:firstLineChars="200"/>
              <w:rPr>
                <w:kern w:val="0"/>
                <w:sz w:val="24"/>
              </w:rPr>
            </w:pPr>
            <w:r>
              <w:rPr>
                <w:rFonts w:hint="eastAsia"/>
                <w:kern w:val="0"/>
                <w:sz w:val="24"/>
              </w:rPr>
              <w:t>根据《新乡航空工业（集团）有限公司（建设路厂区）突发环境事件专项应急预案》，建设路厂区现有工程可能发生的突发环境事件主要为：①原料储罐或管道发生泄漏；②汽油、煤油、柴油以及油漆和稀释剂等泄漏引发火灾爆炸；③各强酸、汽油、油漆等运输过程泄漏。</w:t>
            </w:r>
          </w:p>
          <w:p w14:paraId="520AB92A">
            <w:pPr>
              <w:adjustRightInd w:val="0"/>
              <w:snapToGrid w:val="0"/>
              <w:spacing w:line="460" w:lineRule="exact"/>
              <w:ind w:firstLine="480" w:firstLineChars="200"/>
              <w:rPr>
                <w:kern w:val="0"/>
                <w:sz w:val="24"/>
              </w:rPr>
            </w:pPr>
            <w:r>
              <w:rPr>
                <w:rFonts w:hint="eastAsia"/>
                <w:kern w:val="0"/>
                <w:sz w:val="24"/>
              </w:rPr>
              <w:t>现有工程涉及的风险物质主要为：三氧化铬、重铬酸钾、硫酸铜、硫酸镍、氯化镍、氧化镉、硫酸、盐酸、硝酸、磷酸、液氨、汽油和煤油、液化石油气、油漆和稀释剂等。</w:t>
            </w:r>
          </w:p>
          <w:p w14:paraId="520AB92B">
            <w:pPr>
              <w:adjustRightInd w:val="0"/>
              <w:snapToGrid w:val="0"/>
              <w:spacing w:line="460" w:lineRule="exact"/>
              <w:ind w:firstLine="480" w:firstLineChars="200"/>
              <w:rPr>
                <w:kern w:val="0"/>
                <w:sz w:val="24"/>
              </w:rPr>
            </w:pPr>
            <w:r>
              <w:rPr>
                <w:rFonts w:hint="eastAsia"/>
                <w:kern w:val="0"/>
                <w:sz w:val="24"/>
              </w:rPr>
              <w:t>企业针对每种物质均进行了应急处理规定，设置有应急处置卡，分工明确、处置措施合理可行，可及时行动，将事故风险降至最低。并且在油库、危废贮存库、强酸库、电镀废水处理站、危险化学品仓库、油漆库等风险物质分布场地均设置有</w:t>
            </w:r>
            <w:r>
              <w:rPr>
                <w:kern w:val="0"/>
                <w:sz w:val="24"/>
              </w:rPr>
              <w:t>环境风险防控</w:t>
            </w:r>
            <w:r>
              <w:rPr>
                <w:rFonts w:hint="eastAsia"/>
                <w:kern w:val="0"/>
                <w:sz w:val="24"/>
              </w:rPr>
              <w:t>及</w:t>
            </w:r>
            <w:r>
              <w:rPr>
                <w:kern w:val="0"/>
                <w:sz w:val="24"/>
              </w:rPr>
              <w:t>应急措施</w:t>
            </w:r>
            <w:r>
              <w:rPr>
                <w:rFonts w:hint="eastAsia"/>
                <w:kern w:val="0"/>
                <w:sz w:val="24"/>
              </w:rPr>
              <w:t>。</w:t>
            </w:r>
          </w:p>
          <w:p w14:paraId="520AB92C">
            <w:pPr>
              <w:adjustRightInd w:val="0"/>
              <w:snapToGrid w:val="0"/>
              <w:spacing w:line="460" w:lineRule="exact"/>
              <w:ind w:firstLine="480" w:firstLineChars="200"/>
              <w:rPr>
                <w:kern w:val="0"/>
                <w:sz w:val="24"/>
              </w:rPr>
            </w:pPr>
            <w:r>
              <w:rPr>
                <w:kern w:val="0"/>
                <w:sz w:val="24"/>
              </w:rPr>
              <w:t>（1）油库、</w:t>
            </w:r>
            <w:r>
              <w:rPr>
                <w:rFonts w:hint="eastAsia"/>
                <w:kern w:val="0"/>
                <w:sz w:val="24"/>
              </w:rPr>
              <w:t>危废贮存库</w:t>
            </w:r>
            <w:r>
              <w:rPr>
                <w:kern w:val="0"/>
                <w:sz w:val="24"/>
              </w:rPr>
              <w:t>：配备了灭火器、消防栓、高压水枪以及消防沙池等；油料库及废油库外设置了3个泡沫灭火装置；油料库等顶部设置若干6kg悬挂式超细干粉灭火器；油料库1下方设置</w:t>
            </w:r>
            <w:r>
              <w:rPr>
                <w:rFonts w:hint="eastAsia"/>
                <w:kern w:val="0"/>
                <w:sz w:val="24"/>
              </w:rPr>
              <w:t>1座</w:t>
            </w:r>
            <w:r>
              <w:rPr>
                <w:kern w:val="0"/>
                <w:sz w:val="24"/>
              </w:rPr>
              <w:t>12.42m</w:t>
            </w:r>
            <w:r>
              <w:rPr>
                <w:kern w:val="0"/>
                <w:sz w:val="24"/>
                <w:vertAlign w:val="superscript"/>
              </w:rPr>
              <w:t>3</w:t>
            </w:r>
            <w:r>
              <w:rPr>
                <w:rFonts w:hint="eastAsia"/>
                <w:kern w:val="0"/>
                <w:sz w:val="24"/>
              </w:rPr>
              <w:t>（</w:t>
            </w:r>
            <w:r>
              <w:rPr>
                <w:kern w:val="0"/>
                <w:sz w:val="24"/>
              </w:rPr>
              <w:t>4.6m×1.5m×1.8m</w:t>
            </w:r>
            <w:r>
              <w:rPr>
                <w:rFonts w:hint="eastAsia"/>
                <w:kern w:val="0"/>
                <w:sz w:val="24"/>
              </w:rPr>
              <w:t>）</w:t>
            </w:r>
            <w:r>
              <w:rPr>
                <w:kern w:val="0"/>
                <w:sz w:val="24"/>
              </w:rPr>
              <w:t>应急池，油料库2下方设置</w:t>
            </w:r>
            <w:r>
              <w:rPr>
                <w:rFonts w:hint="eastAsia"/>
                <w:kern w:val="0"/>
                <w:sz w:val="24"/>
              </w:rPr>
              <w:t>1座</w:t>
            </w:r>
            <w:r>
              <w:rPr>
                <w:kern w:val="0"/>
                <w:sz w:val="24"/>
              </w:rPr>
              <w:t>9.72m</w:t>
            </w:r>
            <w:r>
              <w:rPr>
                <w:kern w:val="0"/>
                <w:sz w:val="24"/>
                <w:vertAlign w:val="superscript"/>
              </w:rPr>
              <w:t>3</w:t>
            </w:r>
            <w:r>
              <w:rPr>
                <w:rFonts w:hint="eastAsia"/>
                <w:kern w:val="0"/>
                <w:sz w:val="24"/>
              </w:rPr>
              <w:t>（</w:t>
            </w:r>
            <w:r>
              <w:rPr>
                <w:kern w:val="0"/>
                <w:sz w:val="24"/>
              </w:rPr>
              <w:t>3.6m×1.5m×1.8m</w:t>
            </w:r>
            <w:r>
              <w:rPr>
                <w:rFonts w:hint="eastAsia"/>
                <w:kern w:val="0"/>
                <w:sz w:val="24"/>
              </w:rPr>
              <w:t>）</w:t>
            </w:r>
            <w:r>
              <w:rPr>
                <w:kern w:val="0"/>
                <w:sz w:val="24"/>
              </w:rPr>
              <w:t>事故池；</w:t>
            </w:r>
            <w:r>
              <w:rPr>
                <w:rFonts w:hint="eastAsia"/>
                <w:kern w:val="0"/>
                <w:sz w:val="24"/>
              </w:rPr>
              <w:t>危废贮存库</w:t>
            </w:r>
            <w:r>
              <w:rPr>
                <w:kern w:val="0"/>
                <w:sz w:val="24"/>
              </w:rPr>
              <w:t>下方设置</w:t>
            </w:r>
            <w:r>
              <w:rPr>
                <w:rFonts w:hint="eastAsia"/>
                <w:kern w:val="0"/>
                <w:sz w:val="24"/>
              </w:rPr>
              <w:t>1座</w:t>
            </w:r>
            <w:r>
              <w:rPr>
                <w:kern w:val="0"/>
                <w:sz w:val="24"/>
              </w:rPr>
              <w:t>64.38m</w:t>
            </w:r>
            <w:r>
              <w:rPr>
                <w:kern w:val="0"/>
                <w:sz w:val="24"/>
                <w:vertAlign w:val="superscript"/>
              </w:rPr>
              <w:t>3</w:t>
            </w:r>
            <w:r>
              <w:rPr>
                <w:rFonts w:hint="eastAsia"/>
                <w:kern w:val="0"/>
                <w:sz w:val="24"/>
              </w:rPr>
              <w:t>（</w:t>
            </w:r>
            <w:r>
              <w:rPr>
                <w:kern w:val="0"/>
                <w:sz w:val="24"/>
              </w:rPr>
              <w:t>7.4m×5.8m×1.5m</w:t>
            </w:r>
            <w:r>
              <w:rPr>
                <w:rFonts w:hint="eastAsia"/>
                <w:kern w:val="0"/>
                <w:sz w:val="24"/>
              </w:rPr>
              <w:t>）</w:t>
            </w:r>
            <w:r>
              <w:rPr>
                <w:kern w:val="0"/>
                <w:sz w:val="24"/>
              </w:rPr>
              <w:t>事故水池；防毒面具等消防设备储备完善；各关键位置设置若干警示牌。</w:t>
            </w:r>
          </w:p>
          <w:p w14:paraId="520AB92D">
            <w:pPr>
              <w:adjustRightInd w:val="0"/>
              <w:snapToGrid w:val="0"/>
              <w:spacing w:line="460" w:lineRule="exact"/>
              <w:ind w:firstLine="480" w:firstLineChars="200"/>
              <w:rPr>
                <w:kern w:val="0"/>
                <w:sz w:val="24"/>
              </w:rPr>
            </w:pPr>
            <w:r>
              <w:rPr>
                <w:kern w:val="0"/>
                <w:sz w:val="24"/>
              </w:rPr>
              <w:t>（2）强酸库：酸库配锁封闭隔离；地面铺设砂土；各类酸分区存放；在关键位置设置若干警示牌；门外设置洗眼器；周围有消火栓。</w:t>
            </w:r>
          </w:p>
          <w:p w14:paraId="520AB92E">
            <w:pPr>
              <w:adjustRightInd w:val="0"/>
              <w:snapToGrid w:val="0"/>
              <w:spacing w:line="460" w:lineRule="exact"/>
              <w:ind w:firstLine="480" w:firstLineChars="200"/>
              <w:rPr>
                <w:kern w:val="0"/>
                <w:sz w:val="24"/>
              </w:rPr>
            </w:pPr>
            <w:r>
              <w:rPr>
                <w:kern w:val="0"/>
                <w:sz w:val="24"/>
              </w:rPr>
              <w:t>（3）电镀废水处理站：污水处理站地面以下设置应急事故池，按照废水类型隔开。电镀污水处理站设置有42.05m</w:t>
            </w:r>
            <w:r>
              <w:rPr>
                <w:kern w:val="0"/>
                <w:sz w:val="24"/>
                <w:vertAlign w:val="superscript"/>
              </w:rPr>
              <w:t>3</w:t>
            </w:r>
            <w:r>
              <w:rPr>
                <w:kern w:val="0"/>
                <w:sz w:val="24"/>
              </w:rPr>
              <w:t>重金属调节池（地面冲洗水）、42.05m</w:t>
            </w:r>
            <w:r>
              <w:rPr>
                <w:kern w:val="0"/>
                <w:sz w:val="24"/>
                <w:vertAlign w:val="superscript"/>
              </w:rPr>
              <w:t>3</w:t>
            </w:r>
            <w:r>
              <w:rPr>
                <w:kern w:val="0"/>
                <w:sz w:val="24"/>
              </w:rPr>
              <w:t>含氰水调节池，两个42.05m</w:t>
            </w:r>
            <w:r>
              <w:rPr>
                <w:kern w:val="0"/>
                <w:sz w:val="24"/>
                <w:vertAlign w:val="superscript"/>
              </w:rPr>
              <w:t>3</w:t>
            </w:r>
            <w:r>
              <w:rPr>
                <w:kern w:val="0"/>
                <w:sz w:val="24"/>
              </w:rPr>
              <w:t>含铬水调节池、42.05m</w:t>
            </w:r>
            <w:r>
              <w:rPr>
                <w:kern w:val="0"/>
                <w:sz w:val="24"/>
                <w:vertAlign w:val="superscript"/>
              </w:rPr>
              <w:t>3</w:t>
            </w:r>
            <w:r>
              <w:rPr>
                <w:kern w:val="0"/>
                <w:sz w:val="24"/>
              </w:rPr>
              <w:t>污泥调节池、42.05m</w:t>
            </w:r>
            <w:r>
              <w:rPr>
                <w:kern w:val="0"/>
                <w:sz w:val="24"/>
                <w:vertAlign w:val="superscript"/>
              </w:rPr>
              <w:t>3</w:t>
            </w:r>
            <w:r>
              <w:rPr>
                <w:kern w:val="0"/>
                <w:sz w:val="24"/>
              </w:rPr>
              <w:t>应急水调节池、42.05m</w:t>
            </w:r>
            <w:r>
              <w:rPr>
                <w:kern w:val="0"/>
                <w:sz w:val="24"/>
                <w:vertAlign w:val="superscript"/>
              </w:rPr>
              <w:t>3</w:t>
            </w:r>
            <w:r>
              <w:rPr>
                <w:kern w:val="0"/>
                <w:sz w:val="24"/>
              </w:rPr>
              <w:t>排放水池、88.77m</w:t>
            </w:r>
            <w:r>
              <w:rPr>
                <w:kern w:val="0"/>
                <w:sz w:val="24"/>
                <w:vertAlign w:val="superscript"/>
              </w:rPr>
              <w:t>3</w:t>
            </w:r>
            <w:r>
              <w:rPr>
                <w:kern w:val="0"/>
                <w:sz w:val="24"/>
              </w:rPr>
              <w:t>化学水调节池2以及112.18m</w:t>
            </w:r>
            <w:r>
              <w:rPr>
                <w:kern w:val="0"/>
                <w:sz w:val="24"/>
                <w:vertAlign w:val="superscript"/>
              </w:rPr>
              <w:t>3</w:t>
            </w:r>
            <w:r>
              <w:rPr>
                <w:kern w:val="0"/>
                <w:sz w:val="24"/>
              </w:rPr>
              <w:t>化学水调节池1。合计495.3m</w:t>
            </w:r>
            <w:r>
              <w:rPr>
                <w:kern w:val="0"/>
                <w:sz w:val="24"/>
                <w:vertAlign w:val="superscript"/>
              </w:rPr>
              <w:t>3</w:t>
            </w:r>
            <w:r>
              <w:rPr>
                <w:kern w:val="0"/>
                <w:sz w:val="24"/>
              </w:rPr>
              <w:t>。</w:t>
            </w:r>
          </w:p>
          <w:p w14:paraId="520AB92F">
            <w:pPr>
              <w:adjustRightInd w:val="0"/>
              <w:snapToGrid w:val="0"/>
              <w:spacing w:line="460" w:lineRule="exact"/>
              <w:ind w:firstLine="480" w:firstLineChars="200"/>
              <w:rPr>
                <w:kern w:val="0"/>
                <w:sz w:val="24"/>
              </w:rPr>
            </w:pPr>
            <w:r>
              <w:rPr>
                <w:kern w:val="0"/>
                <w:sz w:val="24"/>
              </w:rPr>
              <w:t>（4）危险化学品库：现有</w:t>
            </w:r>
            <w:r>
              <w:rPr>
                <w:rFonts w:hint="eastAsia"/>
                <w:kern w:val="0"/>
                <w:sz w:val="24"/>
              </w:rPr>
              <w:t>氰化物均</w:t>
            </w:r>
            <w:r>
              <w:rPr>
                <w:kern w:val="0"/>
                <w:sz w:val="24"/>
              </w:rPr>
              <w:t>存放在剧毒品库内，双层锁，公安视频监控监管。</w:t>
            </w:r>
          </w:p>
          <w:p w14:paraId="520AB930">
            <w:pPr>
              <w:adjustRightInd w:val="0"/>
              <w:snapToGrid w:val="0"/>
              <w:spacing w:line="460" w:lineRule="exact"/>
              <w:ind w:firstLine="480" w:firstLineChars="200"/>
              <w:rPr>
                <w:kern w:val="0"/>
                <w:sz w:val="24"/>
                <w:highlight w:val="yellow"/>
              </w:rPr>
            </w:pPr>
            <w:r>
              <w:rPr>
                <w:kern w:val="0"/>
                <w:sz w:val="24"/>
              </w:rPr>
              <w:t>（5）油漆、稀释剂库：均配备了灭火器、消防栓、高压水枪以及消防沙池等；防毒面具等消防设备储备完善；各关键位置设置若干警示牌。</w:t>
            </w:r>
          </w:p>
          <w:p w14:paraId="520AB931">
            <w:pPr>
              <w:spacing w:line="460" w:lineRule="exact"/>
              <w:ind w:firstLine="482" w:firstLineChars="200"/>
              <w:rPr>
                <w:b/>
                <w:sz w:val="24"/>
              </w:rPr>
            </w:pPr>
            <w:r>
              <w:rPr>
                <w:rFonts w:hint="eastAsia"/>
                <w:b/>
                <w:sz w:val="24"/>
              </w:rPr>
              <w:t>3、现有工程污染物排放量</w:t>
            </w:r>
          </w:p>
          <w:p w14:paraId="520AB932">
            <w:pPr>
              <w:snapToGrid w:val="0"/>
              <w:spacing w:line="460" w:lineRule="exact"/>
              <w:ind w:firstLine="480" w:firstLineChars="200"/>
              <w:rPr>
                <w:sz w:val="24"/>
              </w:rPr>
            </w:pPr>
            <w:r>
              <w:rPr>
                <w:rFonts w:hint="eastAsia"/>
                <w:kern w:val="0"/>
                <w:sz w:val="24"/>
              </w:rPr>
              <w:t>建设路厂区现有项目污染物排放量情况见下表：</w:t>
            </w:r>
          </w:p>
          <w:p w14:paraId="520AB933">
            <w:pPr>
              <w:snapToGrid w:val="0"/>
              <w:spacing w:line="460" w:lineRule="exact"/>
              <w:ind w:firstLine="480" w:firstLineChars="200"/>
              <w:rPr>
                <w:rFonts w:eastAsia="黑体"/>
                <w:sz w:val="24"/>
              </w:rPr>
            </w:pPr>
            <w:r>
              <w:rPr>
                <w:rFonts w:hint="eastAsia" w:eastAsia="黑体"/>
                <w:sz w:val="24"/>
              </w:rPr>
              <w:t>表26          建设路厂区现有工程污染物排放量         单位：t/a</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08"/>
              <w:gridCol w:w="1417"/>
              <w:gridCol w:w="2037"/>
              <w:gridCol w:w="2004"/>
              <w:gridCol w:w="2003"/>
            </w:tblGrid>
            <w:tr w14:paraId="520AB93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255" w:type="pct"/>
                  <w:gridSpan w:val="2"/>
                  <w:vAlign w:val="center"/>
                </w:tcPr>
                <w:p w14:paraId="520AB934">
                  <w:pPr>
                    <w:adjustRightInd w:val="0"/>
                    <w:snapToGrid w:val="0"/>
                    <w:jc w:val="center"/>
                    <w:rPr>
                      <w:b/>
                      <w:szCs w:val="21"/>
                    </w:rPr>
                  </w:pPr>
                  <w:r>
                    <w:rPr>
                      <w:b/>
                      <w:szCs w:val="21"/>
                    </w:rPr>
                    <w:t>污染物</w:t>
                  </w:r>
                </w:p>
              </w:tc>
              <w:tc>
                <w:tcPr>
                  <w:tcW w:w="1262" w:type="pct"/>
                  <w:vAlign w:val="center"/>
                </w:tcPr>
                <w:p w14:paraId="520AB935">
                  <w:pPr>
                    <w:adjustRightInd w:val="0"/>
                    <w:snapToGrid w:val="0"/>
                    <w:jc w:val="center"/>
                    <w:rPr>
                      <w:b/>
                      <w:szCs w:val="21"/>
                    </w:rPr>
                  </w:pPr>
                  <w:r>
                    <w:rPr>
                      <w:rFonts w:hint="eastAsia"/>
                      <w:b/>
                      <w:szCs w:val="21"/>
                    </w:rPr>
                    <w:t>已建工程</w:t>
                  </w:r>
                  <w:r>
                    <w:rPr>
                      <w:b/>
                      <w:szCs w:val="21"/>
                    </w:rPr>
                    <w:t>实际排放量</w:t>
                  </w:r>
                </w:p>
              </w:tc>
              <w:tc>
                <w:tcPr>
                  <w:tcW w:w="1242" w:type="pct"/>
                  <w:vAlign w:val="center"/>
                </w:tcPr>
                <w:p w14:paraId="520AB936">
                  <w:pPr>
                    <w:adjustRightInd w:val="0"/>
                    <w:snapToGrid w:val="0"/>
                    <w:jc w:val="center"/>
                    <w:rPr>
                      <w:b/>
                      <w:szCs w:val="21"/>
                    </w:rPr>
                  </w:pPr>
                  <w:r>
                    <w:rPr>
                      <w:rFonts w:hint="eastAsia"/>
                      <w:b/>
                      <w:szCs w:val="21"/>
                    </w:rPr>
                    <w:t>已建工程许可排放量</w:t>
                  </w:r>
                </w:p>
              </w:tc>
              <w:tc>
                <w:tcPr>
                  <w:tcW w:w="1241" w:type="pct"/>
                  <w:vAlign w:val="center"/>
                </w:tcPr>
                <w:p w14:paraId="520AB937">
                  <w:pPr>
                    <w:adjustRightInd w:val="0"/>
                    <w:snapToGrid w:val="0"/>
                    <w:jc w:val="center"/>
                    <w:rPr>
                      <w:b/>
                      <w:szCs w:val="21"/>
                    </w:rPr>
                  </w:pPr>
                  <w:r>
                    <w:rPr>
                      <w:rFonts w:hint="eastAsia"/>
                      <w:b/>
                      <w:szCs w:val="21"/>
                    </w:rPr>
                    <w:t>在建工程</w:t>
                  </w:r>
                  <w:r>
                    <w:rPr>
                      <w:rFonts w:hint="eastAsia"/>
                      <w:b/>
                      <w:szCs w:val="20"/>
                    </w:rPr>
                    <w:t>环评批复量</w:t>
                  </w:r>
                </w:p>
              </w:tc>
            </w:tr>
            <w:tr w14:paraId="520AB93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restart"/>
                  <w:vAlign w:val="center"/>
                </w:tcPr>
                <w:p w14:paraId="520AB939">
                  <w:pPr>
                    <w:adjustRightInd w:val="0"/>
                    <w:snapToGrid w:val="0"/>
                    <w:jc w:val="center"/>
                    <w:rPr>
                      <w:szCs w:val="21"/>
                    </w:rPr>
                  </w:pPr>
                  <w:r>
                    <w:rPr>
                      <w:kern w:val="0"/>
                      <w:szCs w:val="21"/>
                    </w:rPr>
                    <w:t>废水</w:t>
                  </w:r>
                </w:p>
              </w:tc>
              <w:tc>
                <w:tcPr>
                  <w:tcW w:w="878" w:type="pct"/>
                  <w:vAlign w:val="center"/>
                </w:tcPr>
                <w:p w14:paraId="520AB93A">
                  <w:pPr>
                    <w:adjustRightInd w:val="0"/>
                    <w:snapToGrid w:val="0"/>
                    <w:jc w:val="center"/>
                    <w:rPr>
                      <w:szCs w:val="21"/>
                    </w:rPr>
                  </w:pPr>
                  <w:r>
                    <w:rPr>
                      <w:rFonts w:hint="eastAsia"/>
                      <w:szCs w:val="21"/>
                    </w:rPr>
                    <w:t>废水量(m</w:t>
                  </w:r>
                  <w:r>
                    <w:rPr>
                      <w:rFonts w:hint="eastAsia"/>
                      <w:szCs w:val="21"/>
                      <w:vertAlign w:val="superscript"/>
                    </w:rPr>
                    <w:t>3</w:t>
                  </w:r>
                  <w:r>
                    <w:rPr>
                      <w:rFonts w:hint="eastAsia"/>
                      <w:szCs w:val="21"/>
                    </w:rPr>
                    <w:t>/a)</w:t>
                  </w:r>
                </w:p>
              </w:tc>
              <w:tc>
                <w:tcPr>
                  <w:tcW w:w="1262" w:type="pct"/>
                  <w:vAlign w:val="center"/>
                </w:tcPr>
                <w:p w14:paraId="520AB93B">
                  <w:pPr>
                    <w:adjustRightInd w:val="0"/>
                    <w:snapToGrid w:val="0"/>
                    <w:jc w:val="center"/>
                    <w:rPr>
                      <w:szCs w:val="21"/>
                    </w:rPr>
                  </w:pPr>
                  <w:r>
                    <w:rPr>
                      <w:rFonts w:hint="eastAsia"/>
                      <w:szCs w:val="21"/>
                    </w:rPr>
                    <w:t>231982.8</w:t>
                  </w:r>
                </w:p>
              </w:tc>
              <w:tc>
                <w:tcPr>
                  <w:tcW w:w="1242" w:type="pct"/>
                  <w:vAlign w:val="center"/>
                </w:tcPr>
                <w:p w14:paraId="520AB93C">
                  <w:pPr>
                    <w:adjustRightInd w:val="0"/>
                    <w:snapToGrid w:val="0"/>
                    <w:jc w:val="center"/>
                    <w:rPr>
                      <w:szCs w:val="21"/>
                    </w:rPr>
                  </w:pPr>
                  <w:r>
                    <w:rPr>
                      <w:rFonts w:hint="eastAsia"/>
                      <w:szCs w:val="21"/>
                    </w:rPr>
                    <w:t>28800</w:t>
                  </w:r>
                  <w:r>
                    <w:rPr>
                      <w:szCs w:val="21"/>
                    </w:rPr>
                    <w:t>2.5</w:t>
                  </w:r>
                </w:p>
              </w:tc>
              <w:tc>
                <w:tcPr>
                  <w:tcW w:w="1241" w:type="pct"/>
                  <w:vAlign w:val="center"/>
                </w:tcPr>
                <w:p w14:paraId="520AB93D">
                  <w:pPr>
                    <w:adjustRightInd w:val="0"/>
                    <w:snapToGrid w:val="0"/>
                    <w:jc w:val="center"/>
                    <w:rPr>
                      <w:szCs w:val="21"/>
                    </w:rPr>
                  </w:pPr>
                  <w:r>
                    <w:rPr>
                      <w:szCs w:val="21"/>
                    </w:rPr>
                    <w:t>1334</w:t>
                  </w:r>
                </w:p>
              </w:tc>
            </w:tr>
            <w:tr w14:paraId="520AB94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continue"/>
                  <w:vAlign w:val="center"/>
                </w:tcPr>
                <w:p w14:paraId="520AB93F">
                  <w:pPr>
                    <w:adjustRightInd w:val="0"/>
                    <w:snapToGrid w:val="0"/>
                    <w:jc w:val="center"/>
                    <w:rPr>
                      <w:kern w:val="0"/>
                      <w:szCs w:val="21"/>
                    </w:rPr>
                  </w:pPr>
                </w:p>
              </w:tc>
              <w:tc>
                <w:tcPr>
                  <w:tcW w:w="878" w:type="pct"/>
                  <w:vAlign w:val="center"/>
                </w:tcPr>
                <w:p w14:paraId="520AB940">
                  <w:pPr>
                    <w:adjustRightInd w:val="0"/>
                    <w:snapToGrid w:val="0"/>
                    <w:jc w:val="center"/>
                    <w:rPr>
                      <w:kern w:val="0"/>
                      <w:szCs w:val="21"/>
                    </w:rPr>
                  </w:pPr>
                  <w:r>
                    <w:rPr>
                      <w:kern w:val="0"/>
                      <w:szCs w:val="21"/>
                    </w:rPr>
                    <w:t>COD</w:t>
                  </w:r>
                </w:p>
              </w:tc>
              <w:tc>
                <w:tcPr>
                  <w:tcW w:w="1262" w:type="pct"/>
                  <w:vAlign w:val="center"/>
                </w:tcPr>
                <w:p w14:paraId="520AB941">
                  <w:pPr>
                    <w:adjustRightInd w:val="0"/>
                    <w:snapToGrid w:val="0"/>
                    <w:jc w:val="center"/>
                    <w:rPr>
                      <w:szCs w:val="21"/>
                    </w:rPr>
                  </w:pPr>
                  <w:r>
                    <w:rPr>
                      <w:rFonts w:hint="eastAsia"/>
                      <w:szCs w:val="21"/>
                    </w:rPr>
                    <w:t>11.5991</w:t>
                  </w:r>
                </w:p>
              </w:tc>
              <w:tc>
                <w:tcPr>
                  <w:tcW w:w="1242" w:type="pct"/>
                  <w:vAlign w:val="center"/>
                </w:tcPr>
                <w:p w14:paraId="520AB942">
                  <w:pPr>
                    <w:adjustRightInd w:val="0"/>
                    <w:snapToGrid w:val="0"/>
                    <w:jc w:val="center"/>
                    <w:rPr>
                      <w:szCs w:val="21"/>
                    </w:rPr>
                  </w:pPr>
                  <w:r>
                    <w:rPr>
                      <w:rFonts w:hint="eastAsia"/>
                    </w:rPr>
                    <w:t>14.4</w:t>
                  </w:r>
                  <w:r>
                    <w:t>0012</w:t>
                  </w:r>
                </w:p>
              </w:tc>
              <w:tc>
                <w:tcPr>
                  <w:tcW w:w="1241" w:type="pct"/>
                  <w:vAlign w:val="center"/>
                </w:tcPr>
                <w:p w14:paraId="520AB943">
                  <w:pPr>
                    <w:adjustRightInd w:val="0"/>
                    <w:snapToGrid w:val="0"/>
                    <w:jc w:val="center"/>
                    <w:rPr>
                      <w:szCs w:val="21"/>
                    </w:rPr>
                  </w:pPr>
                  <w:r>
                    <w:rPr>
                      <w:szCs w:val="21"/>
                    </w:rPr>
                    <w:t>0.0</w:t>
                  </w:r>
                  <w:r>
                    <w:rPr>
                      <w:rFonts w:hint="eastAsia"/>
                      <w:szCs w:val="21"/>
                    </w:rPr>
                    <w:t>56</w:t>
                  </w:r>
                  <w:r>
                    <w:rPr>
                      <w:szCs w:val="21"/>
                    </w:rPr>
                    <w:t>4</w:t>
                  </w:r>
                </w:p>
              </w:tc>
            </w:tr>
            <w:tr w14:paraId="520AB94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continue"/>
                  <w:vAlign w:val="center"/>
                </w:tcPr>
                <w:p w14:paraId="520AB945">
                  <w:pPr>
                    <w:adjustRightInd w:val="0"/>
                    <w:snapToGrid w:val="0"/>
                    <w:jc w:val="center"/>
                    <w:rPr>
                      <w:szCs w:val="21"/>
                    </w:rPr>
                  </w:pPr>
                </w:p>
              </w:tc>
              <w:tc>
                <w:tcPr>
                  <w:tcW w:w="878" w:type="pct"/>
                  <w:vAlign w:val="center"/>
                </w:tcPr>
                <w:p w14:paraId="520AB946">
                  <w:pPr>
                    <w:adjustRightInd w:val="0"/>
                    <w:snapToGrid w:val="0"/>
                    <w:jc w:val="center"/>
                    <w:rPr>
                      <w:szCs w:val="21"/>
                    </w:rPr>
                  </w:pPr>
                  <w:r>
                    <w:rPr>
                      <w:kern w:val="0"/>
                      <w:szCs w:val="21"/>
                    </w:rPr>
                    <w:t>NH</w:t>
                  </w:r>
                  <w:r>
                    <w:rPr>
                      <w:kern w:val="0"/>
                      <w:szCs w:val="21"/>
                      <w:vertAlign w:val="subscript"/>
                    </w:rPr>
                    <w:t>3</w:t>
                  </w:r>
                  <w:r>
                    <w:rPr>
                      <w:kern w:val="0"/>
                      <w:szCs w:val="21"/>
                    </w:rPr>
                    <w:t>-N</w:t>
                  </w:r>
                </w:p>
              </w:tc>
              <w:tc>
                <w:tcPr>
                  <w:tcW w:w="1262" w:type="pct"/>
                  <w:vAlign w:val="center"/>
                </w:tcPr>
                <w:p w14:paraId="520AB947">
                  <w:pPr>
                    <w:adjustRightInd w:val="0"/>
                    <w:snapToGrid w:val="0"/>
                    <w:jc w:val="center"/>
                    <w:rPr>
                      <w:szCs w:val="21"/>
                    </w:rPr>
                  </w:pPr>
                  <w:r>
                    <w:rPr>
                      <w:rFonts w:hint="eastAsia"/>
                      <w:szCs w:val="21"/>
                    </w:rPr>
                    <w:t>1.1599</w:t>
                  </w:r>
                </w:p>
              </w:tc>
              <w:tc>
                <w:tcPr>
                  <w:tcW w:w="1242" w:type="pct"/>
                  <w:vAlign w:val="center"/>
                </w:tcPr>
                <w:p w14:paraId="520AB948">
                  <w:pPr>
                    <w:adjustRightInd w:val="0"/>
                    <w:snapToGrid w:val="0"/>
                    <w:jc w:val="center"/>
                    <w:rPr>
                      <w:szCs w:val="21"/>
                    </w:rPr>
                  </w:pPr>
                  <w:r>
                    <w:rPr>
                      <w:rFonts w:hint="eastAsia"/>
                    </w:rPr>
                    <w:t>1.44</w:t>
                  </w:r>
                  <w:r>
                    <w:t>001</w:t>
                  </w:r>
                </w:p>
              </w:tc>
              <w:tc>
                <w:tcPr>
                  <w:tcW w:w="1241" w:type="pct"/>
                  <w:vAlign w:val="center"/>
                </w:tcPr>
                <w:p w14:paraId="520AB949">
                  <w:pPr>
                    <w:adjustRightInd w:val="0"/>
                    <w:snapToGrid w:val="0"/>
                    <w:jc w:val="center"/>
                    <w:rPr>
                      <w:szCs w:val="21"/>
                    </w:rPr>
                  </w:pPr>
                  <w:r>
                    <w:rPr>
                      <w:szCs w:val="21"/>
                    </w:rPr>
                    <w:t>0.00</w:t>
                  </w:r>
                  <w:r>
                    <w:rPr>
                      <w:rFonts w:hint="eastAsia"/>
                      <w:szCs w:val="21"/>
                    </w:rPr>
                    <w:t>10</w:t>
                  </w:r>
                </w:p>
              </w:tc>
            </w:tr>
            <w:tr w14:paraId="520AB95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continue"/>
                  <w:vAlign w:val="center"/>
                </w:tcPr>
                <w:p w14:paraId="520AB94B">
                  <w:pPr>
                    <w:adjustRightInd w:val="0"/>
                    <w:snapToGrid w:val="0"/>
                    <w:jc w:val="center"/>
                    <w:rPr>
                      <w:szCs w:val="21"/>
                    </w:rPr>
                  </w:pPr>
                </w:p>
              </w:tc>
              <w:tc>
                <w:tcPr>
                  <w:tcW w:w="878" w:type="pct"/>
                  <w:vAlign w:val="center"/>
                </w:tcPr>
                <w:p w14:paraId="520AB94C">
                  <w:pPr>
                    <w:adjustRightInd w:val="0"/>
                    <w:snapToGrid w:val="0"/>
                    <w:jc w:val="center"/>
                    <w:rPr>
                      <w:szCs w:val="21"/>
                    </w:rPr>
                  </w:pPr>
                  <w:r>
                    <w:rPr>
                      <w:kern w:val="0"/>
                      <w:szCs w:val="21"/>
                    </w:rPr>
                    <w:t>TP</w:t>
                  </w:r>
                </w:p>
              </w:tc>
              <w:tc>
                <w:tcPr>
                  <w:tcW w:w="1262" w:type="pct"/>
                  <w:vAlign w:val="center"/>
                </w:tcPr>
                <w:p w14:paraId="520AB94D">
                  <w:pPr>
                    <w:adjustRightInd w:val="0"/>
                    <w:snapToGrid w:val="0"/>
                    <w:jc w:val="center"/>
                    <w:rPr>
                      <w:szCs w:val="21"/>
                    </w:rPr>
                  </w:pPr>
                  <w:r>
                    <w:rPr>
                      <w:rFonts w:hint="eastAsia"/>
                      <w:szCs w:val="21"/>
                    </w:rPr>
                    <w:t>0.1160</w:t>
                  </w:r>
                </w:p>
              </w:tc>
              <w:tc>
                <w:tcPr>
                  <w:tcW w:w="1242" w:type="pct"/>
                  <w:vAlign w:val="center"/>
                </w:tcPr>
                <w:p w14:paraId="520AB94E">
                  <w:pPr>
                    <w:adjustRightInd w:val="0"/>
                    <w:snapToGrid w:val="0"/>
                    <w:jc w:val="center"/>
                    <w:rPr>
                      <w:szCs w:val="21"/>
                    </w:rPr>
                  </w:pPr>
                  <w:r>
                    <w:rPr>
                      <w:rFonts w:hint="eastAsia"/>
                    </w:rPr>
                    <w:t>0.144</w:t>
                  </w:r>
                  <w:r>
                    <w:t>001</w:t>
                  </w:r>
                </w:p>
              </w:tc>
              <w:tc>
                <w:tcPr>
                  <w:tcW w:w="1241" w:type="pct"/>
                  <w:vAlign w:val="center"/>
                </w:tcPr>
                <w:p w14:paraId="520AB94F">
                  <w:pPr>
                    <w:adjustRightInd w:val="0"/>
                    <w:snapToGrid w:val="0"/>
                    <w:jc w:val="center"/>
                    <w:rPr>
                      <w:szCs w:val="21"/>
                    </w:rPr>
                  </w:pPr>
                  <w:r>
                    <w:rPr>
                      <w:szCs w:val="21"/>
                    </w:rPr>
                    <w:t>0.000</w:t>
                  </w:r>
                  <w:r>
                    <w:rPr>
                      <w:rFonts w:hint="eastAsia"/>
                      <w:szCs w:val="21"/>
                    </w:rPr>
                    <w:t>5</w:t>
                  </w:r>
                </w:p>
              </w:tc>
            </w:tr>
            <w:tr w14:paraId="520AB95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continue"/>
                  <w:vAlign w:val="center"/>
                </w:tcPr>
                <w:p w14:paraId="520AB951">
                  <w:pPr>
                    <w:adjustRightInd w:val="0"/>
                    <w:snapToGrid w:val="0"/>
                    <w:jc w:val="center"/>
                    <w:rPr>
                      <w:szCs w:val="21"/>
                    </w:rPr>
                  </w:pPr>
                </w:p>
              </w:tc>
              <w:tc>
                <w:tcPr>
                  <w:tcW w:w="878" w:type="pct"/>
                  <w:vAlign w:val="center"/>
                </w:tcPr>
                <w:p w14:paraId="520AB952">
                  <w:pPr>
                    <w:adjustRightInd w:val="0"/>
                    <w:snapToGrid w:val="0"/>
                    <w:jc w:val="center"/>
                    <w:rPr>
                      <w:szCs w:val="21"/>
                    </w:rPr>
                  </w:pPr>
                  <w:r>
                    <w:rPr>
                      <w:kern w:val="0"/>
                      <w:szCs w:val="21"/>
                    </w:rPr>
                    <w:t>TN</w:t>
                  </w:r>
                </w:p>
              </w:tc>
              <w:tc>
                <w:tcPr>
                  <w:tcW w:w="1262" w:type="pct"/>
                  <w:vAlign w:val="center"/>
                </w:tcPr>
                <w:p w14:paraId="520AB953">
                  <w:pPr>
                    <w:adjustRightInd w:val="0"/>
                    <w:snapToGrid w:val="0"/>
                    <w:jc w:val="center"/>
                    <w:rPr>
                      <w:szCs w:val="21"/>
                    </w:rPr>
                  </w:pPr>
                  <w:r>
                    <w:rPr>
                      <w:rFonts w:hint="eastAsia"/>
                      <w:szCs w:val="21"/>
                    </w:rPr>
                    <w:t>3.4797</w:t>
                  </w:r>
                </w:p>
              </w:tc>
              <w:tc>
                <w:tcPr>
                  <w:tcW w:w="1242" w:type="pct"/>
                  <w:vAlign w:val="center"/>
                </w:tcPr>
                <w:p w14:paraId="520AB954">
                  <w:pPr>
                    <w:adjustRightInd w:val="0"/>
                    <w:snapToGrid w:val="0"/>
                    <w:jc w:val="center"/>
                    <w:rPr>
                      <w:szCs w:val="21"/>
                    </w:rPr>
                  </w:pPr>
                  <w:r>
                    <w:rPr>
                      <w:rFonts w:hint="eastAsia"/>
                    </w:rPr>
                    <w:t>4.32</w:t>
                  </w:r>
                  <w:r>
                    <w:t>004</w:t>
                  </w:r>
                </w:p>
              </w:tc>
              <w:tc>
                <w:tcPr>
                  <w:tcW w:w="1241" w:type="pct"/>
                  <w:vAlign w:val="center"/>
                </w:tcPr>
                <w:p w14:paraId="520AB955">
                  <w:pPr>
                    <w:adjustRightInd w:val="0"/>
                    <w:snapToGrid w:val="0"/>
                    <w:jc w:val="center"/>
                    <w:rPr>
                      <w:szCs w:val="21"/>
                    </w:rPr>
                  </w:pPr>
                  <w:r>
                    <w:rPr>
                      <w:szCs w:val="21"/>
                    </w:rPr>
                    <w:t>0.00</w:t>
                  </w:r>
                  <w:r>
                    <w:rPr>
                      <w:rFonts w:hint="eastAsia"/>
                      <w:szCs w:val="21"/>
                    </w:rPr>
                    <w:t>69</w:t>
                  </w:r>
                </w:p>
              </w:tc>
            </w:tr>
            <w:tr w14:paraId="520AB95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restart"/>
                  <w:vAlign w:val="center"/>
                </w:tcPr>
                <w:p w14:paraId="520AB957">
                  <w:pPr>
                    <w:adjustRightInd w:val="0"/>
                    <w:snapToGrid w:val="0"/>
                    <w:jc w:val="center"/>
                    <w:rPr>
                      <w:szCs w:val="21"/>
                    </w:rPr>
                  </w:pPr>
                  <w:r>
                    <w:rPr>
                      <w:rFonts w:hint="eastAsia"/>
                      <w:szCs w:val="21"/>
                    </w:rPr>
                    <w:t>废气</w:t>
                  </w:r>
                </w:p>
              </w:tc>
              <w:tc>
                <w:tcPr>
                  <w:tcW w:w="878" w:type="pct"/>
                  <w:vAlign w:val="center"/>
                </w:tcPr>
                <w:p w14:paraId="520AB958">
                  <w:pPr>
                    <w:adjustRightInd w:val="0"/>
                    <w:snapToGrid w:val="0"/>
                    <w:jc w:val="center"/>
                    <w:rPr>
                      <w:szCs w:val="21"/>
                    </w:rPr>
                  </w:pPr>
                  <w:r>
                    <w:rPr>
                      <w:rFonts w:hint="eastAsia"/>
                      <w:szCs w:val="21"/>
                    </w:rPr>
                    <w:t>铬酸雾</w:t>
                  </w:r>
                </w:p>
              </w:tc>
              <w:tc>
                <w:tcPr>
                  <w:tcW w:w="1262" w:type="pct"/>
                  <w:vAlign w:val="center"/>
                </w:tcPr>
                <w:p w14:paraId="520AB959">
                  <w:pPr>
                    <w:adjustRightInd w:val="0"/>
                    <w:snapToGrid w:val="0"/>
                    <w:jc w:val="center"/>
                    <w:rPr>
                      <w:bCs/>
                      <w:szCs w:val="21"/>
                    </w:rPr>
                  </w:pPr>
                  <w:r>
                    <w:rPr>
                      <w:szCs w:val="21"/>
                    </w:rPr>
                    <w:t>0.0020</w:t>
                  </w:r>
                </w:p>
              </w:tc>
              <w:tc>
                <w:tcPr>
                  <w:tcW w:w="1242" w:type="pct"/>
                  <w:vAlign w:val="center"/>
                </w:tcPr>
                <w:p w14:paraId="520AB95A">
                  <w:pPr>
                    <w:adjustRightInd w:val="0"/>
                    <w:snapToGrid w:val="0"/>
                    <w:jc w:val="center"/>
                    <w:rPr>
                      <w:bCs/>
                      <w:szCs w:val="21"/>
                    </w:rPr>
                  </w:pPr>
                  <w:r>
                    <w:rPr>
                      <w:szCs w:val="21"/>
                    </w:rPr>
                    <w:t>0.003</w:t>
                  </w:r>
                  <w:r>
                    <w:rPr>
                      <w:rFonts w:hint="eastAsia"/>
                      <w:szCs w:val="21"/>
                    </w:rPr>
                    <w:t>0</w:t>
                  </w:r>
                </w:p>
              </w:tc>
              <w:tc>
                <w:tcPr>
                  <w:tcW w:w="1241" w:type="pct"/>
                  <w:vAlign w:val="center"/>
                </w:tcPr>
                <w:p w14:paraId="520AB95B">
                  <w:pPr>
                    <w:adjustRightInd w:val="0"/>
                    <w:snapToGrid w:val="0"/>
                    <w:jc w:val="center"/>
                    <w:rPr>
                      <w:szCs w:val="21"/>
                    </w:rPr>
                  </w:pPr>
                  <w:r>
                    <w:rPr>
                      <w:szCs w:val="21"/>
                    </w:rPr>
                    <w:t>/</w:t>
                  </w:r>
                </w:p>
              </w:tc>
            </w:tr>
            <w:tr w14:paraId="520AB96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continue"/>
                  <w:vAlign w:val="center"/>
                </w:tcPr>
                <w:p w14:paraId="520AB95D">
                  <w:pPr>
                    <w:adjustRightInd w:val="0"/>
                    <w:snapToGrid w:val="0"/>
                    <w:jc w:val="center"/>
                    <w:rPr>
                      <w:szCs w:val="21"/>
                    </w:rPr>
                  </w:pPr>
                </w:p>
              </w:tc>
              <w:tc>
                <w:tcPr>
                  <w:tcW w:w="878" w:type="pct"/>
                  <w:vAlign w:val="center"/>
                </w:tcPr>
                <w:p w14:paraId="520AB95E">
                  <w:pPr>
                    <w:adjustRightInd w:val="0"/>
                    <w:snapToGrid w:val="0"/>
                    <w:jc w:val="center"/>
                    <w:rPr>
                      <w:szCs w:val="21"/>
                    </w:rPr>
                  </w:pPr>
                  <w:r>
                    <w:rPr>
                      <w:rFonts w:hint="eastAsia"/>
                      <w:szCs w:val="21"/>
                    </w:rPr>
                    <w:t>硫酸雾</w:t>
                  </w:r>
                </w:p>
              </w:tc>
              <w:tc>
                <w:tcPr>
                  <w:tcW w:w="1262" w:type="pct"/>
                  <w:vAlign w:val="center"/>
                </w:tcPr>
                <w:p w14:paraId="520AB95F">
                  <w:pPr>
                    <w:adjustRightInd w:val="0"/>
                    <w:snapToGrid w:val="0"/>
                    <w:jc w:val="center"/>
                    <w:rPr>
                      <w:bCs/>
                      <w:szCs w:val="21"/>
                    </w:rPr>
                  </w:pPr>
                  <w:r>
                    <w:t>0.1409</w:t>
                  </w:r>
                </w:p>
              </w:tc>
              <w:tc>
                <w:tcPr>
                  <w:tcW w:w="1242" w:type="pct"/>
                  <w:vAlign w:val="center"/>
                </w:tcPr>
                <w:p w14:paraId="520AB960">
                  <w:pPr>
                    <w:adjustRightInd w:val="0"/>
                    <w:snapToGrid w:val="0"/>
                    <w:jc w:val="center"/>
                    <w:rPr>
                      <w:bCs/>
                      <w:szCs w:val="21"/>
                    </w:rPr>
                  </w:pPr>
                  <w:r>
                    <w:t>0.1525</w:t>
                  </w:r>
                </w:p>
              </w:tc>
              <w:tc>
                <w:tcPr>
                  <w:tcW w:w="1241" w:type="pct"/>
                  <w:vAlign w:val="center"/>
                </w:tcPr>
                <w:p w14:paraId="520AB961">
                  <w:pPr>
                    <w:adjustRightInd w:val="0"/>
                    <w:snapToGrid w:val="0"/>
                    <w:jc w:val="center"/>
                    <w:rPr>
                      <w:szCs w:val="21"/>
                    </w:rPr>
                  </w:pPr>
                  <w:r>
                    <w:t>/</w:t>
                  </w:r>
                </w:p>
              </w:tc>
            </w:tr>
            <w:tr w14:paraId="520AB96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continue"/>
                  <w:vAlign w:val="center"/>
                </w:tcPr>
                <w:p w14:paraId="520AB963">
                  <w:pPr>
                    <w:adjustRightInd w:val="0"/>
                    <w:snapToGrid w:val="0"/>
                    <w:jc w:val="center"/>
                    <w:rPr>
                      <w:szCs w:val="21"/>
                    </w:rPr>
                  </w:pPr>
                </w:p>
              </w:tc>
              <w:tc>
                <w:tcPr>
                  <w:tcW w:w="878" w:type="pct"/>
                  <w:vAlign w:val="center"/>
                </w:tcPr>
                <w:p w14:paraId="520AB964">
                  <w:pPr>
                    <w:adjustRightInd w:val="0"/>
                    <w:snapToGrid w:val="0"/>
                    <w:jc w:val="center"/>
                    <w:rPr>
                      <w:szCs w:val="21"/>
                    </w:rPr>
                  </w:pPr>
                  <w:r>
                    <w:rPr>
                      <w:rFonts w:hint="eastAsia"/>
                      <w:szCs w:val="21"/>
                    </w:rPr>
                    <w:t>氯化氢</w:t>
                  </w:r>
                </w:p>
              </w:tc>
              <w:tc>
                <w:tcPr>
                  <w:tcW w:w="1262" w:type="pct"/>
                  <w:vAlign w:val="center"/>
                </w:tcPr>
                <w:p w14:paraId="520AB965">
                  <w:pPr>
                    <w:adjustRightInd w:val="0"/>
                    <w:snapToGrid w:val="0"/>
                    <w:jc w:val="center"/>
                    <w:rPr>
                      <w:bCs/>
                      <w:szCs w:val="21"/>
                    </w:rPr>
                  </w:pPr>
                  <w:r>
                    <w:t>0.1769</w:t>
                  </w:r>
                </w:p>
              </w:tc>
              <w:tc>
                <w:tcPr>
                  <w:tcW w:w="1242" w:type="pct"/>
                  <w:vAlign w:val="center"/>
                </w:tcPr>
                <w:p w14:paraId="520AB966">
                  <w:pPr>
                    <w:adjustRightInd w:val="0"/>
                    <w:snapToGrid w:val="0"/>
                    <w:jc w:val="center"/>
                    <w:rPr>
                      <w:bCs/>
                      <w:szCs w:val="21"/>
                    </w:rPr>
                  </w:pPr>
                  <w:r>
                    <w:t>0.4813</w:t>
                  </w:r>
                </w:p>
              </w:tc>
              <w:tc>
                <w:tcPr>
                  <w:tcW w:w="1241" w:type="pct"/>
                  <w:vAlign w:val="center"/>
                </w:tcPr>
                <w:p w14:paraId="520AB967">
                  <w:pPr>
                    <w:adjustRightInd w:val="0"/>
                    <w:snapToGrid w:val="0"/>
                    <w:jc w:val="center"/>
                    <w:rPr>
                      <w:szCs w:val="21"/>
                    </w:rPr>
                  </w:pPr>
                  <w:r>
                    <w:t>/</w:t>
                  </w:r>
                </w:p>
              </w:tc>
            </w:tr>
            <w:tr w14:paraId="520AB96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377" w:type="pct"/>
                  <w:vMerge w:val="continue"/>
                  <w:vAlign w:val="center"/>
                </w:tcPr>
                <w:p w14:paraId="520AB969">
                  <w:pPr>
                    <w:adjustRightInd w:val="0"/>
                    <w:snapToGrid w:val="0"/>
                    <w:jc w:val="center"/>
                    <w:rPr>
                      <w:szCs w:val="21"/>
                    </w:rPr>
                  </w:pPr>
                </w:p>
              </w:tc>
              <w:tc>
                <w:tcPr>
                  <w:tcW w:w="878" w:type="pct"/>
                  <w:vAlign w:val="center"/>
                </w:tcPr>
                <w:p w14:paraId="520AB96A">
                  <w:pPr>
                    <w:adjustRightInd w:val="0"/>
                    <w:snapToGrid w:val="0"/>
                    <w:jc w:val="center"/>
                    <w:rPr>
                      <w:szCs w:val="21"/>
                    </w:rPr>
                  </w:pPr>
                  <w:r>
                    <w:rPr>
                      <w:rFonts w:hint="eastAsia"/>
                      <w:szCs w:val="21"/>
                    </w:rPr>
                    <w:t>氰化氢</w:t>
                  </w:r>
                </w:p>
              </w:tc>
              <w:tc>
                <w:tcPr>
                  <w:tcW w:w="1262" w:type="pct"/>
                  <w:vAlign w:val="center"/>
                </w:tcPr>
                <w:p w14:paraId="520AB96B">
                  <w:pPr>
                    <w:adjustRightInd w:val="0"/>
                    <w:snapToGrid w:val="0"/>
                    <w:jc w:val="center"/>
                    <w:rPr>
                      <w:bCs/>
                      <w:szCs w:val="21"/>
                    </w:rPr>
                  </w:pPr>
                  <w:r>
                    <w:t>0.0077</w:t>
                  </w:r>
                </w:p>
              </w:tc>
              <w:tc>
                <w:tcPr>
                  <w:tcW w:w="1242" w:type="pct"/>
                  <w:vAlign w:val="center"/>
                </w:tcPr>
                <w:p w14:paraId="520AB96C">
                  <w:pPr>
                    <w:adjustRightInd w:val="0"/>
                    <w:snapToGrid w:val="0"/>
                    <w:jc w:val="center"/>
                    <w:rPr>
                      <w:bCs/>
                      <w:szCs w:val="21"/>
                    </w:rPr>
                  </w:pPr>
                  <w:r>
                    <w:t>0.0086</w:t>
                  </w:r>
                </w:p>
              </w:tc>
              <w:tc>
                <w:tcPr>
                  <w:tcW w:w="1241" w:type="pct"/>
                  <w:vAlign w:val="center"/>
                </w:tcPr>
                <w:p w14:paraId="520AB96D">
                  <w:pPr>
                    <w:adjustRightInd w:val="0"/>
                    <w:snapToGrid w:val="0"/>
                    <w:jc w:val="center"/>
                    <w:rPr>
                      <w:szCs w:val="21"/>
                    </w:rPr>
                  </w:pPr>
                  <w:r>
                    <w:t>/</w:t>
                  </w:r>
                </w:p>
              </w:tc>
            </w:tr>
            <w:tr w14:paraId="520AB97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continue"/>
                  <w:vAlign w:val="center"/>
                </w:tcPr>
                <w:p w14:paraId="520AB96F">
                  <w:pPr>
                    <w:adjustRightInd w:val="0"/>
                    <w:snapToGrid w:val="0"/>
                    <w:jc w:val="center"/>
                    <w:rPr>
                      <w:szCs w:val="21"/>
                    </w:rPr>
                  </w:pPr>
                </w:p>
              </w:tc>
              <w:tc>
                <w:tcPr>
                  <w:tcW w:w="878" w:type="pct"/>
                  <w:vAlign w:val="center"/>
                </w:tcPr>
                <w:p w14:paraId="520AB970">
                  <w:pPr>
                    <w:adjustRightInd w:val="0"/>
                    <w:snapToGrid w:val="0"/>
                    <w:jc w:val="center"/>
                    <w:rPr>
                      <w:szCs w:val="21"/>
                    </w:rPr>
                  </w:pPr>
                  <w:r>
                    <w:rPr>
                      <w:rFonts w:hint="eastAsia"/>
                      <w:szCs w:val="21"/>
                    </w:rPr>
                    <w:t>氮氧化物</w:t>
                  </w:r>
                </w:p>
              </w:tc>
              <w:tc>
                <w:tcPr>
                  <w:tcW w:w="1262" w:type="pct"/>
                  <w:vAlign w:val="center"/>
                </w:tcPr>
                <w:p w14:paraId="520AB971">
                  <w:pPr>
                    <w:adjustRightInd w:val="0"/>
                    <w:snapToGrid w:val="0"/>
                    <w:jc w:val="center"/>
                    <w:rPr>
                      <w:bCs/>
                      <w:szCs w:val="21"/>
                    </w:rPr>
                  </w:pPr>
                  <w:r>
                    <w:t>0.7709</w:t>
                  </w:r>
                </w:p>
              </w:tc>
              <w:tc>
                <w:tcPr>
                  <w:tcW w:w="1242" w:type="pct"/>
                  <w:vAlign w:val="center"/>
                </w:tcPr>
                <w:p w14:paraId="520AB972">
                  <w:pPr>
                    <w:adjustRightInd w:val="0"/>
                    <w:snapToGrid w:val="0"/>
                    <w:jc w:val="center"/>
                    <w:rPr>
                      <w:bCs/>
                      <w:szCs w:val="21"/>
                    </w:rPr>
                  </w:pPr>
                  <w:r>
                    <w:t>5.1907</w:t>
                  </w:r>
                </w:p>
              </w:tc>
              <w:tc>
                <w:tcPr>
                  <w:tcW w:w="1241" w:type="pct"/>
                  <w:vAlign w:val="center"/>
                </w:tcPr>
                <w:p w14:paraId="520AB973">
                  <w:pPr>
                    <w:adjustRightInd w:val="0"/>
                    <w:snapToGrid w:val="0"/>
                    <w:jc w:val="center"/>
                    <w:rPr>
                      <w:szCs w:val="21"/>
                    </w:rPr>
                  </w:pPr>
                  <w:r>
                    <w:t>/</w:t>
                  </w:r>
                </w:p>
              </w:tc>
            </w:tr>
            <w:tr w14:paraId="520AB97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continue"/>
                  <w:vAlign w:val="center"/>
                </w:tcPr>
                <w:p w14:paraId="520AB975">
                  <w:pPr>
                    <w:adjustRightInd w:val="0"/>
                    <w:snapToGrid w:val="0"/>
                    <w:jc w:val="center"/>
                    <w:rPr>
                      <w:szCs w:val="21"/>
                    </w:rPr>
                  </w:pPr>
                </w:p>
              </w:tc>
              <w:tc>
                <w:tcPr>
                  <w:tcW w:w="878" w:type="pct"/>
                  <w:vAlign w:val="center"/>
                </w:tcPr>
                <w:p w14:paraId="520AB976">
                  <w:pPr>
                    <w:adjustRightInd w:val="0"/>
                    <w:snapToGrid w:val="0"/>
                    <w:jc w:val="center"/>
                    <w:rPr>
                      <w:bCs/>
                      <w:szCs w:val="21"/>
                    </w:rPr>
                  </w:pPr>
                  <w:r>
                    <w:rPr>
                      <w:rFonts w:hint="eastAsia"/>
                      <w:szCs w:val="21"/>
                    </w:rPr>
                    <w:t>锡及其化合物</w:t>
                  </w:r>
                </w:p>
              </w:tc>
              <w:tc>
                <w:tcPr>
                  <w:tcW w:w="1262" w:type="pct"/>
                  <w:vAlign w:val="center"/>
                </w:tcPr>
                <w:p w14:paraId="520AB977">
                  <w:pPr>
                    <w:adjustRightInd w:val="0"/>
                    <w:snapToGrid w:val="0"/>
                    <w:jc w:val="center"/>
                    <w:rPr>
                      <w:bCs/>
                    </w:rPr>
                  </w:pPr>
                  <w:r>
                    <w:t>/</w:t>
                  </w:r>
                </w:p>
              </w:tc>
              <w:tc>
                <w:tcPr>
                  <w:tcW w:w="1242" w:type="pct"/>
                  <w:vAlign w:val="center"/>
                </w:tcPr>
                <w:p w14:paraId="520AB978">
                  <w:pPr>
                    <w:adjustRightInd w:val="0"/>
                    <w:snapToGrid w:val="0"/>
                    <w:jc w:val="center"/>
                    <w:rPr>
                      <w:bCs/>
                      <w:szCs w:val="21"/>
                    </w:rPr>
                  </w:pPr>
                  <w:r>
                    <w:t>/</w:t>
                  </w:r>
                </w:p>
              </w:tc>
              <w:tc>
                <w:tcPr>
                  <w:tcW w:w="1241" w:type="pct"/>
                  <w:vAlign w:val="center"/>
                </w:tcPr>
                <w:p w14:paraId="520AB979">
                  <w:pPr>
                    <w:adjustRightInd w:val="0"/>
                    <w:snapToGrid w:val="0"/>
                    <w:jc w:val="center"/>
                    <w:rPr>
                      <w:bCs/>
                      <w:szCs w:val="21"/>
                    </w:rPr>
                  </w:pPr>
                  <w:r>
                    <w:t>0.022</w:t>
                  </w:r>
                  <w:r>
                    <w:rPr>
                      <w:rFonts w:hint="eastAsia"/>
                    </w:rPr>
                    <w:t>0</w:t>
                  </w:r>
                </w:p>
              </w:tc>
            </w:tr>
            <w:tr w14:paraId="520AB98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continue"/>
                  <w:vAlign w:val="center"/>
                </w:tcPr>
                <w:p w14:paraId="520AB97B">
                  <w:pPr>
                    <w:adjustRightInd w:val="0"/>
                    <w:snapToGrid w:val="0"/>
                    <w:jc w:val="center"/>
                    <w:rPr>
                      <w:szCs w:val="21"/>
                    </w:rPr>
                  </w:pPr>
                </w:p>
              </w:tc>
              <w:tc>
                <w:tcPr>
                  <w:tcW w:w="878" w:type="pct"/>
                  <w:vAlign w:val="center"/>
                </w:tcPr>
                <w:p w14:paraId="520AB97C">
                  <w:pPr>
                    <w:adjustRightInd w:val="0"/>
                    <w:snapToGrid w:val="0"/>
                    <w:jc w:val="center"/>
                    <w:rPr>
                      <w:szCs w:val="21"/>
                    </w:rPr>
                  </w:pPr>
                  <w:r>
                    <w:rPr>
                      <w:rFonts w:hint="eastAsia"/>
                      <w:szCs w:val="21"/>
                    </w:rPr>
                    <w:t>颗粒物</w:t>
                  </w:r>
                </w:p>
              </w:tc>
              <w:tc>
                <w:tcPr>
                  <w:tcW w:w="1262" w:type="pct"/>
                  <w:vAlign w:val="center"/>
                </w:tcPr>
                <w:p w14:paraId="520AB97D">
                  <w:pPr>
                    <w:adjustRightInd w:val="0"/>
                    <w:snapToGrid w:val="0"/>
                    <w:jc w:val="center"/>
                    <w:rPr>
                      <w:bCs/>
                      <w:szCs w:val="21"/>
                    </w:rPr>
                  </w:pPr>
                  <w:r>
                    <w:t>0.4388</w:t>
                  </w:r>
                </w:p>
              </w:tc>
              <w:tc>
                <w:tcPr>
                  <w:tcW w:w="1242" w:type="pct"/>
                  <w:vAlign w:val="center"/>
                </w:tcPr>
                <w:p w14:paraId="520AB97E">
                  <w:pPr>
                    <w:adjustRightInd w:val="0"/>
                    <w:snapToGrid w:val="0"/>
                    <w:jc w:val="center"/>
                    <w:rPr>
                      <w:bCs/>
                      <w:szCs w:val="21"/>
                    </w:rPr>
                  </w:pPr>
                  <w:r>
                    <w:t>1.424</w:t>
                  </w:r>
                  <w:r>
                    <w:rPr>
                      <w:rFonts w:hint="eastAsia"/>
                    </w:rPr>
                    <w:t>0</w:t>
                  </w:r>
                  <w:r>
                    <w:t>4</w:t>
                  </w:r>
                </w:p>
              </w:tc>
              <w:tc>
                <w:tcPr>
                  <w:tcW w:w="1241" w:type="pct"/>
                  <w:vAlign w:val="center"/>
                </w:tcPr>
                <w:p w14:paraId="520AB97F">
                  <w:pPr>
                    <w:adjustRightInd w:val="0"/>
                    <w:snapToGrid w:val="0"/>
                    <w:jc w:val="center"/>
                    <w:rPr>
                      <w:szCs w:val="21"/>
                    </w:rPr>
                  </w:pPr>
                  <w:r>
                    <w:t>0.1296</w:t>
                  </w:r>
                </w:p>
              </w:tc>
            </w:tr>
            <w:tr w14:paraId="520AB98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continue"/>
                  <w:vAlign w:val="center"/>
                </w:tcPr>
                <w:p w14:paraId="520AB981">
                  <w:pPr>
                    <w:adjustRightInd w:val="0"/>
                    <w:snapToGrid w:val="0"/>
                    <w:jc w:val="center"/>
                    <w:rPr>
                      <w:szCs w:val="21"/>
                    </w:rPr>
                  </w:pPr>
                </w:p>
              </w:tc>
              <w:tc>
                <w:tcPr>
                  <w:tcW w:w="878" w:type="pct"/>
                  <w:vAlign w:val="center"/>
                </w:tcPr>
                <w:p w14:paraId="520AB982">
                  <w:pPr>
                    <w:adjustRightInd w:val="0"/>
                    <w:snapToGrid w:val="0"/>
                    <w:jc w:val="center"/>
                    <w:rPr>
                      <w:bCs/>
                      <w:szCs w:val="21"/>
                    </w:rPr>
                  </w:pPr>
                  <w:r>
                    <w:rPr>
                      <w:szCs w:val="21"/>
                    </w:rPr>
                    <w:t>VOCs</w:t>
                  </w:r>
                </w:p>
              </w:tc>
              <w:tc>
                <w:tcPr>
                  <w:tcW w:w="1262" w:type="pct"/>
                  <w:vAlign w:val="center"/>
                </w:tcPr>
                <w:p w14:paraId="520AB983">
                  <w:pPr>
                    <w:adjustRightInd w:val="0"/>
                    <w:snapToGrid w:val="0"/>
                    <w:jc w:val="center"/>
                    <w:rPr>
                      <w:bCs/>
                    </w:rPr>
                  </w:pPr>
                  <w:r>
                    <w:t>2.2324</w:t>
                  </w:r>
                </w:p>
              </w:tc>
              <w:tc>
                <w:tcPr>
                  <w:tcW w:w="1242" w:type="pct"/>
                  <w:vAlign w:val="center"/>
                </w:tcPr>
                <w:p w14:paraId="520AB984">
                  <w:pPr>
                    <w:adjustRightInd w:val="0"/>
                    <w:snapToGrid w:val="0"/>
                    <w:jc w:val="center"/>
                    <w:rPr>
                      <w:bCs/>
                    </w:rPr>
                  </w:pPr>
                  <w:r>
                    <w:t>2.5052</w:t>
                  </w:r>
                </w:p>
              </w:tc>
              <w:tc>
                <w:tcPr>
                  <w:tcW w:w="1241" w:type="pct"/>
                  <w:vAlign w:val="center"/>
                </w:tcPr>
                <w:p w14:paraId="520AB985">
                  <w:pPr>
                    <w:adjustRightInd w:val="0"/>
                    <w:snapToGrid w:val="0"/>
                    <w:jc w:val="center"/>
                    <w:rPr>
                      <w:bCs/>
                      <w:szCs w:val="21"/>
                    </w:rPr>
                  </w:pPr>
                  <w:r>
                    <w:t>2.2023</w:t>
                  </w:r>
                </w:p>
              </w:tc>
            </w:tr>
            <w:tr w14:paraId="520AB98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77" w:type="pct"/>
                  <w:vMerge w:val="continue"/>
                  <w:vAlign w:val="center"/>
                </w:tcPr>
                <w:p w14:paraId="520AB987">
                  <w:pPr>
                    <w:adjustRightInd w:val="0"/>
                    <w:snapToGrid w:val="0"/>
                    <w:jc w:val="center"/>
                    <w:rPr>
                      <w:szCs w:val="21"/>
                    </w:rPr>
                  </w:pPr>
                </w:p>
              </w:tc>
              <w:tc>
                <w:tcPr>
                  <w:tcW w:w="878" w:type="pct"/>
                  <w:vAlign w:val="center"/>
                </w:tcPr>
                <w:p w14:paraId="520AB988">
                  <w:pPr>
                    <w:adjustRightInd w:val="0"/>
                    <w:snapToGrid w:val="0"/>
                    <w:jc w:val="center"/>
                    <w:rPr>
                      <w:szCs w:val="21"/>
                    </w:rPr>
                  </w:pPr>
                  <w:r>
                    <w:rPr>
                      <w:rFonts w:hint="eastAsia"/>
                      <w:szCs w:val="21"/>
                    </w:rPr>
                    <w:t>氨</w:t>
                  </w:r>
                </w:p>
              </w:tc>
              <w:tc>
                <w:tcPr>
                  <w:tcW w:w="1262" w:type="pct"/>
                  <w:vAlign w:val="center"/>
                </w:tcPr>
                <w:p w14:paraId="520AB989">
                  <w:pPr>
                    <w:adjustRightInd w:val="0"/>
                    <w:snapToGrid w:val="0"/>
                    <w:jc w:val="center"/>
                    <w:rPr>
                      <w:szCs w:val="21"/>
                    </w:rPr>
                  </w:pPr>
                  <w:r>
                    <w:t>/</w:t>
                  </w:r>
                </w:p>
              </w:tc>
              <w:tc>
                <w:tcPr>
                  <w:tcW w:w="1242" w:type="pct"/>
                  <w:vAlign w:val="center"/>
                </w:tcPr>
                <w:p w14:paraId="520AB98A">
                  <w:pPr>
                    <w:adjustRightInd w:val="0"/>
                    <w:snapToGrid w:val="0"/>
                    <w:jc w:val="center"/>
                    <w:rPr>
                      <w:szCs w:val="21"/>
                    </w:rPr>
                  </w:pPr>
                  <w:r>
                    <w:t>/</w:t>
                  </w:r>
                </w:p>
              </w:tc>
              <w:tc>
                <w:tcPr>
                  <w:tcW w:w="1241" w:type="pct"/>
                  <w:vAlign w:val="center"/>
                </w:tcPr>
                <w:p w14:paraId="520AB98B">
                  <w:pPr>
                    <w:adjustRightInd w:val="0"/>
                    <w:snapToGrid w:val="0"/>
                    <w:jc w:val="center"/>
                    <w:rPr>
                      <w:bCs/>
                    </w:rPr>
                  </w:pPr>
                  <w:r>
                    <w:t>0.0111</w:t>
                  </w:r>
                </w:p>
              </w:tc>
            </w:tr>
          </w:tbl>
          <w:p w14:paraId="520AB98D">
            <w:pPr>
              <w:adjustRightInd w:val="0"/>
              <w:snapToGrid w:val="0"/>
              <w:spacing w:line="460" w:lineRule="exact"/>
              <w:ind w:firstLine="482" w:firstLineChars="200"/>
              <w:textAlignment w:val="baseline"/>
              <w:rPr>
                <w:b/>
                <w:bCs/>
                <w:sz w:val="24"/>
              </w:rPr>
            </w:pPr>
            <w:r>
              <w:rPr>
                <w:rFonts w:hint="eastAsia"/>
                <w:b/>
                <w:bCs/>
                <w:sz w:val="24"/>
              </w:rPr>
              <w:t>（四）现有工程存在的问题及整改措施</w:t>
            </w:r>
          </w:p>
          <w:p w14:paraId="520AB98E">
            <w:pPr>
              <w:adjustRightInd w:val="0"/>
              <w:snapToGrid w:val="0"/>
              <w:spacing w:line="460" w:lineRule="exact"/>
              <w:ind w:firstLine="480" w:firstLineChars="200"/>
              <w:rPr>
                <w:b/>
                <w:bCs/>
                <w:sz w:val="24"/>
                <w:u w:val="single"/>
              </w:rPr>
            </w:pPr>
            <w:r>
              <w:rPr>
                <w:sz w:val="24"/>
              </w:rPr>
              <w:t>建设路厂区</w:t>
            </w:r>
            <w:r>
              <w:rPr>
                <w:rFonts w:hint="eastAsia"/>
                <w:sz w:val="24"/>
              </w:rPr>
              <w:t>现有工程已按照现有环保要求对现有工程各处废水、废气进行了收集处理，污染物均可达标排放，各环境保护设施建立有相应的管理制度和台账；同时</w:t>
            </w:r>
            <w:r>
              <w:rPr>
                <w:sz w:val="24"/>
              </w:rPr>
              <w:t>企业</w:t>
            </w:r>
            <w:r>
              <w:rPr>
                <w:rFonts w:hint="eastAsia"/>
                <w:sz w:val="24"/>
              </w:rPr>
              <w:t>已</w:t>
            </w:r>
            <w:r>
              <w:rPr>
                <w:sz w:val="24"/>
              </w:rPr>
              <w:t>按照</w:t>
            </w:r>
            <w:r>
              <w:rPr>
                <w:rFonts w:hint="eastAsia"/>
                <w:sz w:val="24"/>
              </w:rPr>
              <w:t>排污许可证规定和有关标准规范进行环境管理台账记录</w:t>
            </w:r>
            <w:r>
              <w:rPr>
                <w:sz w:val="24"/>
              </w:rPr>
              <w:t>、</w:t>
            </w:r>
            <w:r>
              <w:rPr>
                <w:rFonts w:hint="eastAsia"/>
                <w:sz w:val="24"/>
              </w:rPr>
              <w:t>排污许可证执行报告填报、开展</w:t>
            </w:r>
            <w:r>
              <w:rPr>
                <w:sz w:val="24"/>
              </w:rPr>
              <w:t>自行监测</w:t>
            </w:r>
            <w:r>
              <w:rPr>
                <w:rFonts w:hint="eastAsia"/>
                <w:sz w:val="24"/>
              </w:rPr>
              <w:t>。</w:t>
            </w:r>
            <w:r>
              <w:rPr>
                <w:rFonts w:hint="eastAsia"/>
                <w:bCs/>
                <w:sz w:val="24"/>
              </w:rPr>
              <w:t>根据现场踏勘，企业现有项目不存在需要整改的问题。</w:t>
            </w:r>
          </w:p>
          <w:p w14:paraId="520AB98F">
            <w:pPr>
              <w:adjustRightInd w:val="0"/>
              <w:snapToGrid w:val="0"/>
              <w:spacing w:line="460" w:lineRule="exact"/>
              <w:ind w:firstLine="482" w:firstLineChars="200"/>
              <w:rPr>
                <w:b/>
                <w:bCs/>
                <w:kern w:val="0"/>
                <w:sz w:val="24"/>
              </w:rPr>
            </w:pPr>
            <w:r>
              <w:rPr>
                <w:rFonts w:hint="eastAsia"/>
                <w:b/>
                <w:bCs/>
                <w:kern w:val="0"/>
                <w:sz w:val="24"/>
              </w:rPr>
              <w:t>二、解放路厂区</w:t>
            </w:r>
          </w:p>
          <w:p w14:paraId="520AB990">
            <w:pPr>
              <w:spacing w:line="460" w:lineRule="exact"/>
              <w:ind w:firstLine="480" w:firstLineChars="200"/>
              <w:rPr>
                <w:sz w:val="24"/>
              </w:rPr>
            </w:pPr>
            <w:r>
              <w:rPr>
                <w:rFonts w:hint="eastAsia"/>
                <w:bCs/>
                <w:sz w:val="24"/>
              </w:rPr>
              <w:t>新航集团</w:t>
            </w:r>
            <w:r>
              <w:rPr>
                <w:rFonts w:hint="eastAsia"/>
                <w:sz w:val="24"/>
              </w:rPr>
              <w:t>解放路厂区于2024年12月16日重新申请取得排污许可证，证书编号：914107117708545471009S，有效期为：2024年12月16日~2029年12月15日，管理类别为简化管理。</w:t>
            </w:r>
            <w:r>
              <w:rPr>
                <w:sz w:val="24"/>
              </w:rPr>
              <w:t>企业</w:t>
            </w:r>
            <w:r>
              <w:rPr>
                <w:rFonts w:hint="eastAsia"/>
                <w:sz w:val="24"/>
              </w:rPr>
              <w:t>已</w:t>
            </w:r>
            <w:r>
              <w:rPr>
                <w:sz w:val="24"/>
              </w:rPr>
              <w:t>按照</w:t>
            </w:r>
            <w:r>
              <w:rPr>
                <w:rFonts w:hint="eastAsia"/>
                <w:sz w:val="24"/>
              </w:rPr>
              <w:t>排污许可证规定和有关标准规范进行环境管理台账记录</w:t>
            </w:r>
            <w:r>
              <w:rPr>
                <w:sz w:val="24"/>
              </w:rPr>
              <w:t>、</w:t>
            </w:r>
            <w:r>
              <w:rPr>
                <w:rFonts w:hint="eastAsia"/>
                <w:sz w:val="24"/>
              </w:rPr>
              <w:t>排污许可证执行报告填报、开展</w:t>
            </w:r>
            <w:r>
              <w:rPr>
                <w:sz w:val="24"/>
              </w:rPr>
              <w:t>自行监测</w:t>
            </w:r>
            <w:r>
              <w:rPr>
                <w:rFonts w:hint="eastAsia"/>
                <w:sz w:val="24"/>
              </w:rPr>
              <w:t>。</w:t>
            </w:r>
          </w:p>
          <w:p w14:paraId="520AB991">
            <w:pPr>
              <w:adjustRightInd w:val="0"/>
              <w:snapToGrid w:val="0"/>
              <w:spacing w:line="460" w:lineRule="exact"/>
              <w:ind w:firstLine="482" w:firstLineChars="200"/>
              <w:rPr>
                <w:b/>
                <w:bCs/>
                <w:sz w:val="24"/>
              </w:rPr>
            </w:pPr>
            <w:r>
              <w:rPr>
                <w:rFonts w:hint="eastAsia"/>
                <w:b/>
                <w:bCs/>
                <w:sz w:val="24"/>
              </w:rPr>
              <w:t>1、主要产品</w:t>
            </w:r>
          </w:p>
          <w:p w14:paraId="520AB992">
            <w:pPr>
              <w:adjustRightInd w:val="0"/>
              <w:snapToGrid w:val="0"/>
              <w:spacing w:line="460" w:lineRule="exact"/>
              <w:ind w:firstLine="480" w:firstLineChars="200"/>
              <w:rPr>
                <w:sz w:val="24"/>
              </w:rPr>
            </w:pPr>
            <w:r>
              <w:rPr>
                <w:rFonts w:hint="eastAsia"/>
                <w:bCs/>
                <w:kern w:val="0"/>
                <w:sz w:val="24"/>
              </w:rPr>
              <w:t>解放路厂区主要</w:t>
            </w:r>
            <w:r>
              <w:rPr>
                <w:rFonts w:hint="eastAsia"/>
                <w:sz w:val="24"/>
              </w:rPr>
              <w:t>产品为滤芯、散热器等航空附件。</w:t>
            </w:r>
          </w:p>
          <w:p w14:paraId="520AB993">
            <w:pPr>
              <w:adjustRightInd w:val="0"/>
              <w:snapToGrid w:val="0"/>
              <w:spacing w:line="460" w:lineRule="exact"/>
              <w:ind w:firstLine="482" w:firstLineChars="200"/>
              <w:rPr>
                <w:bCs/>
                <w:kern w:val="0"/>
                <w:sz w:val="24"/>
                <w:highlight w:val="yellow"/>
              </w:rPr>
            </w:pPr>
            <w:r>
              <w:rPr>
                <w:rFonts w:hint="eastAsia"/>
                <w:b/>
                <w:bCs/>
                <w:sz w:val="24"/>
              </w:rPr>
              <w:t>2、现有工程污染物排放情况</w:t>
            </w:r>
          </w:p>
          <w:p w14:paraId="520AB994">
            <w:pPr>
              <w:adjustRightInd w:val="0"/>
              <w:snapToGrid w:val="0"/>
              <w:spacing w:line="460" w:lineRule="exact"/>
              <w:ind w:firstLine="480" w:firstLineChars="200"/>
              <w:rPr>
                <w:bCs/>
                <w:sz w:val="24"/>
              </w:rPr>
            </w:pPr>
            <w:r>
              <w:rPr>
                <w:rFonts w:hint="eastAsia"/>
                <w:bCs/>
                <w:sz w:val="24"/>
              </w:rPr>
              <w:t>新乡航空工业（集团）有限公司解放路厂区现有工程主要生产工艺包括表面处理（含电镀）、热处理、机械加工、喷涂处理、流化等。在建项目为“航空产品质量节能环保提升项目”，该项目已建成且已纳入管理，但是未投产，故根据环评报告及排污许可证进行描述。</w:t>
            </w:r>
          </w:p>
          <w:p w14:paraId="520AB995">
            <w:pPr>
              <w:adjustRightInd w:val="0"/>
              <w:snapToGrid w:val="0"/>
              <w:spacing w:line="460" w:lineRule="exact"/>
              <w:ind w:firstLine="480" w:firstLineChars="200"/>
              <w:rPr>
                <w:bCs/>
                <w:sz w:val="24"/>
              </w:rPr>
            </w:pPr>
            <w:r>
              <w:rPr>
                <w:rFonts w:hint="eastAsia"/>
                <w:bCs/>
                <w:sz w:val="24"/>
              </w:rPr>
              <w:t>根据厂区项目环评报告及批复、验收报告、近期的检测报告、污染物在线监测数据、排污许可证及现场勘查情况，现有项目污染物排放情况如下。</w:t>
            </w:r>
          </w:p>
          <w:p w14:paraId="520AB996">
            <w:pPr>
              <w:adjustRightInd w:val="0"/>
              <w:snapToGrid w:val="0"/>
              <w:spacing w:line="460" w:lineRule="exact"/>
              <w:ind w:firstLine="480" w:firstLineChars="200"/>
              <w:rPr>
                <w:bCs/>
                <w:sz w:val="24"/>
              </w:rPr>
            </w:pPr>
            <w:r>
              <w:rPr>
                <w:rFonts w:hint="eastAsia"/>
                <w:bCs/>
                <w:sz w:val="24"/>
              </w:rPr>
              <w:t>（1）废水</w:t>
            </w:r>
          </w:p>
          <w:p w14:paraId="520AB997">
            <w:pPr>
              <w:spacing w:line="460" w:lineRule="exact"/>
              <w:ind w:firstLine="480" w:firstLineChars="200"/>
              <w:rPr>
                <w:b/>
                <w:bCs/>
                <w:sz w:val="24"/>
              </w:rPr>
            </w:pPr>
            <w:r>
              <w:rPr>
                <w:rFonts w:hint="eastAsia"/>
                <w:bCs/>
                <w:sz w:val="24"/>
              </w:rPr>
              <w:t>①</w:t>
            </w:r>
            <w:r>
              <w:rPr>
                <w:rFonts w:hint="eastAsia"/>
                <w:b/>
                <w:bCs/>
                <w:sz w:val="24"/>
              </w:rPr>
              <w:t>废水种类及处理措施</w:t>
            </w:r>
          </w:p>
          <w:p w14:paraId="520AB998">
            <w:pPr>
              <w:spacing w:line="460" w:lineRule="exact"/>
              <w:ind w:firstLine="480" w:firstLineChars="200"/>
              <w:rPr>
                <w:bCs/>
                <w:sz w:val="24"/>
              </w:rPr>
            </w:pPr>
            <w:r>
              <w:rPr>
                <w:rFonts w:hint="eastAsia"/>
                <w:bCs/>
                <w:sz w:val="24"/>
              </w:rPr>
              <w:t>现有工程产生的废水主要为生产废水和生活污水，</w:t>
            </w:r>
            <w:r>
              <w:rPr>
                <w:rFonts w:hint="eastAsia"/>
                <w:sz w:val="24"/>
              </w:rPr>
              <w:t>具体产污环节及治理措施见下表。</w:t>
            </w:r>
          </w:p>
          <w:p w14:paraId="520AB999">
            <w:pPr>
              <w:spacing w:line="460" w:lineRule="exact"/>
              <w:ind w:firstLine="480" w:firstLineChars="200"/>
              <w:rPr>
                <w:rFonts w:eastAsia="黑体"/>
                <w:sz w:val="24"/>
              </w:rPr>
            </w:pPr>
            <w:r>
              <w:rPr>
                <w:rFonts w:eastAsia="黑体"/>
                <w:sz w:val="24"/>
              </w:rPr>
              <w:t>表</w:t>
            </w:r>
            <w:r>
              <w:rPr>
                <w:rFonts w:hint="eastAsia" w:eastAsia="黑体"/>
                <w:sz w:val="24"/>
              </w:rPr>
              <w:t>27</w:t>
            </w:r>
            <w:r>
              <w:rPr>
                <w:rFonts w:eastAsia="黑体"/>
                <w:sz w:val="24"/>
              </w:rPr>
              <w:t xml:space="preserve">    </w:t>
            </w:r>
            <w:r>
              <w:rPr>
                <w:rFonts w:hint="eastAsia" w:eastAsia="黑体"/>
                <w:sz w:val="24"/>
              </w:rPr>
              <w:t>解放路</w:t>
            </w:r>
            <w:r>
              <w:rPr>
                <w:rFonts w:eastAsia="黑体"/>
                <w:sz w:val="24"/>
              </w:rPr>
              <w:t>厂区现有工程废</w:t>
            </w:r>
            <w:r>
              <w:rPr>
                <w:rFonts w:hint="eastAsia" w:eastAsia="黑体"/>
                <w:sz w:val="24"/>
              </w:rPr>
              <w:t>水</w:t>
            </w:r>
            <w:r>
              <w:rPr>
                <w:rFonts w:eastAsia="黑体"/>
                <w:sz w:val="24"/>
              </w:rPr>
              <w:t>产污环节及治理措施一览表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00"/>
              <w:gridCol w:w="465"/>
              <w:gridCol w:w="1105"/>
              <w:gridCol w:w="2888"/>
              <w:gridCol w:w="2010"/>
              <w:gridCol w:w="1101"/>
            </w:tblGrid>
            <w:tr w14:paraId="520AB99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513" w:type="dxa"/>
                  <w:vMerge w:val="restart"/>
                  <w:vAlign w:val="center"/>
                </w:tcPr>
                <w:p w14:paraId="520AB99A">
                  <w:pPr>
                    <w:jc w:val="center"/>
                    <w:rPr>
                      <w:bCs/>
                      <w:szCs w:val="21"/>
                    </w:rPr>
                  </w:pPr>
                  <w:r>
                    <w:rPr>
                      <w:rFonts w:hint="eastAsia"/>
                      <w:bCs/>
                      <w:szCs w:val="21"/>
                    </w:rPr>
                    <w:t>已建工程</w:t>
                  </w:r>
                </w:p>
              </w:tc>
              <w:tc>
                <w:tcPr>
                  <w:tcW w:w="1614" w:type="dxa"/>
                  <w:gridSpan w:val="2"/>
                  <w:vAlign w:val="center"/>
                </w:tcPr>
                <w:p w14:paraId="520AB99B">
                  <w:pPr>
                    <w:jc w:val="center"/>
                    <w:rPr>
                      <w:b/>
                      <w:szCs w:val="21"/>
                    </w:rPr>
                  </w:pPr>
                  <w:r>
                    <w:rPr>
                      <w:b/>
                      <w:szCs w:val="21"/>
                    </w:rPr>
                    <w:t>产污环节</w:t>
                  </w:r>
                </w:p>
              </w:tc>
              <w:tc>
                <w:tcPr>
                  <w:tcW w:w="2976" w:type="dxa"/>
                  <w:vAlign w:val="center"/>
                </w:tcPr>
                <w:p w14:paraId="520AB99C">
                  <w:pPr>
                    <w:jc w:val="center"/>
                    <w:rPr>
                      <w:b/>
                      <w:szCs w:val="21"/>
                    </w:rPr>
                  </w:pPr>
                  <w:r>
                    <w:rPr>
                      <w:b/>
                      <w:szCs w:val="21"/>
                    </w:rPr>
                    <w:t>污</w:t>
                  </w:r>
                  <w:r>
                    <w:rPr>
                      <w:rFonts w:hint="eastAsia"/>
                      <w:b/>
                      <w:szCs w:val="21"/>
                    </w:rPr>
                    <w:t>染</w:t>
                  </w:r>
                  <w:r>
                    <w:rPr>
                      <w:b/>
                      <w:szCs w:val="21"/>
                    </w:rPr>
                    <w:t>物</w:t>
                  </w:r>
                </w:p>
              </w:tc>
              <w:tc>
                <w:tcPr>
                  <w:tcW w:w="3203" w:type="dxa"/>
                  <w:gridSpan w:val="2"/>
                  <w:vAlign w:val="center"/>
                </w:tcPr>
                <w:p w14:paraId="520AB99D">
                  <w:pPr>
                    <w:jc w:val="center"/>
                    <w:rPr>
                      <w:b/>
                      <w:szCs w:val="21"/>
                    </w:rPr>
                  </w:pPr>
                  <w:r>
                    <w:rPr>
                      <w:b/>
                      <w:szCs w:val="21"/>
                    </w:rPr>
                    <w:t>防治措施</w:t>
                  </w:r>
                </w:p>
              </w:tc>
            </w:tr>
            <w:tr w14:paraId="520AB9A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3" w:type="dxa"/>
                  <w:vMerge w:val="continue"/>
                  <w:vAlign w:val="center"/>
                </w:tcPr>
                <w:p w14:paraId="520AB99F">
                  <w:pPr>
                    <w:jc w:val="center"/>
                    <w:rPr>
                      <w:rFonts w:hint="eastAsia" w:ascii="宋体" w:hAnsi="宋体" w:cs="宋体"/>
                      <w:szCs w:val="21"/>
                    </w:rPr>
                  </w:pPr>
                </w:p>
              </w:tc>
              <w:tc>
                <w:tcPr>
                  <w:tcW w:w="477" w:type="dxa"/>
                  <w:vMerge w:val="restart"/>
                  <w:vAlign w:val="center"/>
                </w:tcPr>
                <w:p w14:paraId="520AB9A0">
                  <w:pPr>
                    <w:jc w:val="center"/>
                    <w:rPr>
                      <w:szCs w:val="21"/>
                    </w:rPr>
                  </w:pPr>
                  <w:r>
                    <w:rPr>
                      <w:rFonts w:hint="eastAsia" w:ascii="宋体" w:hAnsi="宋体" w:cs="宋体"/>
                      <w:szCs w:val="21"/>
                    </w:rPr>
                    <w:t>电镀生产线</w:t>
                  </w:r>
                </w:p>
              </w:tc>
              <w:tc>
                <w:tcPr>
                  <w:tcW w:w="1137" w:type="dxa"/>
                  <w:vAlign w:val="center"/>
                </w:tcPr>
                <w:p w14:paraId="520AB9A1">
                  <w:pPr>
                    <w:jc w:val="center"/>
                    <w:rPr>
                      <w:rFonts w:hint="eastAsia" w:ascii="宋体" w:hAnsi="宋体" w:cs="宋体"/>
                      <w:szCs w:val="21"/>
                    </w:rPr>
                  </w:pPr>
                  <w:r>
                    <w:rPr>
                      <w:szCs w:val="21"/>
                    </w:rPr>
                    <w:t>含氰废水</w:t>
                  </w:r>
                </w:p>
              </w:tc>
              <w:tc>
                <w:tcPr>
                  <w:tcW w:w="2976" w:type="dxa"/>
                  <w:vAlign w:val="center"/>
                </w:tcPr>
                <w:p w14:paraId="520AB9A2">
                  <w:pPr>
                    <w:jc w:val="center"/>
                    <w:rPr>
                      <w:szCs w:val="21"/>
                    </w:rPr>
                  </w:pPr>
                  <w:r>
                    <w:rPr>
                      <w:rFonts w:hint="eastAsia" w:ascii="宋体" w:hAnsi="宋体" w:cs="宋体"/>
                      <w:szCs w:val="21"/>
                    </w:rPr>
                    <w:t>总氰化物</w:t>
                  </w:r>
                </w:p>
              </w:tc>
              <w:tc>
                <w:tcPr>
                  <w:tcW w:w="2070" w:type="dxa"/>
                  <w:vAlign w:val="center"/>
                </w:tcPr>
                <w:p w14:paraId="520AB9A3">
                  <w:pPr>
                    <w:jc w:val="center"/>
                    <w:rPr>
                      <w:rFonts w:hint="eastAsia" w:ascii="宋体" w:hAnsi="宋体" w:cs="宋体"/>
                      <w:szCs w:val="21"/>
                    </w:rPr>
                  </w:pPr>
                  <w:r>
                    <w:rPr>
                      <w:rFonts w:hint="eastAsia" w:ascii="宋体" w:hAnsi="宋体" w:cs="宋体"/>
                      <w:szCs w:val="21"/>
                    </w:rPr>
                    <w:t>次氯酸钠氧化-絮凝-气浮-固液分离-过滤</w:t>
                  </w:r>
                </w:p>
              </w:tc>
              <w:tc>
                <w:tcPr>
                  <w:tcW w:w="1133" w:type="dxa"/>
                  <w:vMerge w:val="restart"/>
                  <w:vAlign w:val="center"/>
                </w:tcPr>
                <w:p w14:paraId="520AB9A4">
                  <w:pPr>
                    <w:jc w:val="center"/>
                    <w:rPr>
                      <w:szCs w:val="21"/>
                    </w:rPr>
                  </w:pPr>
                  <w:r>
                    <w:rPr>
                      <w:szCs w:val="21"/>
                    </w:rPr>
                    <w:t>进入厂区</w:t>
                  </w:r>
                  <w:r>
                    <w:rPr>
                      <w:rFonts w:hint="eastAsia"/>
                      <w:szCs w:val="21"/>
                    </w:rPr>
                    <w:t>综</w:t>
                  </w:r>
                  <w:r>
                    <w:rPr>
                      <w:szCs w:val="21"/>
                    </w:rPr>
                    <w:t>合废水处理设施（</w:t>
                  </w:r>
                  <w:r>
                    <w:rPr>
                      <w:rFonts w:hint="eastAsia"/>
                      <w:szCs w:val="21"/>
                    </w:rPr>
                    <w:t>调节池-厌氧池-缺氧池-好氧池-二沉池-反应池-除磷沉淀</w:t>
                  </w:r>
                  <w:r>
                    <w:rPr>
                      <w:szCs w:val="21"/>
                    </w:rPr>
                    <w:t>）处理后经厂区总排口排入小尚庄污水处</w:t>
                  </w:r>
                  <w:r>
                    <w:rPr>
                      <w:rFonts w:hint="eastAsia"/>
                      <w:szCs w:val="21"/>
                    </w:rPr>
                    <w:t>理</w:t>
                  </w:r>
                  <w:r>
                    <w:rPr>
                      <w:szCs w:val="21"/>
                    </w:rPr>
                    <w:t>厂</w:t>
                  </w:r>
                </w:p>
              </w:tc>
            </w:tr>
            <w:tr w14:paraId="520AB9A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3" w:type="dxa"/>
                  <w:vMerge w:val="continue"/>
                  <w:vAlign w:val="center"/>
                </w:tcPr>
                <w:p w14:paraId="520AB9A6">
                  <w:pPr>
                    <w:jc w:val="center"/>
                    <w:rPr>
                      <w:szCs w:val="21"/>
                    </w:rPr>
                  </w:pPr>
                </w:p>
              </w:tc>
              <w:tc>
                <w:tcPr>
                  <w:tcW w:w="477" w:type="dxa"/>
                  <w:vMerge w:val="continue"/>
                  <w:vAlign w:val="center"/>
                </w:tcPr>
                <w:p w14:paraId="520AB9A7">
                  <w:pPr>
                    <w:jc w:val="center"/>
                    <w:rPr>
                      <w:szCs w:val="21"/>
                    </w:rPr>
                  </w:pPr>
                </w:p>
              </w:tc>
              <w:tc>
                <w:tcPr>
                  <w:tcW w:w="1137" w:type="dxa"/>
                  <w:vAlign w:val="center"/>
                </w:tcPr>
                <w:p w14:paraId="520AB9A8">
                  <w:pPr>
                    <w:jc w:val="center"/>
                    <w:rPr>
                      <w:rFonts w:hint="eastAsia" w:ascii="宋体" w:hAnsi="宋体" w:cs="宋体"/>
                      <w:szCs w:val="21"/>
                    </w:rPr>
                  </w:pPr>
                  <w:r>
                    <w:rPr>
                      <w:szCs w:val="21"/>
                    </w:rPr>
                    <w:t>含铬废水</w:t>
                  </w:r>
                </w:p>
              </w:tc>
              <w:tc>
                <w:tcPr>
                  <w:tcW w:w="2976" w:type="dxa"/>
                  <w:vAlign w:val="center"/>
                </w:tcPr>
                <w:p w14:paraId="520AB9A9">
                  <w:pPr>
                    <w:jc w:val="center"/>
                    <w:rPr>
                      <w:szCs w:val="21"/>
                    </w:rPr>
                  </w:pPr>
                  <w:r>
                    <w:rPr>
                      <w:rFonts w:hint="eastAsia" w:ascii="宋体" w:hAnsi="宋体" w:cs="宋体"/>
                      <w:szCs w:val="21"/>
                    </w:rPr>
                    <w:t>六价铬</w:t>
                  </w:r>
                </w:p>
              </w:tc>
              <w:tc>
                <w:tcPr>
                  <w:tcW w:w="2070" w:type="dxa"/>
                  <w:vAlign w:val="center"/>
                </w:tcPr>
                <w:p w14:paraId="520AB9AA">
                  <w:pPr>
                    <w:jc w:val="center"/>
                    <w:rPr>
                      <w:rFonts w:hint="eastAsia" w:ascii="宋体" w:hAnsi="宋体" w:cs="宋体"/>
                      <w:szCs w:val="21"/>
                    </w:rPr>
                  </w:pPr>
                  <w:r>
                    <w:rPr>
                      <w:rFonts w:hint="eastAsia"/>
                      <w:szCs w:val="21"/>
                    </w:rPr>
                    <w:t>亚硫酸钠还原-絮凝-气浮-固液分离-过滤</w:t>
                  </w:r>
                </w:p>
              </w:tc>
              <w:tc>
                <w:tcPr>
                  <w:tcW w:w="1133" w:type="dxa"/>
                  <w:vMerge w:val="continue"/>
                  <w:vAlign w:val="center"/>
                </w:tcPr>
                <w:p w14:paraId="520AB9AB">
                  <w:pPr>
                    <w:jc w:val="center"/>
                    <w:rPr>
                      <w:rFonts w:hint="eastAsia" w:ascii="宋体" w:hAnsi="宋体" w:cs="宋体"/>
                      <w:szCs w:val="21"/>
                    </w:rPr>
                  </w:pPr>
                </w:p>
              </w:tc>
            </w:tr>
            <w:tr w14:paraId="520AB9B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3" w:type="dxa"/>
                  <w:vMerge w:val="continue"/>
                  <w:vAlign w:val="center"/>
                </w:tcPr>
                <w:p w14:paraId="520AB9AD">
                  <w:pPr>
                    <w:jc w:val="center"/>
                    <w:rPr>
                      <w:szCs w:val="21"/>
                    </w:rPr>
                  </w:pPr>
                </w:p>
              </w:tc>
              <w:tc>
                <w:tcPr>
                  <w:tcW w:w="477" w:type="dxa"/>
                  <w:vMerge w:val="continue"/>
                  <w:vAlign w:val="center"/>
                </w:tcPr>
                <w:p w14:paraId="520AB9AE">
                  <w:pPr>
                    <w:jc w:val="center"/>
                    <w:rPr>
                      <w:szCs w:val="21"/>
                    </w:rPr>
                  </w:pPr>
                </w:p>
              </w:tc>
              <w:tc>
                <w:tcPr>
                  <w:tcW w:w="1137" w:type="dxa"/>
                  <w:vAlign w:val="center"/>
                </w:tcPr>
                <w:p w14:paraId="520AB9AF">
                  <w:pPr>
                    <w:jc w:val="center"/>
                    <w:rPr>
                      <w:szCs w:val="21"/>
                    </w:rPr>
                  </w:pPr>
                  <w:r>
                    <w:rPr>
                      <w:rFonts w:hint="eastAsia"/>
                      <w:szCs w:val="21"/>
                    </w:rPr>
                    <w:t>重金属废水</w:t>
                  </w:r>
                </w:p>
              </w:tc>
              <w:tc>
                <w:tcPr>
                  <w:tcW w:w="2976" w:type="dxa"/>
                  <w:vAlign w:val="center"/>
                </w:tcPr>
                <w:p w14:paraId="520AB9B0">
                  <w:pPr>
                    <w:jc w:val="center"/>
                    <w:rPr>
                      <w:szCs w:val="21"/>
                    </w:rPr>
                  </w:pPr>
                  <w:r>
                    <w:rPr>
                      <w:rFonts w:hint="eastAsia"/>
                      <w:szCs w:val="21"/>
                    </w:rPr>
                    <w:t>总镍、总镉、总铬</w:t>
                  </w:r>
                </w:p>
              </w:tc>
              <w:tc>
                <w:tcPr>
                  <w:tcW w:w="2070" w:type="dxa"/>
                  <w:vAlign w:val="center"/>
                </w:tcPr>
                <w:p w14:paraId="520AB9B1">
                  <w:pPr>
                    <w:jc w:val="center"/>
                    <w:rPr>
                      <w:rFonts w:hint="eastAsia" w:ascii="宋体" w:hAnsi="宋体" w:cs="宋体"/>
                      <w:szCs w:val="21"/>
                    </w:rPr>
                  </w:pPr>
                  <w:r>
                    <w:rPr>
                      <w:rFonts w:hint="eastAsia" w:ascii="宋体" w:hAnsi="宋体" w:cs="宋体"/>
                      <w:szCs w:val="21"/>
                    </w:rPr>
                    <w:t>过氧化氢氧化-絮凝-气浮-固液分离-过滤</w:t>
                  </w:r>
                </w:p>
              </w:tc>
              <w:tc>
                <w:tcPr>
                  <w:tcW w:w="1133" w:type="dxa"/>
                  <w:vMerge w:val="continue"/>
                  <w:vAlign w:val="center"/>
                </w:tcPr>
                <w:p w14:paraId="520AB9B2">
                  <w:pPr>
                    <w:jc w:val="center"/>
                    <w:rPr>
                      <w:rFonts w:hint="eastAsia" w:ascii="宋体" w:hAnsi="宋体" w:cs="宋体"/>
                      <w:szCs w:val="21"/>
                    </w:rPr>
                  </w:pPr>
                </w:p>
              </w:tc>
            </w:tr>
            <w:tr w14:paraId="520AB9B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3" w:type="dxa"/>
                  <w:vMerge w:val="continue"/>
                  <w:vAlign w:val="center"/>
                </w:tcPr>
                <w:p w14:paraId="520AB9B4">
                  <w:pPr>
                    <w:jc w:val="center"/>
                    <w:rPr>
                      <w:szCs w:val="21"/>
                    </w:rPr>
                  </w:pPr>
                </w:p>
              </w:tc>
              <w:tc>
                <w:tcPr>
                  <w:tcW w:w="477" w:type="dxa"/>
                  <w:vMerge w:val="continue"/>
                  <w:vAlign w:val="center"/>
                </w:tcPr>
                <w:p w14:paraId="520AB9B5">
                  <w:pPr>
                    <w:jc w:val="center"/>
                    <w:rPr>
                      <w:szCs w:val="21"/>
                    </w:rPr>
                  </w:pPr>
                </w:p>
              </w:tc>
              <w:tc>
                <w:tcPr>
                  <w:tcW w:w="1137" w:type="dxa"/>
                  <w:vAlign w:val="center"/>
                </w:tcPr>
                <w:p w14:paraId="520AB9B6">
                  <w:pPr>
                    <w:jc w:val="center"/>
                    <w:rPr>
                      <w:szCs w:val="21"/>
                    </w:rPr>
                  </w:pPr>
                  <w:r>
                    <w:rPr>
                      <w:rFonts w:hint="eastAsia"/>
                      <w:szCs w:val="21"/>
                    </w:rPr>
                    <w:t>含酸碱废水</w:t>
                  </w:r>
                </w:p>
              </w:tc>
              <w:tc>
                <w:tcPr>
                  <w:tcW w:w="2976" w:type="dxa"/>
                  <w:vAlign w:val="center"/>
                </w:tcPr>
                <w:p w14:paraId="520AB9B7">
                  <w:pPr>
                    <w:jc w:val="center"/>
                    <w:rPr>
                      <w:szCs w:val="21"/>
                    </w:rPr>
                  </w:pPr>
                  <w:r>
                    <w:rPr>
                      <w:szCs w:val="21"/>
                    </w:rPr>
                    <w:t>pH</w:t>
                  </w:r>
                </w:p>
              </w:tc>
              <w:tc>
                <w:tcPr>
                  <w:tcW w:w="2070" w:type="dxa"/>
                  <w:vAlign w:val="center"/>
                </w:tcPr>
                <w:p w14:paraId="520AB9B8">
                  <w:pPr>
                    <w:jc w:val="center"/>
                    <w:rPr>
                      <w:rFonts w:hint="eastAsia" w:ascii="宋体" w:hAnsi="宋体" w:cs="宋体"/>
                      <w:szCs w:val="21"/>
                    </w:rPr>
                  </w:pPr>
                  <w:r>
                    <w:rPr>
                      <w:rFonts w:hint="eastAsia" w:ascii="宋体" w:hAnsi="宋体" w:cs="宋体"/>
                      <w:szCs w:val="21"/>
                    </w:rPr>
                    <w:t>氯化钙除磷-絮凝-气浮-固液分离-过滤</w:t>
                  </w:r>
                </w:p>
              </w:tc>
              <w:tc>
                <w:tcPr>
                  <w:tcW w:w="1133" w:type="dxa"/>
                  <w:vMerge w:val="continue"/>
                  <w:vAlign w:val="center"/>
                </w:tcPr>
                <w:p w14:paraId="520AB9B9">
                  <w:pPr>
                    <w:jc w:val="center"/>
                    <w:rPr>
                      <w:rFonts w:hint="eastAsia" w:ascii="宋体" w:hAnsi="宋体" w:cs="宋体"/>
                      <w:szCs w:val="21"/>
                    </w:rPr>
                  </w:pPr>
                </w:p>
              </w:tc>
            </w:tr>
            <w:tr w14:paraId="520AB9C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3" w:type="dxa"/>
                  <w:vMerge w:val="continue"/>
                  <w:vAlign w:val="center"/>
                </w:tcPr>
                <w:p w14:paraId="520AB9BB">
                  <w:pPr>
                    <w:jc w:val="center"/>
                    <w:rPr>
                      <w:szCs w:val="21"/>
                    </w:rPr>
                  </w:pPr>
                </w:p>
              </w:tc>
              <w:tc>
                <w:tcPr>
                  <w:tcW w:w="1614" w:type="dxa"/>
                  <w:gridSpan w:val="2"/>
                  <w:vAlign w:val="center"/>
                </w:tcPr>
                <w:p w14:paraId="520AB9BC">
                  <w:pPr>
                    <w:jc w:val="center"/>
                    <w:rPr>
                      <w:szCs w:val="21"/>
                    </w:rPr>
                  </w:pPr>
                  <w:r>
                    <w:rPr>
                      <w:rFonts w:hint="eastAsia"/>
                      <w:szCs w:val="21"/>
                    </w:rPr>
                    <w:t>生活污水</w:t>
                  </w:r>
                </w:p>
              </w:tc>
              <w:tc>
                <w:tcPr>
                  <w:tcW w:w="2976" w:type="dxa"/>
                  <w:vAlign w:val="center"/>
                </w:tcPr>
                <w:p w14:paraId="520AB9BD">
                  <w:pPr>
                    <w:jc w:val="center"/>
                    <w:rPr>
                      <w:szCs w:val="21"/>
                    </w:rPr>
                  </w:pPr>
                  <w:r>
                    <w:rPr>
                      <w:rFonts w:hint="eastAsia"/>
                      <w:szCs w:val="21"/>
                    </w:rPr>
                    <w:t>pH、COD、</w:t>
                  </w:r>
                  <w:r>
                    <w:rPr>
                      <w:szCs w:val="21"/>
                    </w:rPr>
                    <w:t>BOD</w:t>
                  </w:r>
                  <w:r>
                    <w:rPr>
                      <w:szCs w:val="21"/>
                      <w:vertAlign w:val="subscript"/>
                    </w:rPr>
                    <w:t>5</w:t>
                  </w:r>
                  <w:r>
                    <w:rPr>
                      <w:rFonts w:hint="eastAsia"/>
                      <w:szCs w:val="21"/>
                    </w:rPr>
                    <w:t>、SS、NH</w:t>
                  </w:r>
                  <w:r>
                    <w:rPr>
                      <w:rFonts w:hint="eastAsia"/>
                      <w:szCs w:val="21"/>
                      <w:vertAlign w:val="subscript"/>
                    </w:rPr>
                    <w:t>3</w:t>
                  </w:r>
                  <w:r>
                    <w:rPr>
                      <w:rFonts w:hint="eastAsia"/>
                      <w:szCs w:val="21"/>
                    </w:rPr>
                    <w:t>-N、TP、TN</w:t>
                  </w:r>
                </w:p>
              </w:tc>
              <w:tc>
                <w:tcPr>
                  <w:tcW w:w="2070" w:type="dxa"/>
                  <w:vAlign w:val="center"/>
                </w:tcPr>
                <w:p w14:paraId="520AB9BE">
                  <w:pPr>
                    <w:jc w:val="center"/>
                    <w:rPr>
                      <w:rFonts w:hint="eastAsia" w:ascii="宋体" w:hAnsi="宋体" w:cs="宋体"/>
                      <w:szCs w:val="21"/>
                    </w:rPr>
                  </w:pPr>
                  <w:r>
                    <w:rPr>
                      <w:rFonts w:hint="eastAsia" w:ascii="宋体" w:hAnsi="宋体" w:cs="宋体"/>
                      <w:szCs w:val="21"/>
                    </w:rPr>
                    <w:t>化粪池</w:t>
                  </w:r>
                </w:p>
              </w:tc>
              <w:tc>
                <w:tcPr>
                  <w:tcW w:w="1133" w:type="dxa"/>
                  <w:vMerge w:val="continue"/>
                  <w:vAlign w:val="center"/>
                </w:tcPr>
                <w:p w14:paraId="520AB9BF">
                  <w:pPr>
                    <w:jc w:val="center"/>
                    <w:rPr>
                      <w:rFonts w:hint="eastAsia" w:ascii="宋体" w:hAnsi="宋体" w:cs="宋体"/>
                      <w:szCs w:val="21"/>
                    </w:rPr>
                  </w:pPr>
                </w:p>
              </w:tc>
            </w:tr>
            <w:tr w14:paraId="520AB9C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3" w:type="dxa"/>
                  <w:vMerge w:val="continue"/>
                  <w:vAlign w:val="center"/>
                </w:tcPr>
                <w:p w14:paraId="520AB9C1">
                  <w:pPr>
                    <w:jc w:val="center"/>
                    <w:rPr>
                      <w:szCs w:val="21"/>
                    </w:rPr>
                  </w:pPr>
                </w:p>
              </w:tc>
              <w:tc>
                <w:tcPr>
                  <w:tcW w:w="1614" w:type="dxa"/>
                  <w:gridSpan w:val="2"/>
                  <w:vAlign w:val="center"/>
                </w:tcPr>
                <w:p w14:paraId="520AB9C2">
                  <w:pPr>
                    <w:jc w:val="center"/>
                    <w:rPr>
                      <w:szCs w:val="21"/>
                    </w:rPr>
                  </w:pPr>
                  <w:r>
                    <w:rPr>
                      <w:rFonts w:hint="eastAsia"/>
                      <w:szCs w:val="21"/>
                    </w:rPr>
                    <w:t>超声波清洗废水、纯水制备废水、循环冷却水</w:t>
                  </w:r>
                </w:p>
              </w:tc>
              <w:tc>
                <w:tcPr>
                  <w:tcW w:w="2976" w:type="dxa"/>
                  <w:vAlign w:val="center"/>
                </w:tcPr>
                <w:p w14:paraId="520AB9C3">
                  <w:pPr>
                    <w:jc w:val="center"/>
                    <w:rPr>
                      <w:szCs w:val="21"/>
                    </w:rPr>
                  </w:pPr>
                  <w:r>
                    <w:rPr>
                      <w:rFonts w:hint="eastAsia"/>
                      <w:szCs w:val="21"/>
                    </w:rPr>
                    <w:t>pH、COD、</w:t>
                  </w:r>
                  <w:r>
                    <w:rPr>
                      <w:szCs w:val="21"/>
                    </w:rPr>
                    <w:t>BOD</w:t>
                  </w:r>
                  <w:r>
                    <w:rPr>
                      <w:szCs w:val="21"/>
                      <w:vertAlign w:val="subscript"/>
                    </w:rPr>
                    <w:t>5</w:t>
                  </w:r>
                  <w:r>
                    <w:rPr>
                      <w:rFonts w:hint="eastAsia"/>
                      <w:szCs w:val="21"/>
                    </w:rPr>
                    <w:t>、NH</w:t>
                  </w:r>
                  <w:r>
                    <w:rPr>
                      <w:rFonts w:hint="eastAsia"/>
                      <w:szCs w:val="21"/>
                      <w:vertAlign w:val="subscript"/>
                    </w:rPr>
                    <w:t>3</w:t>
                  </w:r>
                  <w:r>
                    <w:rPr>
                      <w:rFonts w:hint="eastAsia"/>
                      <w:szCs w:val="21"/>
                    </w:rPr>
                    <w:t>-N、SS、TP、TN、阴离子表面活性剂、石油类、总铜、总锌、总氰化物、总铁、总铝</w:t>
                  </w:r>
                </w:p>
              </w:tc>
              <w:tc>
                <w:tcPr>
                  <w:tcW w:w="2070" w:type="dxa"/>
                  <w:vAlign w:val="center"/>
                </w:tcPr>
                <w:p w14:paraId="520AB9C4">
                  <w:pPr>
                    <w:jc w:val="center"/>
                    <w:rPr>
                      <w:rFonts w:hint="eastAsia" w:ascii="宋体" w:hAnsi="宋体" w:cs="宋体"/>
                      <w:szCs w:val="21"/>
                    </w:rPr>
                  </w:pPr>
                  <w:r>
                    <w:rPr>
                      <w:rFonts w:hint="eastAsia" w:ascii="宋体" w:hAnsi="宋体" w:cs="宋体"/>
                      <w:szCs w:val="21"/>
                    </w:rPr>
                    <w:t>/</w:t>
                  </w:r>
                </w:p>
              </w:tc>
              <w:tc>
                <w:tcPr>
                  <w:tcW w:w="1133" w:type="dxa"/>
                  <w:vMerge w:val="continue"/>
                  <w:vAlign w:val="center"/>
                </w:tcPr>
                <w:p w14:paraId="520AB9C5">
                  <w:pPr>
                    <w:jc w:val="center"/>
                    <w:rPr>
                      <w:rFonts w:hint="eastAsia" w:ascii="宋体" w:hAnsi="宋体" w:cs="宋体"/>
                      <w:szCs w:val="21"/>
                    </w:rPr>
                  </w:pPr>
                </w:p>
              </w:tc>
            </w:tr>
            <w:tr w14:paraId="520AB9C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3" w:type="dxa"/>
                  <w:vMerge w:val="restart"/>
                  <w:vAlign w:val="center"/>
                </w:tcPr>
                <w:p w14:paraId="520AB9C7">
                  <w:pPr>
                    <w:jc w:val="center"/>
                    <w:rPr>
                      <w:szCs w:val="21"/>
                    </w:rPr>
                  </w:pPr>
                  <w:r>
                    <w:rPr>
                      <w:rFonts w:hint="eastAsia"/>
                      <w:szCs w:val="21"/>
                    </w:rPr>
                    <w:t>在建工程</w:t>
                  </w:r>
                </w:p>
              </w:tc>
              <w:tc>
                <w:tcPr>
                  <w:tcW w:w="1614" w:type="dxa"/>
                  <w:gridSpan w:val="2"/>
                  <w:vAlign w:val="center"/>
                </w:tcPr>
                <w:p w14:paraId="520AB9C8">
                  <w:pPr>
                    <w:jc w:val="center"/>
                    <w:rPr>
                      <w:szCs w:val="21"/>
                    </w:rPr>
                  </w:pPr>
                  <w:r>
                    <w:rPr>
                      <w:rFonts w:hint="eastAsia"/>
                      <w:szCs w:val="21"/>
                    </w:rPr>
                    <w:t>碱炉水喷淋塔废水</w:t>
                  </w:r>
                </w:p>
              </w:tc>
              <w:tc>
                <w:tcPr>
                  <w:tcW w:w="2976" w:type="dxa"/>
                  <w:vAlign w:val="center"/>
                </w:tcPr>
                <w:p w14:paraId="520AB9C9">
                  <w:pPr>
                    <w:jc w:val="center"/>
                    <w:rPr>
                      <w:szCs w:val="21"/>
                    </w:rPr>
                  </w:pPr>
                  <w:r>
                    <w:rPr>
                      <w:szCs w:val="21"/>
                    </w:rPr>
                    <w:t>COD、SS</w:t>
                  </w:r>
                </w:p>
              </w:tc>
              <w:tc>
                <w:tcPr>
                  <w:tcW w:w="2070" w:type="dxa"/>
                  <w:vAlign w:val="center"/>
                </w:tcPr>
                <w:p w14:paraId="520AB9CA">
                  <w:pPr>
                    <w:jc w:val="center"/>
                    <w:rPr>
                      <w:rFonts w:hint="eastAsia" w:ascii="宋体" w:hAnsi="宋体" w:cs="宋体"/>
                      <w:szCs w:val="21"/>
                    </w:rPr>
                  </w:pPr>
                  <w:r>
                    <w:rPr>
                      <w:rFonts w:hint="eastAsia" w:ascii="宋体" w:hAnsi="宋体" w:cs="宋体"/>
                      <w:szCs w:val="21"/>
                    </w:rPr>
                    <w:t>/</w:t>
                  </w:r>
                </w:p>
              </w:tc>
              <w:tc>
                <w:tcPr>
                  <w:tcW w:w="1133" w:type="dxa"/>
                  <w:vMerge w:val="continue"/>
                  <w:vAlign w:val="center"/>
                </w:tcPr>
                <w:p w14:paraId="520AB9CB">
                  <w:pPr>
                    <w:jc w:val="center"/>
                    <w:rPr>
                      <w:rFonts w:hint="eastAsia" w:ascii="宋体" w:hAnsi="宋体" w:cs="宋体"/>
                      <w:szCs w:val="21"/>
                    </w:rPr>
                  </w:pPr>
                </w:p>
              </w:tc>
            </w:tr>
            <w:tr w14:paraId="520AB9D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3" w:type="dxa"/>
                  <w:vMerge w:val="continue"/>
                  <w:vAlign w:val="center"/>
                </w:tcPr>
                <w:p w14:paraId="520AB9CD">
                  <w:pPr>
                    <w:jc w:val="center"/>
                    <w:rPr>
                      <w:szCs w:val="21"/>
                    </w:rPr>
                  </w:pPr>
                </w:p>
              </w:tc>
              <w:tc>
                <w:tcPr>
                  <w:tcW w:w="1614" w:type="dxa"/>
                  <w:gridSpan w:val="2"/>
                  <w:vAlign w:val="center"/>
                </w:tcPr>
                <w:p w14:paraId="520AB9CE">
                  <w:pPr>
                    <w:jc w:val="center"/>
                    <w:rPr>
                      <w:szCs w:val="21"/>
                    </w:rPr>
                  </w:pPr>
                  <w:r>
                    <w:rPr>
                      <w:rFonts w:hint="eastAsia"/>
                      <w:szCs w:val="21"/>
                    </w:rPr>
                    <w:t>盐浴炉碱喷淋塔</w:t>
                  </w:r>
                  <w:r>
                    <w:rPr>
                      <w:szCs w:val="21"/>
                    </w:rPr>
                    <w:t>废水</w:t>
                  </w:r>
                </w:p>
              </w:tc>
              <w:tc>
                <w:tcPr>
                  <w:tcW w:w="2976" w:type="dxa"/>
                  <w:vAlign w:val="center"/>
                </w:tcPr>
                <w:p w14:paraId="520AB9CF">
                  <w:pPr>
                    <w:jc w:val="center"/>
                    <w:rPr>
                      <w:szCs w:val="21"/>
                    </w:rPr>
                  </w:pPr>
                  <w:r>
                    <w:rPr>
                      <w:szCs w:val="21"/>
                    </w:rPr>
                    <w:t>COD、SS</w:t>
                  </w:r>
                </w:p>
              </w:tc>
              <w:tc>
                <w:tcPr>
                  <w:tcW w:w="2070" w:type="dxa"/>
                  <w:vAlign w:val="center"/>
                </w:tcPr>
                <w:p w14:paraId="520AB9D0">
                  <w:pPr>
                    <w:jc w:val="center"/>
                    <w:rPr>
                      <w:rFonts w:hint="eastAsia" w:ascii="宋体" w:hAnsi="宋体" w:cs="宋体"/>
                      <w:szCs w:val="21"/>
                    </w:rPr>
                  </w:pPr>
                  <w:r>
                    <w:rPr>
                      <w:rFonts w:hint="eastAsia" w:ascii="宋体" w:hAnsi="宋体" w:cs="宋体"/>
                      <w:szCs w:val="21"/>
                    </w:rPr>
                    <w:t>/</w:t>
                  </w:r>
                </w:p>
              </w:tc>
              <w:tc>
                <w:tcPr>
                  <w:tcW w:w="1133" w:type="dxa"/>
                  <w:vMerge w:val="continue"/>
                  <w:vAlign w:val="center"/>
                </w:tcPr>
                <w:p w14:paraId="520AB9D1">
                  <w:pPr>
                    <w:jc w:val="center"/>
                    <w:rPr>
                      <w:rFonts w:hint="eastAsia" w:ascii="宋体" w:hAnsi="宋体" w:cs="宋体"/>
                      <w:szCs w:val="21"/>
                    </w:rPr>
                  </w:pPr>
                </w:p>
              </w:tc>
            </w:tr>
            <w:tr w14:paraId="520AB9D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3" w:type="dxa"/>
                  <w:vMerge w:val="continue"/>
                  <w:vAlign w:val="center"/>
                </w:tcPr>
                <w:p w14:paraId="520AB9D3">
                  <w:pPr>
                    <w:jc w:val="center"/>
                    <w:rPr>
                      <w:szCs w:val="21"/>
                    </w:rPr>
                  </w:pPr>
                </w:p>
              </w:tc>
              <w:tc>
                <w:tcPr>
                  <w:tcW w:w="1614" w:type="dxa"/>
                  <w:gridSpan w:val="2"/>
                  <w:vAlign w:val="center"/>
                </w:tcPr>
                <w:p w14:paraId="520AB9D4">
                  <w:pPr>
                    <w:jc w:val="center"/>
                    <w:rPr>
                      <w:szCs w:val="21"/>
                    </w:rPr>
                  </w:pPr>
                  <w:r>
                    <w:rPr>
                      <w:rFonts w:hint="eastAsia"/>
                      <w:szCs w:val="21"/>
                    </w:rPr>
                    <w:t>氨吸收塔废水</w:t>
                  </w:r>
                </w:p>
              </w:tc>
              <w:tc>
                <w:tcPr>
                  <w:tcW w:w="2976" w:type="dxa"/>
                  <w:vAlign w:val="center"/>
                </w:tcPr>
                <w:p w14:paraId="520AB9D5">
                  <w:pPr>
                    <w:jc w:val="center"/>
                    <w:rPr>
                      <w:szCs w:val="21"/>
                    </w:rPr>
                  </w:pPr>
                  <w:r>
                    <w:rPr>
                      <w:szCs w:val="21"/>
                    </w:rPr>
                    <w:t>COD、SS、NH</w:t>
                  </w:r>
                  <w:r>
                    <w:rPr>
                      <w:szCs w:val="21"/>
                      <w:vertAlign w:val="subscript"/>
                    </w:rPr>
                    <w:t>3</w:t>
                  </w:r>
                  <w:r>
                    <w:rPr>
                      <w:szCs w:val="21"/>
                    </w:rPr>
                    <w:t>-N、TN</w:t>
                  </w:r>
                </w:p>
              </w:tc>
              <w:tc>
                <w:tcPr>
                  <w:tcW w:w="2070" w:type="dxa"/>
                  <w:vAlign w:val="center"/>
                </w:tcPr>
                <w:p w14:paraId="520AB9D6">
                  <w:pPr>
                    <w:jc w:val="center"/>
                    <w:rPr>
                      <w:rFonts w:hint="eastAsia" w:ascii="宋体" w:hAnsi="宋体" w:cs="宋体"/>
                      <w:szCs w:val="21"/>
                    </w:rPr>
                  </w:pPr>
                  <w:r>
                    <w:rPr>
                      <w:rFonts w:hint="eastAsia" w:ascii="宋体" w:hAnsi="宋体" w:cs="宋体"/>
                      <w:szCs w:val="21"/>
                    </w:rPr>
                    <w:t>/</w:t>
                  </w:r>
                </w:p>
              </w:tc>
              <w:tc>
                <w:tcPr>
                  <w:tcW w:w="1133" w:type="dxa"/>
                  <w:vMerge w:val="continue"/>
                  <w:vAlign w:val="center"/>
                </w:tcPr>
                <w:p w14:paraId="520AB9D7">
                  <w:pPr>
                    <w:jc w:val="center"/>
                    <w:rPr>
                      <w:rFonts w:hint="eastAsia" w:ascii="宋体" w:hAnsi="宋体" w:cs="宋体"/>
                      <w:szCs w:val="21"/>
                    </w:rPr>
                  </w:pPr>
                </w:p>
              </w:tc>
            </w:tr>
          </w:tbl>
          <w:p w14:paraId="520AB9D9">
            <w:pPr>
              <w:adjustRightInd w:val="0"/>
              <w:snapToGrid w:val="0"/>
              <w:spacing w:line="460" w:lineRule="exact"/>
              <w:ind w:firstLine="482" w:firstLineChars="200"/>
              <w:rPr>
                <w:bCs/>
                <w:sz w:val="24"/>
              </w:rPr>
            </w:pPr>
            <w:r>
              <w:rPr>
                <w:rFonts w:hint="eastAsia"/>
                <w:b/>
                <w:sz w:val="24"/>
              </w:rPr>
              <w:t>②废水排放情况</w:t>
            </w:r>
          </w:p>
          <w:p w14:paraId="520AB9DA">
            <w:pPr>
              <w:adjustRightInd w:val="0"/>
              <w:snapToGrid w:val="0"/>
              <w:spacing w:line="460" w:lineRule="exact"/>
              <w:ind w:firstLine="480" w:firstLineChars="200"/>
              <w:rPr>
                <w:b/>
                <w:bCs/>
                <w:sz w:val="24"/>
              </w:rPr>
            </w:pPr>
            <w:r>
              <w:rPr>
                <w:rFonts w:hint="eastAsia"/>
                <w:bCs/>
                <w:sz w:val="24"/>
              </w:rPr>
              <w:t>I）</w:t>
            </w:r>
            <w:r>
              <w:rPr>
                <w:rFonts w:hint="eastAsia"/>
                <w:b/>
                <w:bCs/>
                <w:sz w:val="24"/>
              </w:rPr>
              <w:t>已建工程</w:t>
            </w:r>
          </w:p>
          <w:p w14:paraId="520AB9DB">
            <w:pPr>
              <w:adjustRightInd w:val="0"/>
              <w:snapToGrid w:val="0"/>
              <w:spacing w:line="460" w:lineRule="exact"/>
              <w:ind w:firstLine="480" w:firstLineChars="200"/>
              <w:rPr>
                <w:sz w:val="24"/>
              </w:rPr>
            </w:pPr>
            <w:r>
              <w:rPr>
                <w:rFonts w:hint="eastAsia"/>
                <w:sz w:val="24"/>
              </w:rPr>
              <w:t>河南鑫成环测检测技术有限公司2025年4月25日和2025年4月29日对现有工程电镀车间排放口及厂区总排口的废水水质进行了检测，并结合</w:t>
            </w:r>
            <w:r>
              <w:rPr>
                <w:rFonts w:hint="eastAsia"/>
                <w:bCs/>
                <w:sz w:val="24"/>
              </w:rPr>
              <w:t>2025</w:t>
            </w:r>
            <w:r>
              <w:rPr>
                <w:bCs/>
                <w:sz w:val="24"/>
              </w:rPr>
              <w:t>年</w:t>
            </w:r>
            <w:r>
              <w:rPr>
                <w:rFonts w:hint="eastAsia"/>
                <w:bCs/>
                <w:sz w:val="24"/>
              </w:rPr>
              <w:t>1</w:t>
            </w:r>
            <w:r>
              <w:rPr>
                <w:bCs/>
                <w:sz w:val="24"/>
              </w:rPr>
              <w:t>月</w:t>
            </w:r>
            <w:r>
              <w:rPr>
                <w:rFonts w:hint="eastAsia"/>
                <w:bCs/>
                <w:sz w:val="24"/>
              </w:rPr>
              <w:t>1</w:t>
            </w:r>
            <w:r>
              <w:rPr>
                <w:bCs/>
                <w:sz w:val="24"/>
              </w:rPr>
              <w:t>日</w:t>
            </w:r>
            <w:r>
              <w:rPr>
                <w:rFonts w:hint="eastAsia"/>
                <w:bCs/>
                <w:sz w:val="24"/>
              </w:rPr>
              <w:t>~6</w:t>
            </w:r>
            <w:r>
              <w:rPr>
                <w:bCs/>
                <w:sz w:val="24"/>
              </w:rPr>
              <w:t>月</w:t>
            </w:r>
            <w:r>
              <w:rPr>
                <w:rFonts w:hint="eastAsia"/>
                <w:bCs/>
                <w:sz w:val="24"/>
              </w:rPr>
              <w:t>30</w:t>
            </w:r>
            <w:r>
              <w:rPr>
                <w:bCs/>
                <w:sz w:val="24"/>
              </w:rPr>
              <w:t>日</w:t>
            </w:r>
            <w:r>
              <w:rPr>
                <w:rFonts w:hint="eastAsia"/>
                <w:sz w:val="24"/>
              </w:rPr>
              <w:t>在线监测数据，结果如下：</w:t>
            </w:r>
          </w:p>
          <w:p w14:paraId="520AB9DC">
            <w:pPr>
              <w:adjustRightInd w:val="0"/>
              <w:snapToGrid w:val="0"/>
              <w:spacing w:line="460" w:lineRule="exact"/>
              <w:ind w:firstLine="480" w:firstLineChars="200"/>
              <w:rPr>
                <w:sz w:val="32"/>
              </w:rPr>
            </w:pPr>
            <w:r>
              <w:rPr>
                <w:rFonts w:eastAsia="黑体"/>
                <w:sz w:val="24"/>
              </w:rPr>
              <w:t>表</w:t>
            </w:r>
            <w:r>
              <w:rPr>
                <w:rFonts w:hint="eastAsia" w:eastAsia="黑体"/>
                <w:sz w:val="24"/>
              </w:rPr>
              <w:t>28</w:t>
            </w:r>
            <w:r>
              <w:rPr>
                <w:rFonts w:eastAsia="黑体"/>
                <w:sz w:val="24"/>
              </w:rPr>
              <w:t xml:space="preserve">   </w:t>
            </w:r>
            <w:r>
              <w:rPr>
                <w:rFonts w:hint="eastAsia" w:eastAsia="黑体"/>
                <w:sz w:val="24"/>
              </w:rPr>
              <w:t xml:space="preserve">  </w:t>
            </w:r>
            <w:r>
              <w:rPr>
                <w:rFonts w:eastAsia="黑体"/>
                <w:sz w:val="24"/>
              </w:rPr>
              <w:t xml:space="preserve">      现有工程</w:t>
            </w:r>
            <w:r>
              <w:rPr>
                <w:rFonts w:hint="eastAsia" w:eastAsia="黑体"/>
                <w:sz w:val="24"/>
              </w:rPr>
              <w:t>废水</w:t>
            </w:r>
            <w:r>
              <w:rPr>
                <w:rFonts w:eastAsia="黑体"/>
                <w:sz w:val="24"/>
              </w:rPr>
              <w:t>水质</w:t>
            </w:r>
            <w:r>
              <w:rPr>
                <w:rFonts w:hint="eastAsia" w:eastAsia="黑体"/>
                <w:sz w:val="24"/>
              </w:rPr>
              <w:t>检测</w:t>
            </w:r>
            <w:r>
              <w:rPr>
                <w:rFonts w:eastAsia="黑体"/>
                <w:sz w:val="24"/>
              </w:rPr>
              <w:t>数据表</w:t>
            </w:r>
            <w:r>
              <w:rPr>
                <w:rFonts w:hint="eastAsia" w:eastAsia="黑体"/>
                <w:sz w:val="24"/>
              </w:rPr>
              <w:t>1</w:t>
            </w:r>
            <w:r>
              <w:rPr>
                <w:rFonts w:eastAsia="黑体"/>
                <w:sz w:val="24"/>
              </w:rPr>
              <w:t xml:space="preserve">      </w:t>
            </w:r>
            <w:r>
              <w:rPr>
                <w:rFonts w:hint="eastAsia" w:eastAsia="黑体"/>
                <w:sz w:val="24"/>
              </w:rPr>
              <w:t xml:space="preserve">  </w:t>
            </w:r>
            <w:r>
              <w:rPr>
                <w:rFonts w:eastAsia="黑体"/>
                <w:sz w:val="24"/>
              </w:rPr>
              <w:t xml:space="preserve"> 单位：mg/L</w:t>
            </w:r>
          </w:p>
          <w:tbl>
            <w:tblPr>
              <w:tblStyle w:val="18"/>
              <w:tblpPr w:leftFromText="180" w:rightFromText="180" w:vertAnchor="text" w:tblpY="1"/>
              <w:tblOverlap w:val="never"/>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284"/>
              <w:gridCol w:w="997"/>
              <w:gridCol w:w="1139"/>
              <w:gridCol w:w="997"/>
              <w:gridCol w:w="1281"/>
              <w:gridCol w:w="1141"/>
              <w:gridCol w:w="1230"/>
            </w:tblGrid>
            <w:tr w14:paraId="520AB9E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95" w:type="pct"/>
                  <w:vAlign w:val="center"/>
                </w:tcPr>
                <w:p w14:paraId="520AB9DD">
                  <w:pPr>
                    <w:jc w:val="center"/>
                    <w:rPr>
                      <w:b/>
                      <w:kern w:val="0"/>
                      <w:szCs w:val="21"/>
                    </w:rPr>
                  </w:pPr>
                  <w:r>
                    <w:rPr>
                      <w:b/>
                      <w:kern w:val="0"/>
                      <w:szCs w:val="21"/>
                    </w:rPr>
                    <w:t>监测时</w:t>
                  </w:r>
                  <w:r>
                    <w:rPr>
                      <w:rFonts w:hint="eastAsia"/>
                      <w:b/>
                      <w:kern w:val="0"/>
                      <w:szCs w:val="21"/>
                    </w:rPr>
                    <w:t>间</w:t>
                  </w:r>
                </w:p>
              </w:tc>
              <w:tc>
                <w:tcPr>
                  <w:tcW w:w="618" w:type="pct"/>
                  <w:vAlign w:val="center"/>
                </w:tcPr>
                <w:p w14:paraId="520AB9DE">
                  <w:pPr>
                    <w:jc w:val="center"/>
                    <w:rPr>
                      <w:b/>
                      <w:kern w:val="0"/>
                      <w:szCs w:val="21"/>
                    </w:rPr>
                  </w:pPr>
                  <w:r>
                    <w:rPr>
                      <w:b/>
                      <w:kern w:val="0"/>
                      <w:szCs w:val="21"/>
                    </w:rPr>
                    <w:t>检测点</w:t>
                  </w:r>
                  <w:r>
                    <w:rPr>
                      <w:rFonts w:hint="eastAsia"/>
                      <w:b/>
                      <w:kern w:val="0"/>
                      <w:szCs w:val="21"/>
                    </w:rPr>
                    <w:t>位</w:t>
                  </w:r>
                </w:p>
              </w:tc>
              <w:tc>
                <w:tcPr>
                  <w:tcW w:w="706" w:type="pct"/>
                  <w:vAlign w:val="center"/>
                </w:tcPr>
                <w:p w14:paraId="520AB9DF">
                  <w:pPr>
                    <w:jc w:val="center"/>
                    <w:rPr>
                      <w:b/>
                      <w:kern w:val="0"/>
                      <w:szCs w:val="21"/>
                    </w:rPr>
                  </w:pPr>
                  <w:r>
                    <w:rPr>
                      <w:b/>
                      <w:kern w:val="0"/>
                      <w:szCs w:val="21"/>
                    </w:rPr>
                    <w:t>p</w:t>
                  </w:r>
                  <w:r>
                    <w:rPr>
                      <w:rFonts w:hint="eastAsia"/>
                      <w:b/>
                      <w:kern w:val="0"/>
                      <w:szCs w:val="21"/>
                    </w:rPr>
                    <w:t>H</w:t>
                  </w:r>
                </w:p>
              </w:tc>
              <w:tc>
                <w:tcPr>
                  <w:tcW w:w="618" w:type="pct"/>
                  <w:vAlign w:val="center"/>
                </w:tcPr>
                <w:p w14:paraId="520AB9E0">
                  <w:pPr>
                    <w:jc w:val="center"/>
                    <w:rPr>
                      <w:b/>
                      <w:kern w:val="0"/>
                      <w:szCs w:val="21"/>
                    </w:rPr>
                  </w:pPr>
                  <w:r>
                    <w:rPr>
                      <w:b/>
                      <w:kern w:val="0"/>
                      <w:szCs w:val="21"/>
                    </w:rPr>
                    <w:t>总镍</w:t>
                  </w:r>
                </w:p>
              </w:tc>
              <w:tc>
                <w:tcPr>
                  <w:tcW w:w="794" w:type="pct"/>
                  <w:vAlign w:val="center"/>
                </w:tcPr>
                <w:p w14:paraId="520AB9E1">
                  <w:pPr>
                    <w:jc w:val="center"/>
                    <w:rPr>
                      <w:b/>
                      <w:kern w:val="0"/>
                      <w:szCs w:val="21"/>
                    </w:rPr>
                  </w:pPr>
                  <w:r>
                    <w:rPr>
                      <w:b/>
                      <w:kern w:val="0"/>
                      <w:szCs w:val="21"/>
                    </w:rPr>
                    <w:t>总镉</w:t>
                  </w:r>
                </w:p>
              </w:tc>
              <w:tc>
                <w:tcPr>
                  <w:tcW w:w="707" w:type="pct"/>
                  <w:vAlign w:val="center"/>
                </w:tcPr>
                <w:p w14:paraId="520AB9E2">
                  <w:pPr>
                    <w:jc w:val="center"/>
                    <w:rPr>
                      <w:b/>
                      <w:kern w:val="0"/>
                      <w:szCs w:val="21"/>
                    </w:rPr>
                  </w:pPr>
                  <w:r>
                    <w:rPr>
                      <w:b/>
                      <w:kern w:val="0"/>
                      <w:szCs w:val="21"/>
                    </w:rPr>
                    <w:t>总铬</w:t>
                  </w:r>
                </w:p>
              </w:tc>
              <w:tc>
                <w:tcPr>
                  <w:tcW w:w="762" w:type="pct"/>
                  <w:vAlign w:val="center"/>
                </w:tcPr>
                <w:p w14:paraId="520AB9E3">
                  <w:pPr>
                    <w:jc w:val="center"/>
                    <w:rPr>
                      <w:b/>
                      <w:kern w:val="0"/>
                      <w:szCs w:val="21"/>
                    </w:rPr>
                  </w:pPr>
                  <w:r>
                    <w:rPr>
                      <w:b/>
                      <w:kern w:val="0"/>
                      <w:szCs w:val="21"/>
                    </w:rPr>
                    <w:t>六价铬</w:t>
                  </w:r>
                </w:p>
              </w:tc>
            </w:tr>
            <w:tr w14:paraId="520AB9E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95" w:type="pct"/>
                  <w:vAlign w:val="center"/>
                </w:tcPr>
                <w:p w14:paraId="520AB9E5">
                  <w:pPr>
                    <w:contextualSpacing/>
                    <w:jc w:val="center"/>
                    <w:textAlignment w:val="baseline"/>
                    <w:rPr>
                      <w:bCs/>
                      <w:kern w:val="0"/>
                      <w:szCs w:val="21"/>
                      <w:lang w:val="zh-CN"/>
                    </w:rPr>
                  </w:pPr>
                  <w:r>
                    <w:rPr>
                      <w:rFonts w:hint="eastAsia"/>
                      <w:bCs/>
                      <w:kern w:val="0"/>
                      <w:szCs w:val="21"/>
                      <w:lang w:val="zh-CN"/>
                    </w:rPr>
                    <w:t>2025.4.25</w:t>
                  </w:r>
                </w:p>
              </w:tc>
              <w:tc>
                <w:tcPr>
                  <w:tcW w:w="618" w:type="pct"/>
                  <w:vAlign w:val="center"/>
                </w:tcPr>
                <w:p w14:paraId="520AB9E6">
                  <w:pPr>
                    <w:contextualSpacing/>
                    <w:jc w:val="center"/>
                    <w:textAlignment w:val="baseline"/>
                    <w:rPr>
                      <w:bCs/>
                      <w:kern w:val="0"/>
                      <w:szCs w:val="21"/>
                      <w:lang w:val="zh-CN"/>
                    </w:rPr>
                  </w:pPr>
                  <w:r>
                    <w:rPr>
                      <w:rFonts w:hint="eastAsia"/>
                      <w:bCs/>
                      <w:kern w:val="0"/>
                      <w:szCs w:val="21"/>
                      <w:lang w:val="zh-CN"/>
                    </w:rPr>
                    <w:t>电镀车间</w:t>
                  </w:r>
                  <w:r>
                    <w:rPr>
                      <w:bCs/>
                      <w:kern w:val="0"/>
                      <w:szCs w:val="21"/>
                      <w:lang w:val="zh-CN"/>
                    </w:rPr>
                    <w:t>排放口</w:t>
                  </w:r>
                </w:p>
              </w:tc>
              <w:tc>
                <w:tcPr>
                  <w:tcW w:w="706" w:type="pct"/>
                  <w:vAlign w:val="center"/>
                </w:tcPr>
                <w:p w14:paraId="520AB9E7">
                  <w:pPr>
                    <w:contextualSpacing/>
                    <w:jc w:val="center"/>
                    <w:textAlignment w:val="baseline"/>
                    <w:rPr>
                      <w:bCs/>
                      <w:kern w:val="0"/>
                      <w:szCs w:val="21"/>
                      <w:lang w:val="zh-CN"/>
                    </w:rPr>
                  </w:pPr>
                  <w:r>
                    <w:rPr>
                      <w:rFonts w:hint="eastAsia"/>
                      <w:bCs/>
                      <w:kern w:val="0"/>
                      <w:szCs w:val="21"/>
                      <w:lang w:val="zh-CN"/>
                    </w:rPr>
                    <w:t>6.3~6.4</w:t>
                  </w:r>
                </w:p>
              </w:tc>
              <w:tc>
                <w:tcPr>
                  <w:tcW w:w="618" w:type="pct"/>
                  <w:vAlign w:val="center"/>
                </w:tcPr>
                <w:p w14:paraId="520AB9E8">
                  <w:pPr>
                    <w:contextualSpacing/>
                    <w:jc w:val="center"/>
                    <w:textAlignment w:val="baseline"/>
                    <w:rPr>
                      <w:bCs/>
                      <w:kern w:val="0"/>
                      <w:szCs w:val="21"/>
                      <w:lang w:val="zh-CN"/>
                    </w:rPr>
                  </w:pPr>
                  <w:r>
                    <w:rPr>
                      <w:rFonts w:hint="eastAsia"/>
                      <w:bCs/>
                      <w:kern w:val="0"/>
                      <w:szCs w:val="21"/>
                      <w:lang w:val="zh-CN"/>
                    </w:rPr>
                    <w:t>0.2~0.21</w:t>
                  </w:r>
                </w:p>
              </w:tc>
              <w:tc>
                <w:tcPr>
                  <w:tcW w:w="794" w:type="pct"/>
                  <w:vAlign w:val="center"/>
                </w:tcPr>
                <w:p w14:paraId="520AB9E9">
                  <w:pPr>
                    <w:contextualSpacing/>
                    <w:jc w:val="center"/>
                    <w:textAlignment w:val="baseline"/>
                    <w:rPr>
                      <w:bCs/>
                      <w:kern w:val="0"/>
                      <w:szCs w:val="21"/>
                      <w:lang w:val="zh-CN"/>
                    </w:rPr>
                  </w:pPr>
                  <w:r>
                    <w:rPr>
                      <w:bCs/>
                      <w:kern w:val="0"/>
                      <w:szCs w:val="21"/>
                      <w:lang w:val="zh-CN"/>
                    </w:rPr>
                    <w:t>0.0</w:t>
                  </w:r>
                  <w:r>
                    <w:rPr>
                      <w:rFonts w:hint="eastAsia"/>
                      <w:bCs/>
                      <w:kern w:val="0"/>
                      <w:szCs w:val="21"/>
                      <w:lang w:val="zh-CN"/>
                    </w:rPr>
                    <w:t>2</w:t>
                  </w:r>
                  <w:r>
                    <w:rPr>
                      <w:bCs/>
                      <w:kern w:val="0"/>
                      <w:szCs w:val="21"/>
                      <w:lang w:val="zh-CN"/>
                    </w:rPr>
                    <w:t>L</w:t>
                  </w:r>
                </w:p>
              </w:tc>
              <w:tc>
                <w:tcPr>
                  <w:tcW w:w="707" w:type="pct"/>
                  <w:vAlign w:val="center"/>
                </w:tcPr>
                <w:p w14:paraId="520AB9EA">
                  <w:pPr>
                    <w:contextualSpacing/>
                    <w:jc w:val="center"/>
                    <w:textAlignment w:val="baseline"/>
                    <w:rPr>
                      <w:bCs/>
                      <w:kern w:val="0"/>
                      <w:szCs w:val="21"/>
                      <w:lang w:val="zh-CN"/>
                    </w:rPr>
                  </w:pPr>
                  <w:r>
                    <w:rPr>
                      <w:rFonts w:hint="eastAsia"/>
                      <w:bCs/>
                      <w:kern w:val="0"/>
                      <w:szCs w:val="21"/>
                      <w:lang w:val="zh-CN"/>
                    </w:rPr>
                    <w:t>0.507~0.56</w:t>
                  </w:r>
                </w:p>
              </w:tc>
              <w:tc>
                <w:tcPr>
                  <w:tcW w:w="762" w:type="pct"/>
                  <w:vAlign w:val="center"/>
                </w:tcPr>
                <w:p w14:paraId="520AB9EB">
                  <w:pPr>
                    <w:contextualSpacing/>
                    <w:jc w:val="center"/>
                    <w:textAlignment w:val="baseline"/>
                    <w:rPr>
                      <w:bCs/>
                      <w:kern w:val="0"/>
                      <w:szCs w:val="21"/>
                      <w:lang w:val="zh-CN"/>
                    </w:rPr>
                  </w:pPr>
                  <w:r>
                    <w:rPr>
                      <w:bCs/>
                      <w:kern w:val="0"/>
                      <w:szCs w:val="21"/>
                      <w:lang w:val="zh-CN"/>
                    </w:rPr>
                    <w:t>0.</w:t>
                  </w:r>
                  <w:r>
                    <w:rPr>
                      <w:rFonts w:hint="eastAsia"/>
                      <w:bCs/>
                      <w:kern w:val="0"/>
                      <w:szCs w:val="21"/>
                      <w:lang w:val="zh-CN"/>
                    </w:rPr>
                    <w:t>1~0.103</w:t>
                  </w:r>
                </w:p>
              </w:tc>
            </w:tr>
            <w:tr w14:paraId="520AB9F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13" w:type="pct"/>
                  <w:gridSpan w:val="2"/>
                  <w:vAlign w:val="center"/>
                </w:tcPr>
                <w:p w14:paraId="520AB9ED">
                  <w:pPr>
                    <w:contextualSpacing/>
                    <w:jc w:val="center"/>
                    <w:textAlignment w:val="baseline"/>
                    <w:rPr>
                      <w:bCs/>
                      <w:kern w:val="0"/>
                      <w:szCs w:val="21"/>
                      <w:lang w:val="zh-CN"/>
                    </w:rPr>
                  </w:pPr>
                  <w:r>
                    <w:rPr>
                      <w:rFonts w:hint="eastAsia"/>
                      <w:bCs/>
                      <w:kern w:val="0"/>
                      <w:szCs w:val="21"/>
                      <w:lang w:val="zh-CN"/>
                    </w:rPr>
                    <w:t>最大值</w:t>
                  </w:r>
                </w:p>
              </w:tc>
              <w:tc>
                <w:tcPr>
                  <w:tcW w:w="706" w:type="pct"/>
                  <w:vAlign w:val="center"/>
                </w:tcPr>
                <w:p w14:paraId="520AB9EE">
                  <w:pPr>
                    <w:contextualSpacing/>
                    <w:jc w:val="center"/>
                    <w:textAlignment w:val="baseline"/>
                    <w:rPr>
                      <w:bCs/>
                      <w:kern w:val="0"/>
                      <w:szCs w:val="21"/>
                      <w:lang w:val="zh-CN"/>
                    </w:rPr>
                  </w:pPr>
                  <w:r>
                    <w:rPr>
                      <w:rFonts w:hint="eastAsia"/>
                      <w:bCs/>
                      <w:kern w:val="0"/>
                      <w:szCs w:val="21"/>
                      <w:lang w:val="zh-CN"/>
                    </w:rPr>
                    <w:t>6.4</w:t>
                  </w:r>
                </w:p>
              </w:tc>
              <w:tc>
                <w:tcPr>
                  <w:tcW w:w="618" w:type="pct"/>
                  <w:vAlign w:val="center"/>
                </w:tcPr>
                <w:p w14:paraId="520AB9EF">
                  <w:pPr>
                    <w:contextualSpacing/>
                    <w:jc w:val="center"/>
                    <w:textAlignment w:val="baseline"/>
                    <w:rPr>
                      <w:bCs/>
                      <w:kern w:val="0"/>
                      <w:szCs w:val="21"/>
                      <w:lang w:val="zh-CN"/>
                    </w:rPr>
                  </w:pPr>
                  <w:r>
                    <w:rPr>
                      <w:rFonts w:hint="eastAsia"/>
                      <w:bCs/>
                      <w:kern w:val="0"/>
                      <w:szCs w:val="21"/>
                      <w:lang w:val="zh-CN"/>
                    </w:rPr>
                    <w:t>0.21</w:t>
                  </w:r>
                </w:p>
              </w:tc>
              <w:tc>
                <w:tcPr>
                  <w:tcW w:w="794" w:type="pct"/>
                  <w:vAlign w:val="center"/>
                </w:tcPr>
                <w:p w14:paraId="520AB9F0">
                  <w:pPr>
                    <w:contextualSpacing/>
                    <w:jc w:val="center"/>
                    <w:textAlignment w:val="baseline"/>
                    <w:rPr>
                      <w:bCs/>
                      <w:kern w:val="0"/>
                      <w:szCs w:val="21"/>
                      <w:lang w:val="zh-CN"/>
                    </w:rPr>
                  </w:pPr>
                  <w:r>
                    <w:rPr>
                      <w:bCs/>
                      <w:kern w:val="0"/>
                      <w:szCs w:val="21"/>
                      <w:lang w:val="zh-CN"/>
                    </w:rPr>
                    <w:t>0.0</w:t>
                  </w:r>
                  <w:r>
                    <w:rPr>
                      <w:rFonts w:hint="eastAsia"/>
                      <w:bCs/>
                      <w:kern w:val="0"/>
                      <w:szCs w:val="21"/>
                      <w:lang w:val="zh-CN"/>
                    </w:rPr>
                    <w:t>2</w:t>
                  </w:r>
                  <w:r>
                    <w:rPr>
                      <w:bCs/>
                      <w:kern w:val="0"/>
                      <w:szCs w:val="21"/>
                      <w:lang w:val="zh-CN"/>
                    </w:rPr>
                    <w:t>L</w:t>
                  </w:r>
                </w:p>
              </w:tc>
              <w:tc>
                <w:tcPr>
                  <w:tcW w:w="707" w:type="pct"/>
                  <w:vAlign w:val="center"/>
                </w:tcPr>
                <w:p w14:paraId="520AB9F1">
                  <w:pPr>
                    <w:contextualSpacing/>
                    <w:jc w:val="center"/>
                    <w:textAlignment w:val="baseline"/>
                    <w:rPr>
                      <w:bCs/>
                      <w:kern w:val="0"/>
                      <w:szCs w:val="21"/>
                      <w:lang w:val="zh-CN"/>
                    </w:rPr>
                  </w:pPr>
                  <w:r>
                    <w:rPr>
                      <w:rFonts w:hint="eastAsia"/>
                      <w:bCs/>
                      <w:kern w:val="0"/>
                      <w:szCs w:val="21"/>
                      <w:lang w:val="zh-CN"/>
                    </w:rPr>
                    <w:t>0.56</w:t>
                  </w:r>
                </w:p>
              </w:tc>
              <w:tc>
                <w:tcPr>
                  <w:tcW w:w="762" w:type="pct"/>
                  <w:vAlign w:val="center"/>
                </w:tcPr>
                <w:p w14:paraId="520AB9F2">
                  <w:pPr>
                    <w:contextualSpacing/>
                    <w:jc w:val="center"/>
                    <w:textAlignment w:val="baseline"/>
                    <w:rPr>
                      <w:bCs/>
                      <w:kern w:val="0"/>
                      <w:szCs w:val="21"/>
                      <w:lang w:val="zh-CN"/>
                    </w:rPr>
                  </w:pPr>
                  <w:r>
                    <w:rPr>
                      <w:bCs/>
                      <w:kern w:val="0"/>
                      <w:szCs w:val="21"/>
                      <w:lang w:val="zh-CN"/>
                    </w:rPr>
                    <w:t>0.</w:t>
                  </w:r>
                  <w:r>
                    <w:rPr>
                      <w:rFonts w:hint="eastAsia"/>
                      <w:bCs/>
                      <w:kern w:val="0"/>
                      <w:szCs w:val="21"/>
                      <w:lang w:val="zh-CN"/>
                    </w:rPr>
                    <w:t>103</w:t>
                  </w:r>
                </w:p>
              </w:tc>
            </w:tr>
            <w:tr w14:paraId="520AB9F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13" w:type="pct"/>
                  <w:gridSpan w:val="2"/>
                  <w:vAlign w:val="center"/>
                </w:tcPr>
                <w:p w14:paraId="520AB9F4">
                  <w:pPr>
                    <w:contextualSpacing/>
                    <w:jc w:val="center"/>
                    <w:textAlignment w:val="baseline"/>
                    <w:rPr>
                      <w:bCs/>
                      <w:kern w:val="0"/>
                      <w:szCs w:val="21"/>
                      <w:lang w:val="zh-CN"/>
                    </w:rPr>
                  </w:pPr>
                  <w:r>
                    <w:rPr>
                      <w:bCs/>
                      <w:kern w:val="0"/>
                      <w:szCs w:val="21"/>
                      <w:lang w:val="zh-CN"/>
                    </w:rPr>
                    <w:t>排放标准</w:t>
                  </w:r>
                </w:p>
              </w:tc>
              <w:tc>
                <w:tcPr>
                  <w:tcW w:w="706" w:type="pct"/>
                  <w:vAlign w:val="center"/>
                </w:tcPr>
                <w:p w14:paraId="520AB9F5">
                  <w:pPr>
                    <w:contextualSpacing/>
                    <w:jc w:val="center"/>
                    <w:textAlignment w:val="baseline"/>
                    <w:rPr>
                      <w:bCs/>
                      <w:kern w:val="0"/>
                      <w:szCs w:val="21"/>
                      <w:lang w:val="zh-CN"/>
                    </w:rPr>
                  </w:pPr>
                  <w:r>
                    <w:rPr>
                      <w:rFonts w:hint="eastAsia"/>
                      <w:bCs/>
                      <w:kern w:val="0"/>
                      <w:szCs w:val="21"/>
                      <w:lang w:val="zh-CN"/>
                    </w:rPr>
                    <w:t>6~9</w:t>
                  </w:r>
                </w:p>
              </w:tc>
              <w:tc>
                <w:tcPr>
                  <w:tcW w:w="618" w:type="pct"/>
                  <w:vAlign w:val="center"/>
                </w:tcPr>
                <w:p w14:paraId="520AB9F6">
                  <w:pPr>
                    <w:contextualSpacing/>
                    <w:jc w:val="center"/>
                    <w:textAlignment w:val="baseline"/>
                    <w:rPr>
                      <w:bCs/>
                      <w:kern w:val="0"/>
                      <w:szCs w:val="21"/>
                      <w:lang w:val="zh-CN"/>
                    </w:rPr>
                  </w:pPr>
                  <w:r>
                    <w:rPr>
                      <w:rFonts w:hint="eastAsia"/>
                      <w:bCs/>
                      <w:kern w:val="0"/>
                      <w:szCs w:val="21"/>
                      <w:lang w:val="zh-CN"/>
                    </w:rPr>
                    <w:t>0.5</w:t>
                  </w:r>
                </w:p>
              </w:tc>
              <w:tc>
                <w:tcPr>
                  <w:tcW w:w="794" w:type="pct"/>
                  <w:vAlign w:val="center"/>
                </w:tcPr>
                <w:p w14:paraId="520AB9F7">
                  <w:pPr>
                    <w:contextualSpacing/>
                    <w:jc w:val="center"/>
                    <w:textAlignment w:val="baseline"/>
                    <w:rPr>
                      <w:bCs/>
                      <w:kern w:val="0"/>
                      <w:szCs w:val="21"/>
                      <w:lang w:val="zh-CN"/>
                    </w:rPr>
                  </w:pPr>
                  <w:r>
                    <w:rPr>
                      <w:rFonts w:hint="eastAsia"/>
                      <w:bCs/>
                      <w:kern w:val="0"/>
                      <w:szCs w:val="21"/>
                      <w:lang w:val="zh-CN"/>
                    </w:rPr>
                    <w:t>0.05</w:t>
                  </w:r>
                </w:p>
              </w:tc>
              <w:tc>
                <w:tcPr>
                  <w:tcW w:w="707" w:type="pct"/>
                  <w:vAlign w:val="center"/>
                </w:tcPr>
                <w:p w14:paraId="520AB9F8">
                  <w:pPr>
                    <w:contextualSpacing/>
                    <w:jc w:val="center"/>
                    <w:textAlignment w:val="baseline"/>
                    <w:rPr>
                      <w:bCs/>
                      <w:kern w:val="0"/>
                      <w:szCs w:val="21"/>
                      <w:lang w:val="zh-CN"/>
                    </w:rPr>
                  </w:pPr>
                  <w:r>
                    <w:rPr>
                      <w:rFonts w:hint="eastAsia"/>
                      <w:bCs/>
                      <w:kern w:val="0"/>
                      <w:szCs w:val="21"/>
                      <w:lang w:val="zh-CN"/>
                    </w:rPr>
                    <w:t>1.0</w:t>
                  </w:r>
                </w:p>
              </w:tc>
              <w:tc>
                <w:tcPr>
                  <w:tcW w:w="762" w:type="pct"/>
                  <w:vAlign w:val="center"/>
                </w:tcPr>
                <w:p w14:paraId="520AB9F9">
                  <w:pPr>
                    <w:contextualSpacing/>
                    <w:jc w:val="center"/>
                    <w:textAlignment w:val="baseline"/>
                    <w:rPr>
                      <w:bCs/>
                      <w:kern w:val="0"/>
                      <w:szCs w:val="21"/>
                      <w:lang w:val="zh-CN"/>
                    </w:rPr>
                  </w:pPr>
                  <w:r>
                    <w:rPr>
                      <w:rFonts w:hint="eastAsia"/>
                      <w:bCs/>
                      <w:kern w:val="0"/>
                      <w:szCs w:val="21"/>
                      <w:lang w:val="zh-CN"/>
                    </w:rPr>
                    <w:t>0.2</w:t>
                  </w:r>
                </w:p>
              </w:tc>
            </w:tr>
          </w:tbl>
          <w:p w14:paraId="520AB9FB">
            <w:pPr>
              <w:spacing w:line="460" w:lineRule="exact"/>
              <w:ind w:firstLine="480" w:firstLineChars="200"/>
              <w:rPr>
                <w:rFonts w:eastAsia="黑体"/>
                <w:sz w:val="24"/>
              </w:rPr>
            </w:pPr>
            <w:r>
              <w:rPr>
                <w:rFonts w:eastAsia="黑体"/>
                <w:sz w:val="24"/>
              </w:rPr>
              <w:t>表</w:t>
            </w:r>
            <w:r>
              <w:rPr>
                <w:rFonts w:hint="eastAsia" w:eastAsia="黑体"/>
                <w:sz w:val="24"/>
              </w:rPr>
              <w:t>29</w:t>
            </w:r>
            <w:r>
              <w:rPr>
                <w:rFonts w:eastAsia="黑体"/>
                <w:sz w:val="24"/>
              </w:rPr>
              <w:t xml:space="preserve">    </w:t>
            </w:r>
            <w:r>
              <w:rPr>
                <w:rFonts w:hint="eastAsia" w:eastAsia="黑体"/>
                <w:sz w:val="24"/>
              </w:rPr>
              <w:t xml:space="preserve"> </w:t>
            </w:r>
            <w:r>
              <w:rPr>
                <w:rFonts w:eastAsia="黑体"/>
                <w:sz w:val="24"/>
              </w:rPr>
              <w:t xml:space="preserve">  </w:t>
            </w:r>
            <w:r>
              <w:rPr>
                <w:rFonts w:hint="eastAsia" w:eastAsia="黑体"/>
                <w:sz w:val="24"/>
              </w:rPr>
              <w:t xml:space="preserve"> </w:t>
            </w:r>
            <w:r>
              <w:rPr>
                <w:rFonts w:eastAsia="黑体"/>
                <w:sz w:val="24"/>
              </w:rPr>
              <w:t xml:space="preserve"> 现有工程</w:t>
            </w:r>
            <w:r>
              <w:rPr>
                <w:rFonts w:hint="eastAsia" w:eastAsia="黑体"/>
                <w:sz w:val="24"/>
              </w:rPr>
              <w:t>废水</w:t>
            </w:r>
            <w:r>
              <w:rPr>
                <w:rFonts w:eastAsia="黑体"/>
                <w:sz w:val="24"/>
              </w:rPr>
              <w:t>水质</w:t>
            </w:r>
            <w:r>
              <w:rPr>
                <w:rFonts w:hint="eastAsia" w:eastAsia="黑体"/>
                <w:sz w:val="24"/>
              </w:rPr>
              <w:t>检测</w:t>
            </w:r>
            <w:r>
              <w:rPr>
                <w:rFonts w:eastAsia="黑体"/>
                <w:sz w:val="24"/>
              </w:rPr>
              <w:t>数据表</w:t>
            </w:r>
            <w:r>
              <w:rPr>
                <w:rFonts w:hint="eastAsia" w:eastAsia="黑体"/>
                <w:sz w:val="24"/>
              </w:rPr>
              <w:t>2</w:t>
            </w:r>
            <w:r>
              <w:rPr>
                <w:rFonts w:eastAsia="黑体"/>
                <w:sz w:val="24"/>
              </w:rPr>
              <w:t xml:space="preserve">    </w:t>
            </w:r>
            <w:r>
              <w:rPr>
                <w:rFonts w:hint="eastAsia" w:eastAsia="黑体"/>
                <w:sz w:val="24"/>
              </w:rPr>
              <w:t xml:space="preserve"> </w:t>
            </w:r>
            <w:r>
              <w:rPr>
                <w:rFonts w:eastAsia="黑体"/>
                <w:sz w:val="24"/>
              </w:rPr>
              <w:t xml:space="preserve"> </w:t>
            </w:r>
            <w:r>
              <w:rPr>
                <w:rFonts w:hint="eastAsia" w:eastAsia="黑体"/>
                <w:sz w:val="24"/>
              </w:rPr>
              <w:t xml:space="preserve"> </w:t>
            </w:r>
            <w:r>
              <w:rPr>
                <w:rFonts w:eastAsia="黑体"/>
                <w:sz w:val="24"/>
              </w:rPr>
              <w:t xml:space="preserve"> 单位：mg/L</w:t>
            </w:r>
          </w:p>
          <w:tbl>
            <w:tblPr>
              <w:tblStyle w:val="18"/>
              <w:tblpPr w:leftFromText="180" w:rightFromText="180" w:vertAnchor="text" w:tblpY="1"/>
              <w:tblOverlap w:val="never"/>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424"/>
              <w:gridCol w:w="1003"/>
              <w:gridCol w:w="1139"/>
              <w:gridCol w:w="997"/>
              <w:gridCol w:w="1139"/>
              <w:gridCol w:w="1139"/>
              <w:gridCol w:w="1228"/>
            </w:tblGrid>
            <w:tr w14:paraId="520ABA0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82" w:type="pct"/>
                  <w:vAlign w:val="center"/>
                </w:tcPr>
                <w:p w14:paraId="520AB9FC">
                  <w:pPr>
                    <w:jc w:val="center"/>
                    <w:rPr>
                      <w:b/>
                      <w:kern w:val="0"/>
                      <w:szCs w:val="21"/>
                    </w:rPr>
                  </w:pPr>
                  <w:r>
                    <w:rPr>
                      <w:b/>
                      <w:kern w:val="0"/>
                      <w:szCs w:val="21"/>
                    </w:rPr>
                    <w:t>监测时间</w:t>
                  </w:r>
                </w:p>
              </w:tc>
              <w:tc>
                <w:tcPr>
                  <w:tcW w:w="620" w:type="pct"/>
                  <w:vAlign w:val="center"/>
                </w:tcPr>
                <w:p w14:paraId="520AB9FD">
                  <w:pPr>
                    <w:jc w:val="center"/>
                    <w:rPr>
                      <w:b/>
                      <w:kern w:val="0"/>
                      <w:szCs w:val="21"/>
                    </w:rPr>
                  </w:pPr>
                  <w:r>
                    <w:rPr>
                      <w:b/>
                      <w:kern w:val="0"/>
                      <w:szCs w:val="21"/>
                    </w:rPr>
                    <w:t>检测点</w:t>
                  </w:r>
                  <w:r>
                    <w:rPr>
                      <w:rFonts w:hint="eastAsia"/>
                      <w:b/>
                      <w:kern w:val="0"/>
                      <w:szCs w:val="21"/>
                    </w:rPr>
                    <w:t>位</w:t>
                  </w:r>
                </w:p>
              </w:tc>
              <w:tc>
                <w:tcPr>
                  <w:tcW w:w="706" w:type="pct"/>
                  <w:vAlign w:val="center"/>
                </w:tcPr>
                <w:p w14:paraId="520AB9FE">
                  <w:pPr>
                    <w:jc w:val="center"/>
                    <w:rPr>
                      <w:b/>
                      <w:kern w:val="0"/>
                      <w:szCs w:val="21"/>
                    </w:rPr>
                  </w:pPr>
                  <w:r>
                    <w:rPr>
                      <w:b/>
                      <w:kern w:val="0"/>
                      <w:szCs w:val="21"/>
                    </w:rPr>
                    <w:t>p</w:t>
                  </w:r>
                  <w:r>
                    <w:rPr>
                      <w:rFonts w:hint="eastAsia"/>
                      <w:b/>
                      <w:kern w:val="0"/>
                      <w:szCs w:val="21"/>
                    </w:rPr>
                    <w:t>H</w:t>
                  </w:r>
                </w:p>
              </w:tc>
              <w:tc>
                <w:tcPr>
                  <w:tcW w:w="618" w:type="pct"/>
                  <w:vAlign w:val="center"/>
                </w:tcPr>
                <w:p w14:paraId="520AB9FF">
                  <w:pPr>
                    <w:jc w:val="center"/>
                    <w:rPr>
                      <w:b/>
                      <w:kern w:val="0"/>
                      <w:szCs w:val="21"/>
                    </w:rPr>
                  </w:pPr>
                  <w:r>
                    <w:rPr>
                      <w:rFonts w:cs="宋体"/>
                      <w:b/>
                      <w:szCs w:val="21"/>
                    </w:rPr>
                    <w:t>石油类</w:t>
                  </w:r>
                </w:p>
              </w:tc>
              <w:tc>
                <w:tcPr>
                  <w:tcW w:w="706" w:type="pct"/>
                  <w:vAlign w:val="center"/>
                </w:tcPr>
                <w:p w14:paraId="520ABA00">
                  <w:pPr>
                    <w:jc w:val="center"/>
                    <w:rPr>
                      <w:b/>
                      <w:kern w:val="0"/>
                      <w:szCs w:val="21"/>
                    </w:rPr>
                  </w:pPr>
                  <w:r>
                    <w:rPr>
                      <w:b/>
                      <w:kern w:val="0"/>
                      <w:szCs w:val="21"/>
                    </w:rPr>
                    <w:t>总铜</w:t>
                  </w:r>
                </w:p>
              </w:tc>
              <w:tc>
                <w:tcPr>
                  <w:tcW w:w="706" w:type="pct"/>
                  <w:vAlign w:val="center"/>
                </w:tcPr>
                <w:p w14:paraId="520ABA01">
                  <w:pPr>
                    <w:jc w:val="center"/>
                    <w:rPr>
                      <w:b/>
                      <w:kern w:val="0"/>
                      <w:szCs w:val="21"/>
                    </w:rPr>
                  </w:pPr>
                  <w:r>
                    <w:rPr>
                      <w:b/>
                      <w:kern w:val="0"/>
                      <w:szCs w:val="21"/>
                    </w:rPr>
                    <w:t>总锌</w:t>
                  </w:r>
                </w:p>
              </w:tc>
              <w:tc>
                <w:tcPr>
                  <w:tcW w:w="762" w:type="pct"/>
                  <w:vAlign w:val="center"/>
                </w:tcPr>
                <w:p w14:paraId="520ABA02">
                  <w:pPr>
                    <w:jc w:val="center"/>
                    <w:rPr>
                      <w:b/>
                      <w:kern w:val="0"/>
                      <w:szCs w:val="21"/>
                    </w:rPr>
                  </w:pPr>
                  <w:r>
                    <w:rPr>
                      <w:b/>
                      <w:kern w:val="0"/>
                      <w:szCs w:val="21"/>
                    </w:rPr>
                    <w:t>总氰化物</w:t>
                  </w:r>
                </w:p>
              </w:tc>
            </w:tr>
            <w:tr w14:paraId="520ABA0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82" w:type="pct"/>
                  <w:vAlign w:val="center"/>
                </w:tcPr>
                <w:p w14:paraId="520ABA04">
                  <w:pPr>
                    <w:contextualSpacing/>
                    <w:jc w:val="center"/>
                    <w:textAlignment w:val="baseline"/>
                    <w:rPr>
                      <w:bCs/>
                      <w:kern w:val="0"/>
                      <w:szCs w:val="21"/>
                      <w:lang w:val="zh-CN"/>
                    </w:rPr>
                  </w:pPr>
                  <w:r>
                    <w:rPr>
                      <w:rFonts w:hint="eastAsia"/>
                      <w:bCs/>
                      <w:kern w:val="0"/>
                      <w:szCs w:val="21"/>
                      <w:lang w:val="zh-CN"/>
                    </w:rPr>
                    <w:t>2025.4.29</w:t>
                  </w:r>
                </w:p>
              </w:tc>
              <w:tc>
                <w:tcPr>
                  <w:tcW w:w="620" w:type="pct"/>
                  <w:vMerge w:val="restart"/>
                  <w:vAlign w:val="center"/>
                </w:tcPr>
                <w:p w14:paraId="520ABA05">
                  <w:pPr>
                    <w:contextualSpacing/>
                    <w:jc w:val="center"/>
                    <w:textAlignment w:val="baseline"/>
                    <w:rPr>
                      <w:bCs/>
                      <w:kern w:val="0"/>
                      <w:szCs w:val="21"/>
                      <w:lang w:val="zh-CN"/>
                    </w:rPr>
                  </w:pPr>
                  <w:r>
                    <w:rPr>
                      <w:rFonts w:hint="eastAsia"/>
                      <w:bCs/>
                      <w:kern w:val="0"/>
                      <w:szCs w:val="21"/>
                      <w:lang w:val="zh-CN"/>
                    </w:rPr>
                    <w:t>厂区总排口</w:t>
                  </w:r>
                </w:p>
              </w:tc>
              <w:tc>
                <w:tcPr>
                  <w:tcW w:w="706" w:type="pct"/>
                  <w:vAlign w:val="center"/>
                </w:tcPr>
                <w:p w14:paraId="520ABA06">
                  <w:pPr>
                    <w:contextualSpacing/>
                    <w:jc w:val="center"/>
                    <w:textAlignment w:val="baseline"/>
                    <w:rPr>
                      <w:bCs/>
                      <w:kern w:val="0"/>
                      <w:szCs w:val="21"/>
                      <w:lang w:val="zh-CN"/>
                    </w:rPr>
                  </w:pPr>
                  <w:r>
                    <w:rPr>
                      <w:rFonts w:hint="eastAsia"/>
                      <w:bCs/>
                      <w:kern w:val="0"/>
                      <w:szCs w:val="21"/>
                      <w:lang w:val="zh-CN"/>
                    </w:rPr>
                    <w:t>7.</w:t>
                  </w:r>
                  <w:r>
                    <w:rPr>
                      <w:bCs/>
                      <w:kern w:val="0"/>
                      <w:szCs w:val="21"/>
                      <w:lang w:val="zh-CN"/>
                    </w:rPr>
                    <w:t>4</w:t>
                  </w:r>
                  <w:r>
                    <w:rPr>
                      <w:rFonts w:hint="eastAsia"/>
                      <w:bCs/>
                      <w:kern w:val="0"/>
                      <w:szCs w:val="21"/>
                      <w:lang w:val="zh-CN"/>
                    </w:rPr>
                    <w:t>~7.5</w:t>
                  </w:r>
                </w:p>
              </w:tc>
              <w:tc>
                <w:tcPr>
                  <w:tcW w:w="618" w:type="pct"/>
                  <w:vAlign w:val="center"/>
                </w:tcPr>
                <w:p w14:paraId="520ABA07">
                  <w:pPr>
                    <w:contextualSpacing/>
                    <w:jc w:val="center"/>
                    <w:textAlignment w:val="baseline"/>
                    <w:rPr>
                      <w:bCs/>
                      <w:kern w:val="0"/>
                      <w:szCs w:val="21"/>
                      <w:lang w:val="zh-CN"/>
                    </w:rPr>
                  </w:pPr>
                  <w:r>
                    <w:rPr>
                      <w:rFonts w:hint="eastAsia"/>
                      <w:bCs/>
                      <w:kern w:val="0"/>
                      <w:szCs w:val="21"/>
                      <w:lang w:val="zh-CN"/>
                    </w:rPr>
                    <w:t>0.5~0.53</w:t>
                  </w:r>
                </w:p>
              </w:tc>
              <w:tc>
                <w:tcPr>
                  <w:tcW w:w="706" w:type="pct"/>
                  <w:vAlign w:val="center"/>
                </w:tcPr>
                <w:p w14:paraId="520ABA08">
                  <w:pPr>
                    <w:contextualSpacing/>
                    <w:jc w:val="center"/>
                    <w:textAlignment w:val="baseline"/>
                    <w:rPr>
                      <w:bCs/>
                      <w:kern w:val="0"/>
                      <w:szCs w:val="21"/>
                      <w:lang w:val="zh-CN"/>
                    </w:rPr>
                  </w:pPr>
                  <w:r>
                    <w:rPr>
                      <w:bCs/>
                      <w:kern w:val="0"/>
                      <w:szCs w:val="21"/>
                      <w:lang w:val="zh-CN"/>
                    </w:rPr>
                    <w:t>0.0</w:t>
                  </w:r>
                  <w:r>
                    <w:rPr>
                      <w:rFonts w:hint="eastAsia"/>
                      <w:bCs/>
                      <w:kern w:val="0"/>
                      <w:szCs w:val="21"/>
                      <w:lang w:val="zh-CN"/>
                    </w:rPr>
                    <w:t>9~0.</w:t>
                  </w:r>
                  <w:r>
                    <w:rPr>
                      <w:bCs/>
                      <w:kern w:val="0"/>
                      <w:szCs w:val="21"/>
                      <w:lang w:val="zh-CN"/>
                    </w:rPr>
                    <w:t>1</w:t>
                  </w:r>
                </w:p>
              </w:tc>
              <w:tc>
                <w:tcPr>
                  <w:tcW w:w="706" w:type="pct"/>
                  <w:vAlign w:val="center"/>
                </w:tcPr>
                <w:p w14:paraId="520ABA09">
                  <w:pPr>
                    <w:contextualSpacing/>
                    <w:jc w:val="center"/>
                    <w:textAlignment w:val="baseline"/>
                    <w:rPr>
                      <w:bCs/>
                      <w:kern w:val="0"/>
                      <w:szCs w:val="21"/>
                      <w:lang w:val="zh-CN"/>
                    </w:rPr>
                  </w:pPr>
                  <w:r>
                    <w:rPr>
                      <w:bCs/>
                      <w:kern w:val="0"/>
                      <w:szCs w:val="21"/>
                      <w:lang w:val="zh-CN"/>
                    </w:rPr>
                    <w:t>0.</w:t>
                  </w:r>
                  <w:r>
                    <w:rPr>
                      <w:rFonts w:hint="eastAsia"/>
                      <w:bCs/>
                      <w:kern w:val="0"/>
                      <w:szCs w:val="21"/>
                      <w:lang w:val="zh-CN"/>
                    </w:rPr>
                    <w:t>52~0.56</w:t>
                  </w:r>
                </w:p>
              </w:tc>
              <w:tc>
                <w:tcPr>
                  <w:tcW w:w="762" w:type="pct"/>
                  <w:vAlign w:val="center"/>
                </w:tcPr>
                <w:p w14:paraId="520ABA0A">
                  <w:pPr>
                    <w:contextualSpacing/>
                    <w:jc w:val="center"/>
                    <w:textAlignment w:val="baseline"/>
                    <w:rPr>
                      <w:bCs/>
                      <w:kern w:val="0"/>
                      <w:szCs w:val="21"/>
                      <w:lang w:val="zh-CN"/>
                    </w:rPr>
                  </w:pPr>
                  <w:r>
                    <w:rPr>
                      <w:bCs/>
                      <w:kern w:val="0"/>
                      <w:szCs w:val="21"/>
                      <w:lang w:val="zh-CN"/>
                    </w:rPr>
                    <w:t>0.</w:t>
                  </w:r>
                  <w:r>
                    <w:rPr>
                      <w:rFonts w:hint="eastAsia"/>
                      <w:bCs/>
                      <w:kern w:val="0"/>
                      <w:szCs w:val="21"/>
                      <w:lang w:val="zh-CN"/>
                    </w:rPr>
                    <w:t>101~0.106</w:t>
                  </w:r>
                </w:p>
              </w:tc>
            </w:tr>
            <w:tr w14:paraId="520ABA1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82" w:type="pct"/>
                  <w:vAlign w:val="center"/>
                </w:tcPr>
                <w:p w14:paraId="520ABA0C">
                  <w:pPr>
                    <w:contextualSpacing/>
                    <w:jc w:val="center"/>
                    <w:textAlignment w:val="baseline"/>
                    <w:rPr>
                      <w:bCs/>
                      <w:kern w:val="0"/>
                      <w:szCs w:val="21"/>
                      <w:lang w:val="zh-CN"/>
                    </w:rPr>
                  </w:pPr>
                  <w:r>
                    <w:rPr>
                      <w:rFonts w:hint="eastAsia"/>
                      <w:bCs/>
                      <w:kern w:val="0"/>
                      <w:szCs w:val="21"/>
                    </w:rPr>
                    <w:t>2025</w:t>
                  </w:r>
                  <w:r>
                    <w:rPr>
                      <w:bCs/>
                      <w:kern w:val="0"/>
                      <w:szCs w:val="21"/>
                    </w:rPr>
                    <w:t>年</w:t>
                  </w:r>
                  <w:r>
                    <w:rPr>
                      <w:rFonts w:hint="eastAsia"/>
                      <w:bCs/>
                      <w:kern w:val="0"/>
                      <w:szCs w:val="21"/>
                    </w:rPr>
                    <w:t>1</w:t>
                  </w:r>
                  <w:r>
                    <w:rPr>
                      <w:bCs/>
                      <w:kern w:val="0"/>
                      <w:szCs w:val="21"/>
                    </w:rPr>
                    <w:t>月</w:t>
                  </w:r>
                  <w:r>
                    <w:rPr>
                      <w:rFonts w:hint="eastAsia"/>
                      <w:bCs/>
                      <w:kern w:val="0"/>
                      <w:szCs w:val="21"/>
                    </w:rPr>
                    <w:t>1</w:t>
                  </w:r>
                  <w:r>
                    <w:rPr>
                      <w:bCs/>
                      <w:kern w:val="0"/>
                      <w:szCs w:val="21"/>
                    </w:rPr>
                    <w:t>日</w:t>
                  </w:r>
                  <w:r>
                    <w:rPr>
                      <w:rFonts w:hint="eastAsia"/>
                      <w:bCs/>
                      <w:kern w:val="0"/>
                      <w:szCs w:val="21"/>
                    </w:rPr>
                    <w:t>~6</w:t>
                  </w:r>
                  <w:r>
                    <w:rPr>
                      <w:bCs/>
                      <w:kern w:val="0"/>
                      <w:szCs w:val="21"/>
                    </w:rPr>
                    <w:t>月</w:t>
                  </w:r>
                  <w:r>
                    <w:rPr>
                      <w:rFonts w:hint="eastAsia"/>
                      <w:bCs/>
                      <w:kern w:val="0"/>
                      <w:szCs w:val="21"/>
                    </w:rPr>
                    <w:t>30</w:t>
                  </w:r>
                  <w:r>
                    <w:rPr>
                      <w:bCs/>
                      <w:kern w:val="0"/>
                      <w:szCs w:val="21"/>
                    </w:rPr>
                    <w:t>日</w:t>
                  </w:r>
                  <w:r>
                    <w:rPr>
                      <w:rFonts w:hint="eastAsia"/>
                      <w:bCs/>
                      <w:kern w:val="0"/>
                      <w:szCs w:val="21"/>
                      <w:lang w:val="zh-CN"/>
                    </w:rPr>
                    <w:t>在线日均值</w:t>
                  </w:r>
                </w:p>
              </w:tc>
              <w:tc>
                <w:tcPr>
                  <w:tcW w:w="620" w:type="pct"/>
                  <w:vMerge w:val="continue"/>
                  <w:vAlign w:val="center"/>
                </w:tcPr>
                <w:p w14:paraId="520ABA0D">
                  <w:pPr>
                    <w:contextualSpacing/>
                    <w:jc w:val="center"/>
                    <w:textAlignment w:val="baseline"/>
                    <w:rPr>
                      <w:bCs/>
                      <w:kern w:val="0"/>
                      <w:szCs w:val="21"/>
                      <w:lang w:val="zh-CN"/>
                    </w:rPr>
                  </w:pPr>
                </w:p>
              </w:tc>
              <w:tc>
                <w:tcPr>
                  <w:tcW w:w="706" w:type="pct"/>
                  <w:vAlign w:val="center"/>
                </w:tcPr>
                <w:p w14:paraId="520ABA0E">
                  <w:pPr>
                    <w:contextualSpacing/>
                    <w:jc w:val="center"/>
                    <w:textAlignment w:val="baseline"/>
                    <w:rPr>
                      <w:bCs/>
                      <w:kern w:val="0"/>
                      <w:szCs w:val="21"/>
                      <w:lang w:val="zh-CN"/>
                    </w:rPr>
                  </w:pPr>
                  <w:r>
                    <w:rPr>
                      <w:rFonts w:hint="eastAsia"/>
                      <w:bCs/>
                      <w:kern w:val="0"/>
                      <w:szCs w:val="21"/>
                      <w:lang w:val="zh-CN"/>
                    </w:rPr>
                    <w:t>6.017~8.532</w:t>
                  </w:r>
                </w:p>
              </w:tc>
              <w:tc>
                <w:tcPr>
                  <w:tcW w:w="618" w:type="pct"/>
                  <w:vAlign w:val="center"/>
                </w:tcPr>
                <w:p w14:paraId="520ABA0F">
                  <w:pPr>
                    <w:contextualSpacing/>
                    <w:jc w:val="center"/>
                    <w:textAlignment w:val="baseline"/>
                    <w:rPr>
                      <w:bCs/>
                      <w:kern w:val="0"/>
                      <w:szCs w:val="21"/>
                      <w:lang w:val="zh-CN"/>
                    </w:rPr>
                  </w:pPr>
                  <w:r>
                    <w:rPr>
                      <w:rFonts w:hint="eastAsia"/>
                      <w:bCs/>
                      <w:kern w:val="0"/>
                      <w:szCs w:val="21"/>
                      <w:lang w:val="zh-CN"/>
                    </w:rPr>
                    <w:t>/</w:t>
                  </w:r>
                </w:p>
              </w:tc>
              <w:tc>
                <w:tcPr>
                  <w:tcW w:w="706" w:type="pct"/>
                  <w:vAlign w:val="center"/>
                </w:tcPr>
                <w:p w14:paraId="520ABA10">
                  <w:pPr>
                    <w:contextualSpacing/>
                    <w:jc w:val="center"/>
                    <w:textAlignment w:val="baseline"/>
                    <w:rPr>
                      <w:bCs/>
                      <w:kern w:val="0"/>
                      <w:szCs w:val="21"/>
                      <w:lang w:val="zh-CN"/>
                    </w:rPr>
                  </w:pPr>
                  <w:r>
                    <w:rPr>
                      <w:rFonts w:hint="eastAsia"/>
                      <w:bCs/>
                      <w:kern w:val="0"/>
                      <w:szCs w:val="21"/>
                      <w:lang w:val="zh-CN"/>
                    </w:rPr>
                    <w:t>/</w:t>
                  </w:r>
                </w:p>
              </w:tc>
              <w:tc>
                <w:tcPr>
                  <w:tcW w:w="706" w:type="pct"/>
                  <w:vAlign w:val="center"/>
                </w:tcPr>
                <w:p w14:paraId="520ABA11">
                  <w:pPr>
                    <w:contextualSpacing/>
                    <w:jc w:val="center"/>
                    <w:textAlignment w:val="baseline"/>
                    <w:rPr>
                      <w:bCs/>
                      <w:kern w:val="0"/>
                      <w:szCs w:val="21"/>
                      <w:lang w:val="zh-CN"/>
                    </w:rPr>
                  </w:pPr>
                  <w:r>
                    <w:rPr>
                      <w:rFonts w:hint="eastAsia"/>
                      <w:bCs/>
                      <w:kern w:val="0"/>
                      <w:szCs w:val="21"/>
                      <w:lang w:val="zh-CN"/>
                    </w:rPr>
                    <w:t>/</w:t>
                  </w:r>
                </w:p>
              </w:tc>
              <w:tc>
                <w:tcPr>
                  <w:tcW w:w="762" w:type="pct"/>
                  <w:vAlign w:val="center"/>
                </w:tcPr>
                <w:p w14:paraId="520ABA12">
                  <w:pPr>
                    <w:contextualSpacing/>
                    <w:jc w:val="center"/>
                    <w:textAlignment w:val="baseline"/>
                    <w:rPr>
                      <w:bCs/>
                      <w:kern w:val="0"/>
                      <w:szCs w:val="21"/>
                      <w:lang w:val="zh-CN"/>
                    </w:rPr>
                  </w:pPr>
                  <w:r>
                    <w:rPr>
                      <w:rFonts w:hint="eastAsia"/>
                      <w:bCs/>
                      <w:kern w:val="0"/>
                      <w:szCs w:val="21"/>
                      <w:lang w:val="zh-CN"/>
                    </w:rPr>
                    <w:t>/</w:t>
                  </w:r>
                </w:p>
              </w:tc>
            </w:tr>
            <w:tr w14:paraId="520ABA1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503" w:type="pct"/>
                  <w:gridSpan w:val="2"/>
                  <w:vAlign w:val="center"/>
                </w:tcPr>
                <w:p w14:paraId="520ABA14">
                  <w:pPr>
                    <w:contextualSpacing/>
                    <w:jc w:val="center"/>
                    <w:textAlignment w:val="baseline"/>
                    <w:rPr>
                      <w:bCs/>
                      <w:kern w:val="0"/>
                      <w:szCs w:val="21"/>
                      <w:lang w:val="zh-CN"/>
                    </w:rPr>
                  </w:pPr>
                  <w:r>
                    <w:rPr>
                      <w:rFonts w:hint="eastAsia"/>
                      <w:bCs/>
                      <w:kern w:val="0"/>
                      <w:szCs w:val="21"/>
                      <w:lang w:val="zh-CN"/>
                    </w:rPr>
                    <w:t>最大值</w:t>
                  </w:r>
                </w:p>
              </w:tc>
              <w:tc>
                <w:tcPr>
                  <w:tcW w:w="706" w:type="pct"/>
                  <w:vAlign w:val="center"/>
                </w:tcPr>
                <w:p w14:paraId="520ABA15">
                  <w:pPr>
                    <w:contextualSpacing/>
                    <w:jc w:val="center"/>
                    <w:textAlignment w:val="baseline"/>
                    <w:rPr>
                      <w:bCs/>
                      <w:kern w:val="0"/>
                      <w:szCs w:val="21"/>
                      <w:lang w:val="zh-CN"/>
                    </w:rPr>
                  </w:pPr>
                  <w:r>
                    <w:rPr>
                      <w:rFonts w:hint="eastAsia"/>
                      <w:bCs/>
                      <w:kern w:val="0"/>
                      <w:szCs w:val="21"/>
                      <w:lang w:val="zh-CN"/>
                    </w:rPr>
                    <w:t>8.532</w:t>
                  </w:r>
                </w:p>
              </w:tc>
              <w:tc>
                <w:tcPr>
                  <w:tcW w:w="618" w:type="pct"/>
                  <w:vAlign w:val="center"/>
                </w:tcPr>
                <w:p w14:paraId="520ABA16">
                  <w:pPr>
                    <w:contextualSpacing/>
                    <w:jc w:val="center"/>
                    <w:textAlignment w:val="baseline"/>
                    <w:rPr>
                      <w:bCs/>
                      <w:kern w:val="0"/>
                      <w:szCs w:val="21"/>
                      <w:lang w:val="zh-CN"/>
                    </w:rPr>
                  </w:pPr>
                  <w:r>
                    <w:rPr>
                      <w:rFonts w:hint="eastAsia"/>
                      <w:bCs/>
                      <w:kern w:val="0"/>
                      <w:szCs w:val="21"/>
                      <w:lang w:val="zh-CN"/>
                    </w:rPr>
                    <w:t>0.53</w:t>
                  </w:r>
                </w:p>
              </w:tc>
              <w:tc>
                <w:tcPr>
                  <w:tcW w:w="706" w:type="pct"/>
                  <w:vAlign w:val="center"/>
                </w:tcPr>
                <w:p w14:paraId="520ABA17">
                  <w:pPr>
                    <w:contextualSpacing/>
                    <w:jc w:val="center"/>
                    <w:textAlignment w:val="baseline"/>
                    <w:rPr>
                      <w:bCs/>
                      <w:kern w:val="0"/>
                      <w:szCs w:val="21"/>
                      <w:lang w:val="zh-CN"/>
                    </w:rPr>
                  </w:pPr>
                  <w:r>
                    <w:rPr>
                      <w:rFonts w:hint="eastAsia"/>
                      <w:bCs/>
                      <w:kern w:val="0"/>
                      <w:szCs w:val="21"/>
                      <w:lang w:val="zh-CN"/>
                    </w:rPr>
                    <w:t>0.1</w:t>
                  </w:r>
                </w:p>
              </w:tc>
              <w:tc>
                <w:tcPr>
                  <w:tcW w:w="706" w:type="pct"/>
                  <w:vAlign w:val="center"/>
                </w:tcPr>
                <w:p w14:paraId="520ABA18">
                  <w:pPr>
                    <w:contextualSpacing/>
                    <w:jc w:val="center"/>
                    <w:textAlignment w:val="baseline"/>
                    <w:rPr>
                      <w:bCs/>
                      <w:kern w:val="0"/>
                      <w:szCs w:val="21"/>
                      <w:lang w:val="zh-CN"/>
                    </w:rPr>
                  </w:pPr>
                  <w:r>
                    <w:rPr>
                      <w:rFonts w:hint="eastAsia"/>
                      <w:bCs/>
                      <w:kern w:val="0"/>
                      <w:szCs w:val="21"/>
                      <w:lang w:val="zh-CN"/>
                    </w:rPr>
                    <w:t>0.56</w:t>
                  </w:r>
                </w:p>
              </w:tc>
              <w:tc>
                <w:tcPr>
                  <w:tcW w:w="762" w:type="pct"/>
                  <w:vAlign w:val="center"/>
                </w:tcPr>
                <w:p w14:paraId="520ABA19">
                  <w:pPr>
                    <w:contextualSpacing/>
                    <w:jc w:val="center"/>
                    <w:textAlignment w:val="baseline"/>
                    <w:rPr>
                      <w:bCs/>
                      <w:kern w:val="0"/>
                      <w:szCs w:val="21"/>
                      <w:lang w:val="zh-CN"/>
                    </w:rPr>
                  </w:pPr>
                  <w:r>
                    <w:rPr>
                      <w:rFonts w:hint="eastAsia"/>
                      <w:bCs/>
                      <w:kern w:val="0"/>
                      <w:szCs w:val="21"/>
                      <w:lang w:val="zh-CN"/>
                    </w:rPr>
                    <w:t>0.106</w:t>
                  </w:r>
                </w:p>
              </w:tc>
            </w:tr>
            <w:tr w14:paraId="520ABA2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503" w:type="pct"/>
                  <w:gridSpan w:val="2"/>
                  <w:vAlign w:val="center"/>
                </w:tcPr>
                <w:p w14:paraId="520ABA1B">
                  <w:pPr>
                    <w:contextualSpacing/>
                    <w:jc w:val="center"/>
                    <w:textAlignment w:val="baseline"/>
                    <w:rPr>
                      <w:bCs/>
                      <w:kern w:val="0"/>
                      <w:szCs w:val="21"/>
                      <w:lang w:val="zh-CN"/>
                    </w:rPr>
                  </w:pPr>
                  <w:r>
                    <w:rPr>
                      <w:bCs/>
                      <w:kern w:val="0"/>
                      <w:szCs w:val="21"/>
                      <w:lang w:val="zh-CN"/>
                    </w:rPr>
                    <w:t>排放标准</w:t>
                  </w:r>
                </w:p>
              </w:tc>
              <w:tc>
                <w:tcPr>
                  <w:tcW w:w="706" w:type="pct"/>
                  <w:vAlign w:val="center"/>
                </w:tcPr>
                <w:p w14:paraId="520ABA1C">
                  <w:pPr>
                    <w:contextualSpacing/>
                    <w:jc w:val="center"/>
                    <w:textAlignment w:val="baseline"/>
                    <w:rPr>
                      <w:bCs/>
                      <w:kern w:val="0"/>
                      <w:szCs w:val="21"/>
                      <w:lang w:val="zh-CN"/>
                    </w:rPr>
                  </w:pPr>
                  <w:r>
                    <w:rPr>
                      <w:rFonts w:hint="eastAsia"/>
                      <w:bCs/>
                      <w:kern w:val="0"/>
                      <w:szCs w:val="21"/>
                      <w:lang w:val="zh-CN"/>
                    </w:rPr>
                    <w:t>6~9</w:t>
                  </w:r>
                </w:p>
              </w:tc>
              <w:tc>
                <w:tcPr>
                  <w:tcW w:w="618" w:type="pct"/>
                  <w:vAlign w:val="center"/>
                </w:tcPr>
                <w:p w14:paraId="520ABA1D">
                  <w:pPr>
                    <w:contextualSpacing/>
                    <w:jc w:val="center"/>
                    <w:textAlignment w:val="baseline"/>
                    <w:rPr>
                      <w:bCs/>
                      <w:kern w:val="0"/>
                      <w:szCs w:val="21"/>
                      <w:lang w:val="zh-CN"/>
                    </w:rPr>
                  </w:pPr>
                  <w:r>
                    <w:rPr>
                      <w:rFonts w:hint="eastAsia"/>
                      <w:bCs/>
                      <w:kern w:val="0"/>
                      <w:szCs w:val="21"/>
                      <w:lang w:val="zh-CN"/>
                    </w:rPr>
                    <w:t>3.0</w:t>
                  </w:r>
                </w:p>
              </w:tc>
              <w:tc>
                <w:tcPr>
                  <w:tcW w:w="706" w:type="pct"/>
                  <w:vAlign w:val="center"/>
                </w:tcPr>
                <w:p w14:paraId="520ABA1E">
                  <w:pPr>
                    <w:contextualSpacing/>
                    <w:jc w:val="center"/>
                    <w:textAlignment w:val="baseline"/>
                    <w:rPr>
                      <w:bCs/>
                      <w:kern w:val="0"/>
                      <w:szCs w:val="21"/>
                      <w:lang w:val="zh-CN"/>
                    </w:rPr>
                  </w:pPr>
                  <w:r>
                    <w:rPr>
                      <w:rFonts w:hint="eastAsia"/>
                      <w:bCs/>
                      <w:kern w:val="0"/>
                      <w:szCs w:val="21"/>
                      <w:lang w:val="zh-CN"/>
                    </w:rPr>
                    <w:t>0.5</w:t>
                  </w:r>
                </w:p>
              </w:tc>
              <w:tc>
                <w:tcPr>
                  <w:tcW w:w="706" w:type="pct"/>
                  <w:vAlign w:val="center"/>
                </w:tcPr>
                <w:p w14:paraId="520ABA1F">
                  <w:pPr>
                    <w:contextualSpacing/>
                    <w:jc w:val="center"/>
                    <w:textAlignment w:val="baseline"/>
                    <w:rPr>
                      <w:bCs/>
                      <w:kern w:val="0"/>
                      <w:szCs w:val="21"/>
                      <w:lang w:val="zh-CN"/>
                    </w:rPr>
                  </w:pPr>
                  <w:r>
                    <w:rPr>
                      <w:rFonts w:hint="eastAsia"/>
                      <w:bCs/>
                      <w:kern w:val="0"/>
                      <w:szCs w:val="21"/>
                      <w:lang w:val="zh-CN"/>
                    </w:rPr>
                    <w:t>1.5</w:t>
                  </w:r>
                </w:p>
              </w:tc>
              <w:tc>
                <w:tcPr>
                  <w:tcW w:w="762" w:type="pct"/>
                  <w:vAlign w:val="center"/>
                </w:tcPr>
                <w:p w14:paraId="520ABA20">
                  <w:pPr>
                    <w:contextualSpacing/>
                    <w:jc w:val="center"/>
                    <w:textAlignment w:val="baseline"/>
                    <w:rPr>
                      <w:bCs/>
                      <w:kern w:val="0"/>
                      <w:szCs w:val="21"/>
                      <w:lang w:val="zh-CN"/>
                    </w:rPr>
                  </w:pPr>
                  <w:r>
                    <w:rPr>
                      <w:rFonts w:hint="eastAsia"/>
                      <w:bCs/>
                      <w:kern w:val="0"/>
                      <w:szCs w:val="21"/>
                      <w:lang w:val="zh-CN"/>
                    </w:rPr>
                    <w:t>0.</w:t>
                  </w:r>
                  <w:r>
                    <w:rPr>
                      <w:bCs/>
                      <w:kern w:val="0"/>
                      <w:szCs w:val="21"/>
                      <w:lang w:val="zh-CN"/>
                    </w:rPr>
                    <w:t>3</w:t>
                  </w:r>
                </w:p>
              </w:tc>
            </w:tr>
            <w:tr w14:paraId="520ABA2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82" w:type="pct"/>
                  <w:vAlign w:val="center"/>
                </w:tcPr>
                <w:p w14:paraId="520ABA22">
                  <w:pPr>
                    <w:jc w:val="center"/>
                    <w:rPr>
                      <w:b/>
                      <w:kern w:val="0"/>
                      <w:szCs w:val="21"/>
                    </w:rPr>
                  </w:pPr>
                  <w:r>
                    <w:rPr>
                      <w:b/>
                      <w:kern w:val="0"/>
                      <w:szCs w:val="21"/>
                    </w:rPr>
                    <w:t>监</w:t>
                  </w:r>
                  <w:r>
                    <w:rPr>
                      <w:rFonts w:hint="eastAsia"/>
                      <w:b/>
                      <w:kern w:val="0"/>
                      <w:szCs w:val="21"/>
                    </w:rPr>
                    <w:t>测</w:t>
                  </w:r>
                  <w:r>
                    <w:rPr>
                      <w:b/>
                      <w:kern w:val="0"/>
                      <w:szCs w:val="21"/>
                    </w:rPr>
                    <w:t>时间</w:t>
                  </w:r>
                </w:p>
              </w:tc>
              <w:tc>
                <w:tcPr>
                  <w:tcW w:w="620" w:type="pct"/>
                  <w:vAlign w:val="center"/>
                </w:tcPr>
                <w:p w14:paraId="520ABA23">
                  <w:pPr>
                    <w:jc w:val="center"/>
                    <w:rPr>
                      <w:b/>
                      <w:kern w:val="0"/>
                      <w:szCs w:val="21"/>
                    </w:rPr>
                  </w:pPr>
                  <w:r>
                    <w:rPr>
                      <w:b/>
                      <w:kern w:val="0"/>
                      <w:szCs w:val="21"/>
                    </w:rPr>
                    <w:t>检测点位</w:t>
                  </w:r>
                </w:p>
              </w:tc>
              <w:tc>
                <w:tcPr>
                  <w:tcW w:w="706" w:type="pct"/>
                  <w:vAlign w:val="center"/>
                </w:tcPr>
                <w:p w14:paraId="520ABA24">
                  <w:pPr>
                    <w:jc w:val="center"/>
                    <w:rPr>
                      <w:b/>
                      <w:kern w:val="0"/>
                      <w:szCs w:val="21"/>
                    </w:rPr>
                  </w:pPr>
                  <w:r>
                    <w:rPr>
                      <w:b/>
                      <w:kern w:val="0"/>
                      <w:szCs w:val="21"/>
                    </w:rPr>
                    <w:t>C</w:t>
                  </w:r>
                  <w:r>
                    <w:rPr>
                      <w:rFonts w:hint="eastAsia"/>
                      <w:b/>
                      <w:kern w:val="0"/>
                      <w:szCs w:val="21"/>
                    </w:rPr>
                    <w:t>O</w:t>
                  </w:r>
                  <w:r>
                    <w:rPr>
                      <w:b/>
                      <w:kern w:val="0"/>
                      <w:szCs w:val="21"/>
                    </w:rPr>
                    <w:t>D</w:t>
                  </w:r>
                </w:p>
              </w:tc>
              <w:tc>
                <w:tcPr>
                  <w:tcW w:w="618" w:type="pct"/>
                  <w:vAlign w:val="center"/>
                </w:tcPr>
                <w:p w14:paraId="520ABA25">
                  <w:pPr>
                    <w:jc w:val="center"/>
                    <w:rPr>
                      <w:b/>
                      <w:kern w:val="0"/>
                      <w:szCs w:val="21"/>
                    </w:rPr>
                  </w:pPr>
                  <w:r>
                    <w:rPr>
                      <w:rFonts w:cs="宋体"/>
                      <w:b/>
                      <w:bCs/>
                      <w:szCs w:val="21"/>
                    </w:rPr>
                    <w:t>SS</w:t>
                  </w:r>
                </w:p>
              </w:tc>
              <w:tc>
                <w:tcPr>
                  <w:tcW w:w="706" w:type="pct"/>
                  <w:vAlign w:val="center"/>
                </w:tcPr>
                <w:p w14:paraId="520ABA26">
                  <w:pPr>
                    <w:jc w:val="center"/>
                    <w:rPr>
                      <w:b/>
                      <w:kern w:val="0"/>
                      <w:szCs w:val="21"/>
                    </w:rPr>
                  </w:pPr>
                  <w:r>
                    <w:rPr>
                      <w:rFonts w:cs="宋体"/>
                      <w:b/>
                      <w:bCs/>
                      <w:szCs w:val="21"/>
                    </w:rPr>
                    <w:t>NH</w:t>
                  </w:r>
                  <w:r>
                    <w:rPr>
                      <w:rFonts w:cs="宋体"/>
                      <w:b/>
                      <w:bCs/>
                      <w:szCs w:val="21"/>
                      <w:vertAlign w:val="subscript"/>
                    </w:rPr>
                    <w:t>3</w:t>
                  </w:r>
                  <w:r>
                    <w:rPr>
                      <w:rFonts w:cs="宋体"/>
                      <w:b/>
                      <w:bCs/>
                      <w:szCs w:val="21"/>
                    </w:rPr>
                    <w:t>-N</w:t>
                  </w:r>
                </w:p>
              </w:tc>
              <w:tc>
                <w:tcPr>
                  <w:tcW w:w="706" w:type="pct"/>
                  <w:vAlign w:val="center"/>
                </w:tcPr>
                <w:p w14:paraId="520ABA27">
                  <w:pPr>
                    <w:jc w:val="center"/>
                    <w:rPr>
                      <w:b/>
                      <w:kern w:val="0"/>
                      <w:szCs w:val="21"/>
                    </w:rPr>
                  </w:pPr>
                  <w:r>
                    <w:rPr>
                      <w:rFonts w:cs="宋体"/>
                      <w:b/>
                      <w:bCs/>
                      <w:szCs w:val="21"/>
                    </w:rPr>
                    <w:t>TP</w:t>
                  </w:r>
                </w:p>
              </w:tc>
              <w:tc>
                <w:tcPr>
                  <w:tcW w:w="762" w:type="pct"/>
                  <w:vAlign w:val="center"/>
                </w:tcPr>
                <w:p w14:paraId="520ABA28">
                  <w:pPr>
                    <w:jc w:val="center"/>
                    <w:rPr>
                      <w:b/>
                      <w:kern w:val="0"/>
                      <w:szCs w:val="21"/>
                    </w:rPr>
                  </w:pPr>
                  <w:r>
                    <w:rPr>
                      <w:rFonts w:cs="宋体"/>
                      <w:b/>
                      <w:bCs/>
                      <w:szCs w:val="21"/>
                    </w:rPr>
                    <w:t>TN</w:t>
                  </w:r>
                </w:p>
              </w:tc>
            </w:tr>
            <w:tr w14:paraId="520ABA3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82" w:type="pct"/>
                  <w:vAlign w:val="center"/>
                </w:tcPr>
                <w:p w14:paraId="520ABA2A">
                  <w:pPr>
                    <w:contextualSpacing/>
                    <w:jc w:val="center"/>
                    <w:textAlignment w:val="baseline"/>
                    <w:rPr>
                      <w:kern w:val="0"/>
                      <w:szCs w:val="21"/>
                      <w:lang w:val="zh-CN"/>
                    </w:rPr>
                  </w:pPr>
                  <w:r>
                    <w:rPr>
                      <w:rFonts w:hint="eastAsia"/>
                      <w:bCs/>
                      <w:kern w:val="0"/>
                      <w:szCs w:val="21"/>
                      <w:lang w:val="zh-CN"/>
                    </w:rPr>
                    <w:t>2025.4.29</w:t>
                  </w:r>
                </w:p>
              </w:tc>
              <w:tc>
                <w:tcPr>
                  <w:tcW w:w="620" w:type="pct"/>
                  <w:vMerge w:val="restart"/>
                  <w:vAlign w:val="center"/>
                </w:tcPr>
                <w:p w14:paraId="520ABA2B">
                  <w:pPr>
                    <w:contextualSpacing/>
                    <w:jc w:val="center"/>
                    <w:textAlignment w:val="baseline"/>
                    <w:rPr>
                      <w:kern w:val="0"/>
                      <w:szCs w:val="21"/>
                      <w:lang w:val="zh-CN"/>
                    </w:rPr>
                  </w:pPr>
                  <w:r>
                    <w:rPr>
                      <w:rFonts w:hint="eastAsia"/>
                      <w:kern w:val="0"/>
                      <w:szCs w:val="21"/>
                      <w:lang w:val="zh-CN"/>
                    </w:rPr>
                    <w:t>厂区总排口</w:t>
                  </w:r>
                </w:p>
              </w:tc>
              <w:tc>
                <w:tcPr>
                  <w:tcW w:w="706" w:type="pct"/>
                  <w:vAlign w:val="center"/>
                </w:tcPr>
                <w:p w14:paraId="520ABA2C">
                  <w:pPr>
                    <w:contextualSpacing/>
                    <w:jc w:val="center"/>
                    <w:textAlignment w:val="baseline"/>
                    <w:rPr>
                      <w:kern w:val="0"/>
                      <w:szCs w:val="21"/>
                      <w:lang w:val="zh-CN"/>
                    </w:rPr>
                  </w:pPr>
                  <w:r>
                    <w:rPr>
                      <w:rFonts w:hint="eastAsia"/>
                      <w:kern w:val="0"/>
                      <w:szCs w:val="21"/>
                      <w:lang w:val="zh-CN"/>
                    </w:rPr>
                    <w:t>41~49</w:t>
                  </w:r>
                </w:p>
              </w:tc>
              <w:tc>
                <w:tcPr>
                  <w:tcW w:w="618" w:type="pct"/>
                  <w:vAlign w:val="center"/>
                </w:tcPr>
                <w:p w14:paraId="520ABA2D">
                  <w:pPr>
                    <w:contextualSpacing/>
                    <w:jc w:val="center"/>
                    <w:textAlignment w:val="baseline"/>
                    <w:rPr>
                      <w:kern w:val="0"/>
                      <w:szCs w:val="21"/>
                      <w:lang w:val="zh-CN"/>
                    </w:rPr>
                  </w:pPr>
                  <w:r>
                    <w:rPr>
                      <w:rFonts w:hint="eastAsia"/>
                      <w:kern w:val="0"/>
                      <w:szCs w:val="21"/>
                      <w:lang w:val="zh-CN"/>
                    </w:rPr>
                    <w:t>22~27</w:t>
                  </w:r>
                </w:p>
              </w:tc>
              <w:tc>
                <w:tcPr>
                  <w:tcW w:w="706" w:type="pct"/>
                  <w:vAlign w:val="center"/>
                </w:tcPr>
                <w:p w14:paraId="520ABA2E">
                  <w:pPr>
                    <w:contextualSpacing/>
                    <w:jc w:val="center"/>
                    <w:textAlignment w:val="baseline"/>
                    <w:rPr>
                      <w:kern w:val="0"/>
                      <w:szCs w:val="21"/>
                      <w:lang w:val="zh-CN"/>
                    </w:rPr>
                  </w:pPr>
                  <w:r>
                    <w:rPr>
                      <w:rFonts w:hint="eastAsia"/>
                      <w:kern w:val="0"/>
                      <w:szCs w:val="21"/>
                      <w:lang w:val="zh-CN"/>
                    </w:rPr>
                    <w:t>7.26~7.66</w:t>
                  </w:r>
                </w:p>
              </w:tc>
              <w:tc>
                <w:tcPr>
                  <w:tcW w:w="706" w:type="pct"/>
                  <w:vAlign w:val="center"/>
                </w:tcPr>
                <w:p w14:paraId="520ABA2F">
                  <w:pPr>
                    <w:contextualSpacing/>
                    <w:jc w:val="center"/>
                    <w:textAlignment w:val="baseline"/>
                    <w:rPr>
                      <w:kern w:val="0"/>
                      <w:szCs w:val="21"/>
                      <w:lang w:val="zh-CN"/>
                    </w:rPr>
                  </w:pPr>
                  <w:r>
                    <w:rPr>
                      <w:rFonts w:hint="eastAsia"/>
                      <w:kern w:val="0"/>
                      <w:szCs w:val="21"/>
                      <w:lang w:val="zh-CN"/>
                    </w:rPr>
                    <w:t>0.12~0.17</w:t>
                  </w:r>
                </w:p>
              </w:tc>
              <w:tc>
                <w:tcPr>
                  <w:tcW w:w="762" w:type="pct"/>
                  <w:vAlign w:val="center"/>
                </w:tcPr>
                <w:p w14:paraId="520ABA30">
                  <w:pPr>
                    <w:contextualSpacing/>
                    <w:jc w:val="center"/>
                    <w:textAlignment w:val="baseline"/>
                    <w:rPr>
                      <w:kern w:val="0"/>
                      <w:szCs w:val="21"/>
                      <w:lang w:val="zh-CN"/>
                    </w:rPr>
                  </w:pPr>
                  <w:r>
                    <w:rPr>
                      <w:rFonts w:hint="eastAsia"/>
                      <w:kern w:val="0"/>
                      <w:szCs w:val="21"/>
                      <w:lang w:val="zh-CN"/>
                    </w:rPr>
                    <w:t>12~12.9</w:t>
                  </w:r>
                </w:p>
              </w:tc>
            </w:tr>
            <w:tr w14:paraId="520ABA3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82" w:type="pct"/>
                  <w:vAlign w:val="center"/>
                </w:tcPr>
                <w:p w14:paraId="520ABA32">
                  <w:pPr>
                    <w:contextualSpacing/>
                    <w:jc w:val="center"/>
                    <w:textAlignment w:val="baseline"/>
                    <w:rPr>
                      <w:kern w:val="0"/>
                      <w:szCs w:val="21"/>
                      <w:lang w:val="zh-CN"/>
                    </w:rPr>
                  </w:pPr>
                  <w:r>
                    <w:rPr>
                      <w:rFonts w:hint="eastAsia"/>
                      <w:bCs/>
                      <w:kern w:val="0"/>
                      <w:szCs w:val="21"/>
                    </w:rPr>
                    <w:t>2025</w:t>
                  </w:r>
                  <w:r>
                    <w:rPr>
                      <w:bCs/>
                      <w:kern w:val="0"/>
                      <w:szCs w:val="21"/>
                    </w:rPr>
                    <w:t>年</w:t>
                  </w:r>
                  <w:r>
                    <w:rPr>
                      <w:rFonts w:hint="eastAsia"/>
                      <w:bCs/>
                      <w:kern w:val="0"/>
                      <w:szCs w:val="21"/>
                    </w:rPr>
                    <w:t>1</w:t>
                  </w:r>
                  <w:r>
                    <w:rPr>
                      <w:bCs/>
                      <w:kern w:val="0"/>
                      <w:szCs w:val="21"/>
                    </w:rPr>
                    <w:t>月</w:t>
                  </w:r>
                  <w:r>
                    <w:rPr>
                      <w:rFonts w:hint="eastAsia"/>
                      <w:bCs/>
                      <w:kern w:val="0"/>
                      <w:szCs w:val="21"/>
                    </w:rPr>
                    <w:t>1</w:t>
                  </w:r>
                  <w:r>
                    <w:rPr>
                      <w:bCs/>
                      <w:kern w:val="0"/>
                      <w:szCs w:val="21"/>
                    </w:rPr>
                    <w:t>日</w:t>
                  </w:r>
                  <w:r>
                    <w:rPr>
                      <w:rFonts w:hint="eastAsia"/>
                      <w:bCs/>
                      <w:kern w:val="0"/>
                      <w:szCs w:val="21"/>
                    </w:rPr>
                    <w:t>~6</w:t>
                  </w:r>
                  <w:r>
                    <w:rPr>
                      <w:bCs/>
                      <w:kern w:val="0"/>
                      <w:szCs w:val="21"/>
                    </w:rPr>
                    <w:t>月</w:t>
                  </w:r>
                  <w:r>
                    <w:rPr>
                      <w:rFonts w:hint="eastAsia"/>
                      <w:bCs/>
                      <w:kern w:val="0"/>
                      <w:szCs w:val="21"/>
                    </w:rPr>
                    <w:t>30</w:t>
                  </w:r>
                  <w:r>
                    <w:rPr>
                      <w:bCs/>
                      <w:kern w:val="0"/>
                      <w:szCs w:val="21"/>
                    </w:rPr>
                    <w:t>日</w:t>
                  </w:r>
                  <w:r>
                    <w:rPr>
                      <w:rFonts w:hint="eastAsia"/>
                      <w:bCs/>
                      <w:kern w:val="0"/>
                      <w:szCs w:val="21"/>
                      <w:lang w:val="zh-CN"/>
                    </w:rPr>
                    <w:t>在线日均值</w:t>
                  </w:r>
                </w:p>
              </w:tc>
              <w:tc>
                <w:tcPr>
                  <w:tcW w:w="620" w:type="pct"/>
                  <w:vMerge w:val="continue"/>
                  <w:vAlign w:val="center"/>
                </w:tcPr>
                <w:p w14:paraId="520ABA33">
                  <w:pPr>
                    <w:contextualSpacing/>
                    <w:jc w:val="center"/>
                    <w:textAlignment w:val="baseline"/>
                    <w:rPr>
                      <w:kern w:val="0"/>
                      <w:szCs w:val="21"/>
                      <w:lang w:val="zh-CN"/>
                    </w:rPr>
                  </w:pPr>
                </w:p>
              </w:tc>
              <w:tc>
                <w:tcPr>
                  <w:tcW w:w="706" w:type="pct"/>
                  <w:vAlign w:val="center"/>
                </w:tcPr>
                <w:p w14:paraId="520ABA34">
                  <w:pPr>
                    <w:contextualSpacing/>
                    <w:jc w:val="center"/>
                    <w:textAlignment w:val="baseline"/>
                    <w:rPr>
                      <w:kern w:val="0"/>
                      <w:szCs w:val="21"/>
                      <w:lang w:val="zh-CN"/>
                    </w:rPr>
                  </w:pPr>
                  <w:r>
                    <w:rPr>
                      <w:rFonts w:hint="eastAsia"/>
                      <w:kern w:val="0"/>
                      <w:szCs w:val="21"/>
                      <w:lang w:val="zh-CN"/>
                    </w:rPr>
                    <w:t>8.084~84.495</w:t>
                  </w:r>
                </w:p>
              </w:tc>
              <w:tc>
                <w:tcPr>
                  <w:tcW w:w="618" w:type="pct"/>
                  <w:vAlign w:val="center"/>
                </w:tcPr>
                <w:p w14:paraId="520ABA35">
                  <w:pPr>
                    <w:contextualSpacing/>
                    <w:jc w:val="center"/>
                    <w:textAlignment w:val="baseline"/>
                    <w:rPr>
                      <w:kern w:val="0"/>
                      <w:szCs w:val="21"/>
                      <w:lang w:val="zh-CN"/>
                    </w:rPr>
                  </w:pPr>
                  <w:r>
                    <w:rPr>
                      <w:rFonts w:hint="eastAsia"/>
                      <w:kern w:val="0"/>
                      <w:szCs w:val="21"/>
                      <w:lang w:val="zh-CN"/>
                    </w:rPr>
                    <w:t>/</w:t>
                  </w:r>
                </w:p>
              </w:tc>
              <w:tc>
                <w:tcPr>
                  <w:tcW w:w="706" w:type="pct"/>
                  <w:vAlign w:val="center"/>
                </w:tcPr>
                <w:p w14:paraId="520ABA36">
                  <w:pPr>
                    <w:contextualSpacing/>
                    <w:jc w:val="center"/>
                    <w:textAlignment w:val="baseline"/>
                    <w:rPr>
                      <w:kern w:val="0"/>
                      <w:szCs w:val="21"/>
                      <w:lang w:val="zh-CN"/>
                    </w:rPr>
                  </w:pPr>
                  <w:r>
                    <w:rPr>
                      <w:rFonts w:hint="eastAsia"/>
                      <w:kern w:val="0"/>
                      <w:szCs w:val="21"/>
                      <w:lang w:val="zh-CN"/>
                    </w:rPr>
                    <w:t>0.081~8.24</w:t>
                  </w:r>
                </w:p>
              </w:tc>
              <w:tc>
                <w:tcPr>
                  <w:tcW w:w="706" w:type="pct"/>
                  <w:vAlign w:val="center"/>
                </w:tcPr>
                <w:p w14:paraId="520ABA37">
                  <w:pPr>
                    <w:contextualSpacing/>
                    <w:jc w:val="center"/>
                    <w:textAlignment w:val="baseline"/>
                    <w:rPr>
                      <w:kern w:val="0"/>
                      <w:szCs w:val="21"/>
                      <w:lang w:val="zh-CN"/>
                    </w:rPr>
                  </w:pPr>
                  <w:r>
                    <w:rPr>
                      <w:rFonts w:hint="eastAsia"/>
                      <w:kern w:val="0"/>
                      <w:szCs w:val="21"/>
                      <w:lang w:val="zh-CN"/>
                    </w:rPr>
                    <w:t>0.015~0.504</w:t>
                  </w:r>
                </w:p>
              </w:tc>
              <w:tc>
                <w:tcPr>
                  <w:tcW w:w="762" w:type="pct"/>
                  <w:vAlign w:val="center"/>
                </w:tcPr>
                <w:p w14:paraId="520ABA38">
                  <w:pPr>
                    <w:contextualSpacing/>
                    <w:jc w:val="center"/>
                    <w:textAlignment w:val="baseline"/>
                    <w:rPr>
                      <w:kern w:val="0"/>
                      <w:szCs w:val="21"/>
                      <w:lang w:val="zh-CN"/>
                    </w:rPr>
                  </w:pPr>
                  <w:r>
                    <w:rPr>
                      <w:rFonts w:hint="eastAsia"/>
                      <w:kern w:val="0"/>
                      <w:szCs w:val="21"/>
                      <w:lang w:val="zh-CN"/>
                    </w:rPr>
                    <w:t>3.504~21.761</w:t>
                  </w:r>
                </w:p>
              </w:tc>
            </w:tr>
            <w:tr w14:paraId="520ABA4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503" w:type="pct"/>
                  <w:gridSpan w:val="2"/>
                  <w:vAlign w:val="center"/>
                </w:tcPr>
                <w:p w14:paraId="520ABA3A">
                  <w:pPr>
                    <w:contextualSpacing/>
                    <w:jc w:val="center"/>
                    <w:textAlignment w:val="baseline"/>
                    <w:rPr>
                      <w:kern w:val="0"/>
                      <w:szCs w:val="21"/>
                      <w:lang w:val="zh-CN"/>
                    </w:rPr>
                  </w:pPr>
                  <w:r>
                    <w:rPr>
                      <w:rFonts w:hint="eastAsia"/>
                      <w:bCs/>
                      <w:kern w:val="0"/>
                      <w:szCs w:val="21"/>
                      <w:lang w:val="zh-CN"/>
                    </w:rPr>
                    <w:t>最大值</w:t>
                  </w:r>
                </w:p>
              </w:tc>
              <w:tc>
                <w:tcPr>
                  <w:tcW w:w="706" w:type="pct"/>
                  <w:vAlign w:val="center"/>
                </w:tcPr>
                <w:p w14:paraId="520ABA3B">
                  <w:pPr>
                    <w:contextualSpacing/>
                    <w:jc w:val="center"/>
                    <w:textAlignment w:val="baseline"/>
                    <w:rPr>
                      <w:kern w:val="0"/>
                      <w:szCs w:val="21"/>
                      <w:lang w:val="zh-CN"/>
                    </w:rPr>
                  </w:pPr>
                  <w:r>
                    <w:rPr>
                      <w:rFonts w:hint="eastAsia"/>
                      <w:kern w:val="0"/>
                      <w:szCs w:val="21"/>
                      <w:lang w:val="zh-CN"/>
                    </w:rPr>
                    <w:t>84.495</w:t>
                  </w:r>
                </w:p>
              </w:tc>
              <w:tc>
                <w:tcPr>
                  <w:tcW w:w="618" w:type="pct"/>
                  <w:vAlign w:val="center"/>
                </w:tcPr>
                <w:p w14:paraId="520ABA3C">
                  <w:pPr>
                    <w:contextualSpacing/>
                    <w:jc w:val="center"/>
                    <w:textAlignment w:val="baseline"/>
                    <w:rPr>
                      <w:kern w:val="0"/>
                      <w:szCs w:val="21"/>
                      <w:lang w:val="zh-CN"/>
                    </w:rPr>
                  </w:pPr>
                  <w:r>
                    <w:rPr>
                      <w:rFonts w:hint="eastAsia"/>
                      <w:kern w:val="0"/>
                      <w:szCs w:val="21"/>
                      <w:lang w:val="zh-CN"/>
                    </w:rPr>
                    <w:t>27</w:t>
                  </w:r>
                </w:p>
              </w:tc>
              <w:tc>
                <w:tcPr>
                  <w:tcW w:w="706" w:type="pct"/>
                  <w:vAlign w:val="center"/>
                </w:tcPr>
                <w:p w14:paraId="520ABA3D">
                  <w:pPr>
                    <w:contextualSpacing/>
                    <w:jc w:val="center"/>
                    <w:textAlignment w:val="baseline"/>
                    <w:rPr>
                      <w:kern w:val="0"/>
                      <w:szCs w:val="21"/>
                      <w:lang w:val="zh-CN"/>
                    </w:rPr>
                  </w:pPr>
                  <w:r>
                    <w:rPr>
                      <w:rFonts w:hint="eastAsia"/>
                      <w:kern w:val="0"/>
                      <w:szCs w:val="21"/>
                      <w:lang w:val="zh-CN"/>
                    </w:rPr>
                    <w:t>8.24</w:t>
                  </w:r>
                </w:p>
              </w:tc>
              <w:tc>
                <w:tcPr>
                  <w:tcW w:w="706" w:type="pct"/>
                  <w:vAlign w:val="center"/>
                </w:tcPr>
                <w:p w14:paraId="520ABA3E">
                  <w:pPr>
                    <w:contextualSpacing/>
                    <w:jc w:val="center"/>
                    <w:textAlignment w:val="baseline"/>
                    <w:rPr>
                      <w:kern w:val="0"/>
                      <w:szCs w:val="21"/>
                      <w:lang w:val="zh-CN"/>
                    </w:rPr>
                  </w:pPr>
                  <w:r>
                    <w:rPr>
                      <w:rFonts w:hint="eastAsia"/>
                      <w:kern w:val="0"/>
                      <w:szCs w:val="21"/>
                      <w:lang w:val="zh-CN"/>
                    </w:rPr>
                    <w:t>0.504</w:t>
                  </w:r>
                </w:p>
              </w:tc>
              <w:tc>
                <w:tcPr>
                  <w:tcW w:w="762" w:type="pct"/>
                  <w:vAlign w:val="center"/>
                </w:tcPr>
                <w:p w14:paraId="520ABA3F">
                  <w:pPr>
                    <w:contextualSpacing/>
                    <w:jc w:val="center"/>
                    <w:textAlignment w:val="baseline"/>
                    <w:rPr>
                      <w:kern w:val="0"/>
                      <w:szCs w:val="21"/>
                      <w:lang w:val="zh-CN"/>
                    </w:rPr>
                  </w:pPr>
                  <w:r>
                    <w:rPr>
                      <w:rFonts w:hint="eastAsia"/>
                      <w:kern w:val="0"/>
                      <w:szCs w:val="21"/>
                      <w:lang w:val="zh-CN"/>
                    </w:rPr>
                    <w:t>21.761</w:t>
                  </w:r>
                </w:p>
              </w:tc>
            </w:tr>
            <w:tr w14:paraId="520ABA4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503" w:type="pct"/>
                  <w:gridSpan w:val="2"/>
                  <w:vAlign w:val="center"/>
                </w:tcPr>
                <w:p w14:paraId="520ABA41">
                  <w:pPr>
                    <w:contextualSpacing/>
                    <w:jc w:val="center"/>
                    <w:textAlignment w:val="baseline"/>
                    <w:rPr>
                      <w:kern w:val="0"/>
                      <w:szCs w:val="21"/>
                      <w:lang w:val="zh-CN"/>
                    </w:rPr>
                  </w:pPr>
                  <w:r>
                    <w:rPr>
                      <w:kern w:val="0"/>
                      <w:szCs w:val="21"/>
                      <w:lang w:val="zh-CN"/>
                    </w:rPr>
                    <w:t>排放标准</w:t>
                  </w:r>
                </w:p>
              </w:tc>
              <w:tc>
                <w:tcPr>
                  <w:tcW w:w="706" w:type="pct"/>
                  <w:vAlign w:val="center"/>
                </w:tcPr>
                <w:p w14:paraId="520ABA42">
                  <w:pPr>
                    <w:contextualSpacing/>
                    <w:jc w:val="center"/>
                    <w:textAlignment w:val="baseline"/>
                    <w:rPr>
                      <w:kern w:val="0"/>
                      <w:szCs w:val="21"/>
                      <w:lang w:val="zh-CN"/>
                    </w:rPr>
                  </w:pPr>
                  <w:r>
                    <w:rPr>
                      <w:rFonts w:hint="eastAsia"/>
                      <w:kern w:val="0"/>
                      <w:szCs w:val="21"/>
                      <w:lang w:val="zh-CN"/>
                    </w:rPr>
                    <w:t>150</w:t>
                  </w:r>
                </w:p>
              </w:tc>
              <w:tc>
                <w:tcPr>
                  <w:tcW w:w="618" w:type="pct"/>
                  <w:vAlign w:val="center"/>
                </w:tcPr>
                <w:p w14:paraId="520ABA43">
                  <w:pPr>
                    <w:contextualSpacing/>
                    <w:jc w:val="center"/>
                    <w:textAlignment w:val="baseline"/>
                    <w:rPr>
                      <w:kern w:val="0"/>
                      <w:szCs w:val="21"/>
                      <w:lang w:val="zh-CN"/>
                    </w:rPr>
                  </w:pPr>
                  <w:r>
                    <w:rPr>
                      <w:rFonts w:hint="eastAsia"/>
                      <w:kern w:val="0"/>
                      <w:szCs w:val="21"/>
                      <w:lang w:val="zh-CN"/>
                    </w:rPr>
                    <w:t>150</w:t>
                  </w:r>
                </w:p>
              </w:tc>
              <w:tc>
                <w:tcPr>
                  <w:tcW w:w="706" w:type="pct"/>
                  <w:vAlign w:val="center"/>
                </w:tcPr>
                <w:p w14:paraId="520ABA44">
                  <w:pPr>
                    <w:contextualSpacing/>
                    <w:jc w:val="center"/>
                    <w:textAlignment w:val="baseline"/>
                    <w:rPr>
                      <w:kern w:val="0"/>
                      <w:szCs w:val="21"/>
                      <w:lang w:val="zh-CN"/>
                    </w:rPr>
                  </w:pPr>
                  <w:r>
                    <w:rPr>
                      <w:rFonts w:hint="eastAsia"/>
                      <w:kern w:val="0"/>
                      <w:szCs w:val="21"/>
                      <w:lang w:val="zh-CN"/>
                    </w:rPr>
                    <w:t>25</w:t>
                  </w:r>
                </w:p>
              </w:tc>
              <w:tc>
                <w:tcPr>
                  <w:tcW w:w="706" w:type="pct"/>
                  <w:vAlign w:val="center"/>
                </w:tcPr>
                <w:p w14:paraId="520ABA45">
                  <w:pPr>
                    <w:contextualSpacing/>
                    <w:jc w:val="center"/>
                    <w:textAlignment w:val="baseline"/>
                    <w:rPr>
                      <w:kern w:val="0"/>
                      <w:szCs w:val="21"/>
                      <w:lang w:val="zh-CN"/>
                    </w:rPr>
                  </w:pPr>
                  <w:r>
                    <w:rPr>
                      <w:rFonts w:hint="eastAsia"/>
                      <w:kern w:val="0"/>
                      <w:szCs w:val="21"/>
                      <w:lang w:val="zh-CN"/>
                    </w:rPr>
                    <w:t>1.0</w:t>
                  </w:r>
                </w:p>
              </w:tc>
              <w:tc>
                <w:tcPr>
                  <w:tcW w:w="762" w:type="pct"/>
                  <w:vAlign w:val="center"/>
                </w:tcPr>
                <w:p w14:paraId="520ABA46">
                  <w:pPr>
                    <w:contextualSpacing/>
                    <w:jc w:val="center"/>
                    <w:textAlignment w:val="baseline"/>
                    <w:rPr>
                      <w:bCs/>
                      <w:kern w:val="0"/>
                      <w:szCs w:val="21"/>
                      <w:lang w:val="zh-CN"/>
                    </w:rPr>
                  </w:pPr>
                  <w:r>
                    <w:rPr>
                      <w:rFonts w:hint="eastAsia"/>
                      <w:bCs/>
                      <w:kern w:val="0"/>
                      <w:szCs w:val="21"/>
                      <w:lang w:val="zh-CN"/>
                    </w:rPr>
                    <w:t>40</w:t>
                  </w:r>
                </w:p>
              </w:tc>
            </w:tr>
            <w:tr w14:paraId="520ABA4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82" w:type="pct"/>
                  <w:vAlign w:val="center"/>
                </w:tcPr>
                <w:p w14:paraId="520ABA48">
                  <w:pPr>
                    <w:contextualSpacing/>
                    <w:jc w:val="center"/>
                    <w:textAlignment w:val="baseline"/>
                    <w:rPr>
                      <w:b/>
                      <w:bCs/>
                      <w:kern w:val="0"/>
                      <w:szCs w:val="21"/>
                      <w:lang w:val="zh-CN"/>
                    </w:rPr>
                  </w:pPr>
                  <w:r>
                    <w:rPr>
                      <w:b/>
                      <w:bCs/>
                      <w:kern w:val="0"/>
                      <w:szCs w:val="21"/>
                      <w:lang w:val="zh-CN"/>
                    </w:rPr>
                    <w:t>监</w:t>
                  </w:r>
                  <w:r>
                    <w:rPr>
                      <w:rFonts w:hint="eastAsia"/>
                      <w:b/>
                      <w:bCs/>
                      <w:kern w:val="0"/>
                      <w:szCs w:val="21"/>
                      <w:lang w:val="zh-CN"/>
                    </w:rPr>
                    <w:t>测</w:t>
                  </w:r>
                  <w:r>
                    <w:rPr>
                      <w:b/>
                      <w:bCs/>
                      <w:kern w:val="0"/>
                      <w:szCs w:val="21"/>
                      <w:lang w:val="zh-CN"/>
                    </w:rPr>
                    <w:t>时间</w:t>
                  </w:r>
                </w:p>
              </w:tc>
              <w:tc>
                <w:tcPr>
                  <w:tcW w:w="620" w:type="pct"/>
                  <w:vAlign w:val="center"/>
                </w:tcPr>
                <w:p w14:paraId="520ABA49">
                  <w:pPr>
                    <w:contextualSpacing/>
                    <w:jc w:val="center"/>
                    <w:textAlignment w:val="baseline"/>
                    <w:rPr>
                      <w:b/>
                      <w:bCs/>
                      <w:kern w:val="0"/>
                      <w:szCs w:val="21"/>
                      <w:lang w:val="zh-CN"/>
                    </w:rPr>
                  </w:pPr>
                  <w:r>
                    <w:rPr>
                      <w:b/>
                      <w:bCs/>
                      <w:kern w:val="0"/>
                      <w:szCs w:val="21"/>
                      <w:lang w:val="zh-CN"/>
                    </w:rPr>
                    <w:t>检测点位</w:t>
                  </w:r>
                </w:p>
              </w:tc>
              <w:tc>
                <w:tcPr>
                  <w:tcW w:w="706" w:type="pct"/>
                  <w:vAlign w:val="center"/>
                </w:tcPr>
                <w:p w14:paraId="520ABA4A">
                  <w:pPr>
                    <w:contextualSpacing/>
                    <w:jc w:val="center"/>
                    <w:textAlignment w:val="baseline"/>
                    <w:rPr>
                      <w:b/>
                      <w:bCs/>
                      <w:kern w:val="0"/>
                      <w:szCs w:val="21"/>
                      <w:lang w:val="zh-CN"/>
                    </w:rPr>
                  </w:pPr>
                  <w:r>
                    <w:rPr>
                      <w:rFonts w:hint="eastAsia"/>
                      <w:b/>
                      <w:bCs/>
                      <w:kern w:val="0"/>
                      <w:szCs w:val="21"/>
                      <w:lang w:val="zh-CN"/>
                    </w:rPr>
                    <w:t>B</w:t>
                  </w:r>
                  <w:r>
                    <w:rPr>
                      <w:b/>
                      <w:bCs/>
                      <w:kern w:val="0"/>
                      <w:szCs w:val="21"/>
                      <w:lang w:val="zh-CN"/>
                    </w:rPr>
                    <w:t>OD</w:t>
                  </w:r>
                  <w:r>
                    <w:rPr>
                      <w:b/>
                      <w:bCs/>
                      <w:kern w:val="0"/>
                      <w:szCs w:val="21"/>
                      <w:vertAlign w:val="subscript"/>
                      <w:lang w:val="zh-CN"/>
                    </w:rPr>
                    <w:t>5</w:t>
                  </w:r>
                </w:p>
              </w:tc>
              <w:tc>
                <w:tcPr>
                  <w:tcW w:w="618" w:type="pct"/>
                  <w:vAlign w:val="center"/>
                </w:tcPr>
                <w:p w14:paraId="520ABA4B">
                  <w:pPr>
                    <w:contextualSpacing/>
                    <w:jc w:val="center"/>
                    <w:textAlignment w:val="baseline"/>
                    <w:rPr>
                      <w:b/>
                      <w:bCs/>
                      <w:kern w:val="0"/>
                      <w:szCs w:val="21"/>
                      <w:lang w:val="zh-CN"/>
                    </w:rPr>
                  </w:pPr>
                  <w:r>
                    <w:rPr>
                      <w:rFonts w:hint="eastAsia"/>
                      <w:b/>
                      <w:bCs/>
                      <w:kern w:val="0"/>
                      <w:szCs w:val="21"/>
                      <w:lang w:val="zh-CN"/>
                    </w:rPr>
                    <w:t>总铁</w:t>
                  </w:r>
                </w:p>
              </w:tc>
              <w:tc>
                <w:tcPr>
                  <w:tcW w:w="706" w:type="pct"/>
                  <w:vAlign w:val="center"/>
                </w:tcPr>
                <w:p w14:paraId="520ABA4C">
                  <w:pPr>
                    <w:contextualSpacing/>
                    <w:jc w:val="center"/>
                    <w:textAlignment w:val="baseline"/>
                    <w:rPr>
                      <w:b/>
                      <w:bCs/>
                      <w:kern w:val="0"/>
                      <w:szCs w:val="21"/>
                      <w:lang w:val="zh-CN"/>
                    </w:rPr>
                  </w:pPr>
                  <w:r>
                    <w:rPr>
                      <w:rFonts w:hint="eastAsia"/>
                      <w:b/>
                      <w:bCs/>
                      <w:kern w:val="0"/>
                      <w:szCs w:val="21"/>
                      <w:lang w:val="zh-CN"/>
                    </w:rPr>
                    <w:t>总铝</w:t>
                  </w:r>
                </w:p>
              </w:tc>
              <w:tc>
                <w:tcPr>
                  <w:tcW w:w="1468" w:type="pct"/>
                  <w:gridSpan w:val="2"/>
                  <w:vAlign w:val="center"/>
                </w:tcPr>
                <w:p w14:paraId="520ABA4D">
                  <w:pPr>
                    <w:contextualSpacing/>
                    <w:jc w:val="center"/>
                    <w:textAlignment w:val="baseline"/>
                    <w:rPr>
                      <w:b/>
                      <w:bCs/>
                      <w:kern w:val="0"/>
                      <w:szCs w:val="21"/>
                      <w:lang w:val="zh-CN"/>
                    </w:rPr>
                  </w:pPr>
                  <w:r>
                    <w:rPr>
                      <w:rFonts w:hint="eastAsia"/>
                      <w:b/>
                      <w:bCs/>
                      <w:kern w:val="0"/>
                      <w:szCs w:val="21"/>
                      <w:lang w:val="zh-CN"/>
                    </w:rPr>
                    <w:t>阴离子表面活性剂</w:t>
                  </w:r>
                </w:p>
              </w:tc>
            </w:tr>
            <w:tr w14:paraId="520ABA5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82" w:type="pct"/>
                  <w:vAlign w:val="center"/>
                </w:tcPr>
                <w:p w14:paraId="520ABA4F">
                  <w:pPr>
                    <w:contextualSpacing/>
                    <w:jc w:val="center"/>
                    <w:textAlignment w:val="baseline"/>
                    <w:rPr>
                      <w:kern w:val="0"/>
                      <w:szCs w:val="21"/>
                      <w:lang w:val="zh-CN"/>
                    </w:rPr>
                  </w:pPr>
                  <w:r>
                    <w:rPr>
                      <w:rFonts w:hint="eastAsia"/>
                      <w:bCs/>
                      <w:kern w:val="0"/>
                      <w:szCs w:val="21"/>
                      <w:lang w:val="zh-CN"/>
                    </w:rPr>
                    <w:t>2025.4.29</w:t>
                  </w:r>
                </w:p>
              </w:tc>
              <w:tc>
                <w:tcPr>
                  <w:tcW w:w="620" w:type="pct"/>
                  <w:vMerge w:val="restart"/>
                  <w:vAlign w:val="center"/>
                </w:tcPr>
                <w:p w14:paraId="520ABA50">
                  <w:pPr>
                    <w:contextualSpacing/>
                    <w:jc w:val="center"/>
                    <w:textAlignment w:val="baseline"/>
                    <w:rPr>
                      <w:kern w:val="0"/>
                      <w:szCs w:val="21"/>
                      <w:lang w:val="zh-CN"/>
                    </w:rPr>
                  </w:pPr>
                  <w:r>
                    <w:rPr>
                      <w:rFonts w:hint="eastAsia"/>
                      <w:kern w:val="0"/>
                      <w:szCs w:val="21"/>
                      <w:lang w:val="zh-CN"/>
                    </w:rPr>
                    <w:t>厂区总排口</w:t>
                  </w:r>
                </w:p>
              </w:tc>
              <w:tc>
                <w:tcPr>
                  <w:tcW w:w="706" w:type="pct"/>
                  <w:vAlign w:val="center"/>
                </w:tcPr>
                <w:p w14:paraId="520ABA51">
                  <w:pPr>
                    <w:contextualSpacing/>
                    <w:jc w:val="center"/>
                    <w:textAlignment w:val="baseline"/>
                    <w:rPr>
                      <w:kern w:val="0"/>
                      <w:szCs w:val="21"/>
                      <w:lang w:val="zh-CN"/>
                    </w:rPr>
                  </w:pPr>
                  <w:r>
                    <w:rPr>
                      <w:rFonts w:hint="eastAsia"/>
                      <w:kern w:val="0"/>
                      <w:szCs w:val="21"/>
                      <w:lang w:val="zh-CN"/>
                    </w:rPr>
                    <w:t>15.3~18.2</w:t>
                  </w:r>
                </w:p>
              </w:tc>
              <w:tc>
                <w:tcPr>
                  <w:tcW w:w="618" w:type="pct"/>
                  <w:vAlign w:val="center"/>
                </w:tcPr>
                <w:p w14:paraId="520ABA52">
                  <w:pPr>
                    <w:contextualSpacing/>
                    <w:jc w:val="center"/>
                    <w:textAlignment w:val="baseline"/>
                    <w:rPr>
                      <w:kern w:val="0"/>
                      <w:szCs w:val="21"/>
                      <w:lang w:val="zh-CN"/>
                    </w:rPr>
                  </w:pPr>
                  <w:r>
                    <w:rPr>
                      <w:rFonts w:hint="eastAsia"/>
                      <w:kern w:val="0"/>
                      <w:szCs w:val="21"/>
                      <w:lang w:val="zh-CN"/>
                    </w:rPr>
                    <w:t>1.02~1.17</w:t>
                  </w:r>
                </w:p>
              </w:tc>
              <w:tc>
                <w:tcPr>
                  <w:tcW w:w="706" w:type="pct"/>
                  <w:vAlign w:val="center"/>
                </w:tcPr>
                <w:p w14:paraId="520ABA53">
                  <w:pPr>
                    <w:contextualSpacing/>
                    <w:jc w:val="center"/>
                    <w:textAlignment w:val="baseline"/>
                    <w:rPr>
                      <w:kern w:val="0"/>
                      <w:szCs w:val="21"/>
                      <w:lang w:val="zh-CN"/>
                    </w:rPr>
                  </w:pPr>
                  <w:r>
                    <w:rPr>
                      <w:rFonts w:hint="eastAsia"/>
                      <w:kern w:val="0"/>
                      <w:szCs w:val="21"/>
                      <w:lang w:val="zh-CN"/>
                    </w:rPr>
                    <w:t>0.5~0.7</w:t>
                  </w:r>
                </w:p>
              </w:tc>
              <w:tc>
                <w:tcPr>
                  <w:tcW w:w="1468" w:type="pct"/>
                  <w:gridSpan w:val="2"/>
                  <w:vAlign w:val="center"/>
                </w:tcPr>
                <w:p w14:paraId="520ABA54">
                  <w:pPr>
                    <w:contextualSpacing/>
                    <w:jc w:val="center"/>
                    <w:textAlignment w:val="baseline"/>
                    <w:rPr>
                      <w:bCs/>
                      <w:kern w:val="0"/>
                      <w:szCs w:val="21"/>
                      <w:lang w:val="zh-CN"/>
                    </w:rPr>
                  </w:pPr>
                  <w:r>
                    <w:rPr>
                      <w:rFonts w:hint="eastAsia"/>
                      <w:bCs/>
                      <w:kern w:val="0"/>
                      <w:szCs w:val="21"/>
                      <w:lang w:val="zh-CN"/>
                    </w:rPr>
                    <w:t>1.01~1.06</w:t>
                  </w:r>
                </w:p>
              </w:tc>
            </w:tr>
            <w:tr w14:paraId="520ABA5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82" w:type="pct"/>
                  <w:vAlign w:val="center"/>
                </w:tcPr>
                <w:p w14:paraId="520ABA56">
                  <w:pPr>
                    <w:contextualSpacing/>
                    <w:jc w:val="center"/>
                    <w:textAlignment w:val="baseline"/>
                    <w:rPr>
                      <w:kern w:val="0"/>
                      <w:szCs w:val="21"/>
                      <w:lang w:val="zh-CN"/>
                    </w:rPr>
                  </w:pPr>
                  <w:r>
                    <w:rPr>
                      <w:rFonts w:hint="eastAsia"/>
                      <w:bCs/>
                      <w:kern w:val="0"/>
                      <w:szCs w:val="21"/>
                    </w:rPr>
                    <w:t>2025</w:t>
                  </w:r>
                  <w:r>
                    <w:rPr>
                      <w:bCs/>
                      <w:kern w:val="0"/>
                      <w:szCs w:val="21"/>
                    </w:rPr>
                    <w:t>年</w:t>
                  </w:r>
                  <w:r>
                    <w:rPr>
                      <w:rFonts w:hint="eastAsia"/>
                      <w:bCs/>
                      <w:kern w:val="0"/>
                      <w:szCs w:val="21"/>
                    </w:rPr>
                    <w:t>1</w:t>
                  </w:r>
                  <w:r>
                    <w:rPr>
                      <w:bCs/>
                      <w:kern w:val="0"/>
                      <w:szCs w:val="21"/>
                    </w:rPr>
                    <w:t>月</w:t>
                  </w:r>
                  <w:r>
                    <w:rPr>
                      <w:rFonts w:hint="eastAsia"/>
                      <w:bCs/>
                      <w:kern w:val="0"/>
                      <w:szCs w:val="21"/>
                    </w:rPr>
                    <w:t>1</w:t>
                  </w:r>
                  <w:r>
                    <w:rPr>
                      <w:bCs/>
                      <w:kern w:val="0"/>
                      <w:szCs w:val="21"/>
                    </w:rPr>
                    <w:t>日</w:t>
                  </w:r>
                  <w:r>
                    <w:rPr>
                      <w:rFonts w:hint="eastAsia"/>
                      <w:bCs/>
                      <w:kern w:val="0"/>
                      <w:szCs w:val="21"/>
                    </w:rPr>
                    <w:t>~6</w:t>
                  </w:r>
                  <w:r>
                    <w:rPr>
                      <w:bCs/>
                      <w:kern w:val="0"/>
                      <w:szCs w:val="21"/>
                    </w:rPr>
                    <w:t>月</w:t>
                  </w:r>
                  <w:r>
                    <w:rPr>
                      <w:rFonts w:hint="eastAsia"/>
                      <w:bCs/>
                      <w:kern w:val="0"/>
                      <w:szCs w:val="21"/>
                    </w:rPr>
                    <w:t>30</w:t>
                  </w:r>
                  <w:r>
                    <w:rPr>
                      <w:bCs/>
                      <w:kern w:val="0"/>
                      <w:szCs w:val="21"/>
                    </w:rPr>
                    <w:t>日</w:t>
                  </w:r>
                  <w:r>
                    <w:rPr>
                      <w:rFonts w:hint="eastAsia"/>
                      <w:bCs/>
                      <w:kern w:val="0"/>
                      <w:szCs w:val="21"/>
                      <w:lang w:val="zh-CN"/>
                    </w:rPr>
                    <w:t>在线日均值</w:t>
                  </w:r>
                </w:p>
              </w:tc>
              <w:tc>
                <w:tcPr>
                  <w:tcW w:w="620" w:type="pct"/>
                  <w:vMerge w:val="continue"/>
                  <w:vAlign w:val="center"/>
                </w:tcPr>
                <w:p w14:paraId="520ABA57">
                  <w:pPr>
                    <w:contextualSpacing/>
                    <w:jc w:val="center"/>
                    <w:textAlignment w:val="baseline"/>
                    <w:rPr>
                      <w:kern w:val="0"/>
                      <w:szCs w:val="21"/>
                      <w:lang w:val="zh-CN"/>
                    </w:rPr>
                  </w:pPr>
                </w:p>
              </w:tc>
              <w:tc>
                <w:tcPr>
                  <w:tcW w:w="706" w:type="pct"/>
                  <w:vAlign w:val="center"/>
                </w:tcPr>
                <w:p w14:paraId="520ABA58">
                  <w:pPr>
                    <w:contextualSpacing/>
                    <w:jc w:val="center"/>
                    <w:textAlignment w:val="baseline"/>
                    <w:rPr>
                      <w:kern w:val="0"/>
                      <w:szCs w:val="21"/>
                      <w:lang w:val="zh-CN"/>
                    </w:rPr>
                  </w:pPr>
                  <w:r>
                    <w:rPr>
                      <w:rFonts w:hint="eastAsia"/>
                      <w:kern w:val="0"/>
                      <w:szCs w:val="21"/>
                      <w:lang w:val="zh-CN"/>
                    </w:rPr>
                    <w:t>/</w:t>
                  </w:r>
                </w:p>
              </w:tc>
              <w:tc>
                <w:tcPr>
                  <w:tcW w:w="618" w:type="pct"/>
                  <w:vAlign w:val="center"/>
                </w:tcPr>
                <w:p w14:paraId="520ABA59">
                  <w:pPr>
                    <w:contextualSpacing/>
                    <w:jc w:val="center"/>
                    <w:textAlignment w:val="baseline"/>
                    <w:rPr>
                      <w:kern w:val="0"/>
                      <w:szCs w:val="21"/>
                      <w:lang w:val="zh-CN"/>
                    </w:rPr>
                  </w:pPr>
                  <w:r>
                    <w:rPr>
                      <w:rFonts w:hint="eastAsia"/>
                      <w:kern w:val="0"/>
                      <w:szCs w:val="21"/>
                      <w:lang w:val="zh-CN"/>
                    </w:rPr>
                    <w:t>/</w:t>
                  </w:r>
                </w:p>
              </w:tc>
              <w:tc>
                <w:tcPr>
                  <w:tcW w:w="706" w:type="pct"/>
                  <w:vAlign w:val="center"/>
                </w:tcPr>
                <w:p w14:paraId="520ABA5A">
                  <w:pPr>
                    <w:contextualSpacing/>
                    <w:jc w:val="center"/>
                    <w:textAlignment w:val="baseline"/>
                    <w:rPr>
                      <w:kern w:val="0"/>
                      <w:szCs w:val="21"/>
                      <w:lang w:val="zh-CN"/>
                    </w:rPr>
                  </w:pPr>
                  <w:r>
                    <w:rPr>
                      <w:rFonts w:hint="eastAsia"/>
                      <w:kern w:val="0"/>
                      <w:szCs w:val="21"/>
                      <w:lang w:val="zh-CN"/>
                    </w:rPr>
                    <w:t>/</w:t>
                  </w:r>
                </w:p>
              </w:tc>
              <w:tc>
                <w:tcPr>
                  <w:tcW w:w="1468" w:type="pct"/>
                  <w:gridSpan w:val="2"/>
                  <w:vAlign w:val="center"/>
                </w:tcPr>
                <w:p w14:paraId="520ABA5B">
                  <w:pPr>
                    <w:contextualSpacing/>
                    <w:jc w:val="center"/>
                    <w:textAlignment w:val="baseline"/>
                    <w:rPr>
                      <w:kern w:val="0"/>
                      <w:szCs w:val="21"/>
                      <w:lang w:val="zh-CN"/>
                    </w:rPr>
                  </w:pPr>
                  <w:r>
                    <w:rPr>
                      <w:rFonts w:hint="eastAsia"/>
                      <w:kern w:val="0"/>
                      <w:szCs w:val="21"/>
                      <w:lang w:val="zh-CN"/>
                    </w:rPr>
                    <w:t>/</w:t>
                  </w:r>
                </w:p>
              </w:tc>
            </w:tr>
            <w:tr w14:paraId="520ABA6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503" w:type="pct"/>
                  <w:gridSpan w:val="2"/>
                  <w:vAlign w:val="center"/>
                </w:tcPr>
                <w:p w14:paraId="520ABA5D">
                  <w:pPr>
                    <w:contextualSpacing/>
                    <w:jc w:val="center"/>
                    <w:textAlignment w:val="baseline"/>
                    <w:rPr>
                      <w:kern w:val="0"/>
                      <w:szCs w:val="21"/>
                      <w:lang w:val="zh-CN"/>
                    </w:rPr>
                  </w:pPr>
                  <w:r>
                    <w:rPr>
                      <w:rFonts w:hint="eastAsia"/>
                      <w:bCs/>
                      <w:kern w:val="0"/>
                      <w:szCs w:val="21"/>
                      <w:lang w:val="zh-CN"/>
                    </w:rPr>
                    <w:t>最大值</w:t>
                  </w:r>
                </w:p>
              </w:tc>
              <w:tc>
                <w:tcPr>
                  <w:tcW w:w="706" w:type="pct"/>
                  <w:vAlign w:val="center"/>
                </w:tcPr>
                <w:p w14:paraId="520ABA5E">
                  <w:pPr>
                    <w:contextualSpacing/>
                    <w:jc w:val="center"/>
                    <w:textAlignment w:val="baseline"/>
                    <w:rPr>
                      <w:kern w:val="0"/>
                      <w:szCs w:val="21"/>
                      <w:lang w:val="zh-CN"/>
                    </w:rPr>
                  </w:pPr>
                  <w:r>
                    <w:rPr>
                      <w:rFonts w:hint="eastAsia"/>
                      <w:kern w:val="0"/>
                      <w:szCs w:val="21"/>
                      <w:lang w:val="zh-CN"/>
                    </w:rPr>
                    <w:t>18.2</w:t>
                  </w:r>
                </w:p>
              </w:tc>
              <w:tc>
                <w:tcPr>
                  <w:tcW w:w="618" w:type="pct"/>
                  <w:vAlign w:val="center"/>
                </w:tcPr>
                <w:p w14:paraId="520ABA5F">
                  <w:pPr>
                    <w:contextualSpacing/>
                    <w:jc w:val="center"/>
                    <w:textAlignment w:val="baseline"/>
                    <w:rPr>
                      <w:kern w:val="0"/>
                      <w:szCs w:val="21"/>
                      <w:lang w:val="zh-CN"/>
                    </w:rPr>
                  </w:pPr>
                  <w:r>
                    <w:rPr>
                      <w:rFonts w:hint="eastAsia"/>
                      <w:kern w:val="0"/>
                      <w:szCs w:val="21"/>
                      <w:lang w:val="zh-CN"/>
                    </w:rPr>
                    <w:t>1.17</w:t>
                  </w:r>
                </w:p>
              </w:tc>
              <w:tc>
                <w:tcPr>
                  <w:tcW w:w="706" w:type="pct"/>
                  <w:vAlign w:val="center"/>
                </w:tcPr>
                <w:p w14:paraId="520ABA60">
                  <w:pPr>
                    <w:contextualSpacing/>
                    <w:jc w:val="center"/>
                    <w:textAlignment w:val="baseline"/>
                    <w:rPr>
                      <w:kern w:val="0"/>
                      <w:szCs w:val="21"/>
                      <w:lang w:val="zh-CN"/>
                    </w:rPr>
                  </w:pPr>
                  <w:r>
                    <w:rPr>
                      <w:rFonts w:hint="eastAsia"/>
                      <w:kern w:val="0"/>
                      <w:szCs w:val="21"/>
                      <w:lang w:val="zh-CN"/>
                    </w:rPr>
                    <w:t>0.7</w:t>
                  </w:r>
                </w:p>
              </w:tc>
              <w:tc>
                <w:tcPr>
                  <w:tcW w:w="1468" w:type="pct"/>
                  <w:gridSpan w:val="2"/>
                  <w:vAlign w:val="center"/>
                </w:tcPr>
                <w:p w14:paraId="520ABA61">
                  <w:pPr>
                    <w:contextualSpacing/>
                    <w:jc w:val="center"/>
                    <w:textAlignment w:val="baseline"/>
                    <w:rPr>
                      <w:kern w:val="0"/>
                      <w:szCs w:val="21"/>
                      <w:lang w:val="zh-CN"/>
                    </w:rPr>
                  </w:pPr>
                  <w:r>
                    <w:rPr>
                      <w:rFonts w:hint="eastAsia"/>
                      <w:kern w:val="0"/>
                      <w:szCs w:val="21"/>
                      <w:lang w:val="zh-CN"/>
                    </w:rPr>
                    <w:t>1.06</w:t>
                  </w:r>
                </w:p>
              </w:tc>
            </w:tr>
            <w:tr w14:paraId="520ABA6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503" w:type="pct"/>
                  <w:gridSpan w:val="2"/>
                  <w:vAlign w:val="center"/>
                </w:tcPr>
                <w:p w14:paraId="520ABA63">
                  <w:pPr>
                    <w:contextualSpacing/>
                    <w:jc w:val="center"/>
                    <w:textAlignment w:val="baseline"/>
                    <w:rPr>
                      <w:kern w:val="0"/>
                      <w:szCs w:val="21"/>
                      <w:lang w:val="zh-CN"/>
                    </w:rPr>
                  </w:pPr>
                  <w:r>
                    <w:rPr>
                      <w:kern w:val="0"/>
                      <w:szCs w:val="21"/>
                      <w:lang w:val="zh-CN"/>
                    </w:rPr>
                    <w:t>排放标准</w:t>
                  </w:r>
                </w:p>
              </w:tc>
              <w:tc>
                <w:tcPr>
                  <w:tcW w:w="706" w:type="pct"/>
                  <w:vAlign w:val="center"/>
                </w:tcPr>
                <w:p w14:paraId="520ABA64">
                  <w:pPr>
                    <w:contextualSpacing/>
                    <w:jc w:val="center"/>
                    <w:textAlignment w:val="baseline"/>
                    <w:rPr>
                      <w:kern w:val="0"/>
                      <w:szCs w:val="21"/>
                      <w:lang w:val="zh-CN"/>
                    </w:rPr>
                  </w:pPr>
                  <w:r>
                    <w:rPr>
                      <w:kern w:val="0"/>
                      <w:szCs w:val="21"/>
                      <w:lang w:val="zh-CN"/>
                    </w:rPr>
                    <w:t>30</w:t>
                  </w:r>
                </w:p>
              </w:tc>
              <w:tc>
                <w:tcPr>
                  <w:tcW w:w="618" w:type="pct"/>
                  <w:vAlign w:val="center"/>
                </w:tcPr>
                <w:p w14:paraId="520ABA65">
                  <w:pPr>
                    <w:contextualSpacing/>
                    <w:jc w:val="center"/>
                    <w:textAlignment w:val="baseline"/>
                    <w:rPr>
                      <w:kern w:val="0"/>
                      <w:szCs w:val="21"/>
                      <w:lang w:val="zh-CN"/>
                    </w:rPr>
                  </w:pPr>
                  <w:r>
                    <w:rPr>
                      <w:kern w:val="0"/>
                      <w:szCs w:val="21"/>
                      <w:lang w:val="zh-CN"/>
                    </w:rPr>
                    <w:t>3.0</w:t>
                  </w:r>
                </w:p>
              </w:tc>
              <w:tc>
                <w:tcPr>
                  <w:tcW w:w="706" w:type="pct"/>
                  <w:vAlign w:val="center"/>
                </w:tcPr>
                <w:p w14:paraId="520ABA66">
                  <w:pPr>
                    <w:contextualSpacing/>
                    <w:jc w:val="center"/>
                    <w:textAlignment w:val="baseline"/>
                    <w:rPr>
                      <w:kern w:val="0"/>
                      <w:szCs w:val="21"/>
                      <w:lang w:val="zh-CN"/>
                    </w:rPr>
                  </w:pPr>
                  <w:r>
                    <w:rPr>
                      <w:kern w:val="0"/>
                      <w:szCs w:val="21"/>
                      <w:lang w:val="zh-CN"/>
                    </w:rPr>
                    <w:t>3.0</w:t>
                  </w:r>
                </w:p>
              </w:tc>
              <w:tc>
                <w:tcPr>
                  <w:tcW w:w="1468" w:type="pct"/>
                  <w:gridSpan w:val="2"/>
                  <w:vAlign w:val="center"/>
                </w:tcPr>
                <w:p w14:paraId="520ABA67">
                  <w:pPr>
                    <w:contextualSpacing/>
                    <w:jc w:val="center"/>
                    <w:textAlignment w:val="baseline"/>
                    <w:rPr>
                      <w:bCs/>
                      <w:kern w:val="0"/>
                      <w:szCs w:val="21"/>
                      <w:lang w:val="zh-CN"/>
                    </w:rPr>
                  </w:pPr>
                  <w:r>
                    <w:rPr>
                      <w:kern w:val="0"/>
                      <w:szCs w:val="21"/>
                      <w:lang w:val="zh-CN"/>
                    </w:rPr>
                    <w:t>10</w:t>
                  </w:r>
                </w:p>
              </w:tc>
            </w:tr>
            <w:tr w14:paraId="520ABA6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000" w:type="pct"/>
                  <w:gridSpan w:val="7"/>
                  <w:vAlign w:val="center"/>
                </w:tcPr>
                <w:p w14:paraId="520ABA69">
                  <w:pPr>
                    <w:contextualSpacing/>
                    <w:textAlignment w:val="baseline"/>
                    <w:rPr>
                      <w:kern w:val="0"/>
                      <w:szCs w:val="21"/>
                      <w:lang w:val="zh-CN"/>
                    </w:rPr>
                  </w:pPr>
                  <w:r>
                    <w:rPr>
                      <w:rFonts w:eastAsia="黑体"/>
                    </w:rPr>
                    <w:t>注：</w:t>
                  </w:r>
                  <w:r>
                    <w:rPr>
                      <w:rFonts w:hint="eastAsia" w:eastAsia="黑体"/>
                    </w:rPr>
                    <w:t>根据近半年在线监测数据，厂区总排口平均流量为90.5</w:t>
                  </w:r>
                  <w:r>
                    <w:rPr>
                      <w:rFonts w:hint="eastAsia"/>
                      <w:kern w:val="0"/>
                    </w:rPr>
                    <w:t>m</w:t>
                  </w:r>
                  <w:r>
                    <w:rPr>
                      <w:rFonts w:hint="eastAsia"/>
                      <w:kern w:val="0"/>
                      <w:vertAlign w:val="superscript"/>
                    </w:rPr>
                    <w:t>3</w:t>
                  </w:r>
                  <w:r>
                    <w:rPr>
                      <w:rFonts w:hint="eastAsia"/>
                      <w:kern w:val="0"/>
                    </w:rPr>
                    <w:t>/</w:t>
                  </w:r>
                  <w:r>
                    <w:rPr>
                      <w:kern w:val="0"/>
                    </w:rPr>
                    <w:t>d</w:t>
                  </w:r>
                  <w:r>
                    <w:rPr>
                      <w:rFonts w:eastAsia="黑体"/>
                    </w:rPr>
                    <w:t>，</w:t>
                  </w:r>
                  <w:r>
                    <w:rPr>
                      <w:rFonts w:hint="eastAsia" w:eastAsia="黑体"/>
                    </w:rPr>
                    <w:t>项目外排废水主要来源于电镀生产线废水，因此本次评价以电镀生产线的平均生产工况40</w:t>
                  </w:r>
                  <w:r>
                    <w:rPr>
                      <w:rFonts w:eastAsia="黑体"/>
                    </w:rPr>
                    <w:t>%</w:t>
                  </w:r>
                  <w:r>
                    <w:rPr>
                      <w:rFonts w:hint="eastAsia" w:eastAsia="黑体"/>
                    </w:rPr>
                    <w:t>作为废水排放量评价基础。</w:t>
                  </w:r>
                </w:p>
              </w:tc>
            </w:tr>
          </w:tbl>
          <w:p w14:paraId="520ABA6B">
            <w:pPr>
              <w:spacing w:line="460" w:lineRule="exact"/>
              <w:ind w:firstLine="480" w:firstLineChars="200"/>
              <w:rPr>
                <w:sz w:val="24"/>
              </w:rPr>
            </w:pPr>
            <w:r>
              <w:rPr>
                <w:rFonts w:hint="eastAsia"/>
                <w:sz w:val="24"/>
              </w:rPr>
              <w:t>根据2025年1月1日~6月30日在线监测数据，现有工程厂区总排口平均流量为90.5m</w:t>
            </w:r>
            <w:r>
              <w:rPr>
                <w:rFonts w:hint="eastAsia"/>
                <w:sz w:val="24"/>
                <w:vertAlign w:val="superscript"/>
              </w:rPr>
              <w:t>3</w:t>
            </w:r>
            <w:r>
              <w:rPr>
                <w:rFonts w:hint="eastAsia"/>
                <w:sz w:val="24"/>
              </w:rPr>
              <w:t>/</w:t>
            </w:r>
            <w:r>
              <w:rPr>
                <w:sz w:val="24"/>
              </w:rPr>
              <w:t>d</w:t>
            </w:r>
            <w:r>
              <w:rPr>
                <w:rFonts w:hint="eastAsia"/>
                <w:sz w:val="24"/>
              </w:rPr>
              <w:t>，年生产2</w:t>
            </w:r>
            <w:r>
              <w:rPr>
                <w:sz w:val="24"/>
              </w:rPr>
              <w:t>50</w:t>
            </w:r>
            <w:r>
              <w:rPr>
                <w:rFonts w:hint="eastAsia"/>
                <w:sz w:val="24"/>
              </w:rPr>
              <w:t>天，日平均生产负荷为40%，则满负荷废水排放量为56562.5m</w:t>
            </w:r>
            <w:r>
              <w:rPr>
                <w:rFonts w:hint="eastAsia"/>
                <w:sz w:val="24"/>
                <w:vertAlign w:val="superscript"/>
              </w:rPr>
              <w:t>3</w:t>
            </w:r>
            <w:r>
              <w:rPr>
                <w:rFonts w:hint="eastAsia"/>
                <w:sz w:val="24"/>
              </w:rPr>
              <w:t>/a。</w:t>
            </w:r>
          </w:p>
          <w:p w14:paraId="520ABA6C">
            <w:pPr>
              <w:spacing w:line="460" w:lineRule="exact"/>
              <w:ind w:firstLine="480" w:firstLineChars="200"/>
              <w:rPr>
                <w:sz w:val="24"/>
              </w:rPr>
            </w:pPr>
            <w:r>
              <w:rPr>
                <w:rFonts w:hint="eastAsia"/>
                <w:sz w:val="24"/>
              </w:rPr>
              <w:t>由表28和29的检测数据可知，解放路厂区电镀车间废水排放口</w:t>
            </w:r>
            <w:r>
              <w:rPr>
                <w:bCs/>
                <w:sz w:val="24"/>
              </w:rPr>
              <w:t>p</w:t>
            </w:r>
            <w:r>
              <w:rPr>
                <w:rFonts w:hint="eastAsia"/>
                <w:bCs/>
                <w:sz w:val="24"/>
              </w:rPr>
              <w:t>H、总镍、总镉、总铬、六价铬排放浓度均能满足</w:t>
            </w:r>
            <w:r>
              <w:rPr>
                <w:rFonts w:hint="eastAsia"/>
                <w:sz w:val="24"/>
              </w:rPr>
              <w:t>《电镀污染物排放标准》（GB21900-2008）表2车间或生产设施废水排放口处</w:t>
            </w:r>
            <w:r>
              <w:rPr>
                <w:bCs/>
                <w:sz w:val="24"/>
              </w:rPr>
              <w:t>p</w:t>
            </w:r>
            <w:r>
              <w:rPr>
                <w:rFonts w:hint="eastAsia"/>
                <w:bCs/>
                <w:sz w:val="24"/>
              </w:rPr>
              <w:t>H 6~9、总镍0.5</w:t>
            </w:r>
            <w:r>
              <w:rPr>
                <w:bCs/>
                <w:sz w:val="24"/>
              </w:rPr>
              <w:t>mg/L</w:t>
            </w:r>
            <w:r>
              <w:rPr>
                <w:rFonts w:hint="eastAsia"/>
                <w:bCs/>
                <w:sz w:val="24"/>
              </w:rPr>
              <w:t>、总镉0.05</w:t>
            </w:r>
            <w:r>
              <w:rPr>
                <w:bCs/>
                <w:sz w:val="24"/>
              </w:rPr>
              <w:t>mg/L</w:t>
            </w:r>
            <w:r>
              <w:rPr>
                <w:rFonts w:hint="eastAsia"/>
                <w:bCs/>
                <w:sz w:val="24"/>
              </w:rPr>
              <w:t>、总铬1.0</w:t>
            </w:r>
            <w:r>
              <w:rPr>
                <w:bCs/>
                <w:sz w:val="24"/>
              </w:rPr>
              <w:t>mg/L</w:t>
            </w:r>
            <w:r>
              <w:rPr>
                <w:rFonts w:hint="eastAsia"/>
                <w:bCs/>
                <w:sz w:val="24"/>
              </w:rPr>
              <w:t>、六价铬0.2</w:t>
            </w:r>
            <w:r>
              <w:rPr>
                <w:bCs/>
                <w:sz w:val="24"/>
              </w:rPr>
              <w:t>mg/L</w:t>
            </w:r>
            <w:r>
              <w:rPr>
                <w:rFonts w:hint="eastAsia"/>
                <w:sz w:val="24"/>
              </w:rPr>
              <w:t>的限值要求；厂区总排口废水污染物</w:t>
            </w:r>
            <w:r>
              <w:rPr>
                <w:bCs/>
                <w:sz w:val="24"/>
              </w:rPr>
              <w:t>p</w:t>
            </w:r>
            <w:r>
              <w:rPr>
                <w:rFonts w:hint="eastAsia"/>
                <w:bCs/>
                <w:sz w:val="24"/>
              </w:rPr>
              <w:t>H、</w:t>
            </w:r>
            <w:r>
              <w:rPr>
                <w:bCs/>
                <w:sz w:val="24"/>
              </w:rPr>
              <w:t>COD、SS、NH</w:t>
            </w:r>
            <w:r>
              <w:rPr>
                <w:bCs/>
                <w:sz w:val="24"/>
                <w:vertAlign w:val="subscript"/>
              </w:rPr>
              <w:t>3</w:t>
            </w:r>
            <w:r>
              <w:rPr>
                <w:bCs/>
                <w:sz w:val="24"/>
              </w:rPr>
              <w:t>-N、TP、TN</w:t>
            </w:r>
            <w:r>
              <w:rPr>
                <w:rFonts w:hint="eastAsia"/>
                <w:bCs/>
                <w:sz w:val="24"/>
              </w:rPr>
              <w:t>、</w:t>
            </w:r>
            <w:r>
              <w:rPr>
                <w:rFonts w:hint="eastAsia"/>
                <w:sz w:val="24"/>
              </w:rPr>
              <w:t>B</w:t>
            </w:r>
            <w:r>
              <w:rPr>
                <w:sz w:val="24"/>
              </w:rPr>
              <w:t>OD</w:t>
            </w:r>
            <w:r>
              <w:rPr>
                <w:sz w:val="24"/>
                <w:vertAlign w:val="subscript"/>
              </w:rPr>
              <w:t>5</w:t>
            </w:r>
            <w:r>
              <w:rPr>
                <w:rFonts w:hint="eastAsia"/>
                <w:sz w:val="24"/>
              </w:rPr>
              <w:t>、阴离子表面活性剂排放浓度能够满足</w:t>
            </w:r>
            <w:r>
              <w:rPr>
                <w:bCs/>
                <w:sz w:val="24"/>
              </w:rPr>
              <w:t>小尚庄污水处理厂p</w:t>
            </w:r>
            <w:r>
              <w:rPr>
                <w:rFonts w:hint="eastAsia"/>
                <w:bCs/>
                <w:sz w:val="24"/>
              </w:rPr>
              <w:t>H 6~9、</w:t>
            </w:r>
            <w:r>
              <w:rPr>
                <w:bCs/>
                <w:sz w:val="24"/>
              </w:rPr>
              <w:t>COD≤350mg/L、SS≤250mg/L、NH</w:t>
            </w:r>
            <w:r>
              <w:rPr>
                <w:bCs/>
                <w:sz w:val="24"/>
                <w:vertAlign w:val="subscript"/>
              </w:rPr>
              <w:t>3</w:t>
            </w:r>
            <w:r>
              <w:rPr>
                <w:bCs/>
                <w:sz w:val="24"/>
              </w:rPr>
              <w:t>-N≤30mg/L、TP≤3mg/L、TN≤40mg/L的</w:t>
            </w:r>
            <w:r>
              <w:rPr>
                <w:sz w:val="24"/>
              </w:rPr>
              <w:t>收水标准</w:t>
            </w:r>
            <w:r>
              <w:rPr>
                <w:bCs/>
                <w:sz w:val="24"/>
              </w:rPr>
              <w:t>和</w:t>
            </w:r>
            <w:r>
              <w:rPr>
                <w:rFonts w:hint="eastAsia"/>
                <w:sz w:val="24"/>
              </w:rPr>
              <w:t>《</w:t>
            </w:r>
            <w:r>
              <w:rPr>
                <w:bCs/>
                <w:sz w:val="24"/>
              </w:rPr>
              <w:t>污水综合排放标准</w:t>
            </w:r>
            <w:r>
              <w:rPr>
                <w:rFonts w:hint="eastAsia"/>
                <w:sz w:val="24"/>
              </w:rPr>
              <w:t>》</w:t>
            </w:r>
            <w:r>
              <w:rPr>
                <w:bCs/>
                <w:sz w:val="24"/>
              </w:rPr>
              <w:t>（GB8978-1996）</w:t>
            </w:r>
            <w:r>
              <w:rPr>
                <w:rFonts w:hint="eastAsia"/>
                <w:bCs/>
                <w:sz w:val="24"/>
              </w:rPr>
              <w:t>表4二级</w:t>
            </w:r>
            <w:r>
              <w:rPr>
                <w:sz w:val="24"/>
              </w:rPr>
              <w:t xml:space="preserve">COD </w:t>
            </w:r>
            <w:r>
              <w:rPr>
                <w:rFonts w:hint="eastAsia"/>
                <w:sz w:val="24"/>
              </w:rPr>
              <w:t>150</w:t>
            </w:r>
            <w:r>
              <w:rPr>
                <w:sz w:val="24"/>
              </w:rPr>
              <w:t xml:space="preserve">mg/L、SS </w:t>
            </w:r>
            <w:r>
              <w:rPr>
                <w:rFonts w:hint="eastAsia"/>
                <w:sz w:val="24"/>
              </w:rPr>
              <w:t>150</w:t>
            </w:r>
            <w:r>
              <w:rPr>
                <w:sz w:val="24"/>
              </w:rPr>
              <w:t>mg/L、NH</w:t>
            </w:r>
            <w:r>
              <w:rPr>
                <w:sz w:val="24"/>
                <w:vertAlign w:val="subscript"/>
              </w:rPr>
              <w:t>3</w:t>
            </w:r>
            <w:r>
              <w:rPr>
                <w:sz w:val="24"/>
              </w:rPr>
              <w:t xml:space="preserve">-N </w:t>
            </w:r>
            <w:r>
              <w:rPr>
                <w:rFonts w:hint="eastAsia"/>
                <w:sz w:val="24"/>
              </w:rPr>
              <w:t>25</w:t>
            </w:r>
            <w:r>
              <w:rPr>
                <w:sz w:val="24"/>
              </w:rPr>
              <w:t xml:space="preserve">mg/L、TP </w:t>
            </w:r>
            <w:r>
              <w:rPr>
                <w:rFonts w:hint="eastAsia"/>
                <w:sz w:val="24"/>
              </w:rPr>
              <w:t>1.0</w:t>
            </w:r>
            <w:r>
              <w:rPr>
                <w:sz w:val="24"/>
              </w:rPr>
              <w:t>mg/L</w:t>
            </w:r>
            <w:r>
              <w:rPr>
                <w:rFonts w:hint="eastAsia"/>
                <w:sz w:val="24"/>
              </w:rPr>
              <w:t>、B</w:t>
            </w:r>
            <w:r>
              <w:rPr>
                <w:sz w:val="24"/>
              </w:rPr>
              <w:t>OD</w:t>
            </w:r>
            <w:r>
              <w:rPr>
                <w:sz w:val="24"/>
                <w:vertAlign w:val="subscript"/>
              </w:rPr>
              <w:t>5</w:t>
            </w:r>
            <w:r>
              <w:rPr>
                <w:rFonts w:hint="eastAsia"/>
                <w:bCs/>
                <w:sz w:val="24"/>
              </w:rPr>
              <w:t>3</w:t>
            </w:r>
            <w:r>
              <w:rPr>
                <w:bCs/>
                <w:sz w:val="24"/>
              </w:rPr>
              <w:t>0mg/L、</w:t>
            </w:r>
            <w:r>
              <w:rPr>
                <w:rFonts w:hint="eastAsia"/>
                <w:sz w:val="24"/>
              </w:rPr>
              <w:t>阴离子表面活性剂</w:t>
            </w:r>
            <w:r>
              <w:rPr>
                <w:bCs/>
                <w:sz w:val="24"/>
              </w:rPr>
              <w:t>10mg/L</w:t>
            </w:r>
            <w:r>
              <w:rPr>
                <w:rFonts w:hint="eastAsia"/>
                <w:sz w:val="24"/>
              </w:rPr>
              <w:t>的标准</w:t>
            </w:r>
            <w:r>
              <w:rPr>
                <w:bCs/>
                <w:sz w:val="24"/>
              </w:rPr>
              <w:t>要求，石油类、总铜、总锌、</w:t>
            </w:r>
            <w:r>
              <w:rPr>
                <w:rFonts w:hint="eastAsia"/>
                <w:bCs/>
                <w:sz w:val="24"/>
              </w:rPr>
              <w:t>总铁、总铝、</w:t>
            </w:r>
            <w:r>
              <w:rPr>
                <w:bCs/>
                <w:sz w:val="24"/>
              </w:rPr>
              <w:t>总氰化物排放浓度</w:t>
            </w:r>
            <w:r>
              <w:rPr>
                <w:rFonts w:hint="eastAsia"/>
                <w:bCs/>
                <w:sz w:val="24"/>
              </w:rPr>
              <w:t>均能满足</w:t>
            </w:r>
            <w:r>
              <w:rPr>
                <w:rFonts w:hint="eastAsia"/>
                <w:sz w:val="24"/>
              </w:rPr>
              <w:t>《电镀污染物排放标准》（GB21900-2008）表2企业废水总排放口</w:t>
            </w:r>
            <w:r>
              <w:rPr>
                <w:bCs/>
                <w:sz w:val="24"/>
              </w:rPr>
              <w:t>石油类</w:t>
            </w:r>
            <w:r>
              <w:rPr>
                <w:rFonts w:hint="eastAsia"/>
                <w:bCs/>
                <w:sz w:val="24"/>
              </w:rPr>
              <w:t>3.0</w:t>
            </w:r>
            <w:r>
              <w:rPr>
                <w:bCs/>
                <w:sz w:val="24"/>
              </w:rPr>
              <w:t>mg/L、总铜</w:t>
            </w:r>
            <w:r>
              <w:rPr>
                <w:rFonts w:hint="eastAsia"/>
                <w:bCs/>
                <w:sz w:val="24"/>
              </w:rPr>
              <w:t>0.5</w:t>
            </w:r>
            <w:r>
              <w:rPr>
                <w:bCs/>
                <w:sz w:val="24"/>
              </w:rPr>
              <w:t>mg/L、总锌</w:t>
            </w:r>
            <w:r>
              <w:rPr>
                <w:rFonts w:hint="eastAsia"/>
                <w:bCs/>
                <w:sz w:val="24"/>
              </w:rPr>
              <w:t>1.5</w:t>
            </w:r>
            <w:r>
              <w:rPr>
                <w:bCs/>
                <w:sz w:val="24"/>
              </w:rPr>
              <w:t>mg/L、</w:t>
            </w:r>
            <w:r>
              <w:rPr>
                <w:rFonts w:hint="eastAsia"/>
                <w:bCs/>
                <w:sz w:val="24"/>
              </w:rPr>
              <w:t>总铁3.0</w:t>
            </w:r>
            <w:r>
              <w:rPr>
                <w:bCs/>
                <w:sz w:val="24"/>
              </w:rPr>
              <w:t>mg/L</w:t>
            </w:r>
            <w:r>
              <w:rPr>
                <w:rFonts w:hint="eastAsia"/>
                <w:bCs/>
                <w:sz w:val="24"/>
              </w:rPr>
              <w:t>、总铝3.0</w:t>
            </w:r>
            <w:r>
              <w:rPr>
                <w:bCs/>
                <w:sz w:val="24"/>
              </w:rPr>
              <w:t>mg/L</w:t>
            </w:r>
            <w:r>
              <w:rPr>
                <w:rFonts w:hint="eastAsia"/>
                <w:bCs/>
                <w:sz w:val="24"/>
              </w:rPr>
              <w:t>、</w:t>
            </w:r>
            <w:r>
              <w:rPr>
                <w:bCs/>
                <w:sz w:val="24"/>
              </w:rPr>
              <w:t>总氰化物</w:t>
            </w:r>
            <w:r>
              <w:rPr>
                <w:rFonts w:hint="eastAsia"/>
                <w:bCs/>
                <w:sz w:val="24"/>
              </w:rPr>
              <w:t>0.3</w:t>
            </w:r>
            <w:r>
              <w:rPr>
                <w:bCs/>
                <w:sz w:val="24"/>
              </w:rPr>
              <w:t>mg/L</w:t>
            </w:r>
            <w:r>
              <w:rPr>
                <w:rFonts w:hint="eastAsia"/>
                <w:sz w:val="24"/>
              </w:rPr>
              <w:t>的限值要求。</w:t>
            </w:r>
          </w:p>
          <w:p w14:paraId="520ABA6D">
            <w:pPr>
              <w:adjustRightInd w:val="0"/>
              <w:snapToGrid w:val="0"/>
              <w:spacing w:line="460" w:lineRule="exact"/>
              <w:ind w:firstLine="482" w:firstLineChars="200"/>
              <w:rPr>
                <w:b/>
                <w:sz w:val="24"/>
              </w:rPr>
            </w:pPr>
            <w:r>
              <w:rPr>
                <w:rFonts w:hint="eastAsia"/>
                <w:b/>
                <w:sz w:val="24"/>
              </w:rPr>
              <w:t>II）在建工程</w:t>
            </w:r>
          </w:p>
          <w:p w14:paraId="520ABA6E">
            <w:pPr>
              <w:spacing w:line="460" w:lineRule="exact"/>
              <w:ind w:firstLine="480" w:firstLineChars="200"/>
              <w:rPr>
                <w:sz w:val="24"/>
              </w:rPr>
            </w:pPr>
            <w:r>
              <w:rPr>
                <w:rFonts w:hint="eastAsia"/>
                <w:sz w:val="24"/>
              </w:rPr>
              <w:t>解放路厂区在建工程新增外排碱炉水喷淋塔废水6m</w:t>
            </w:r>
            <w:r>
              <w:rPr>
                <w:rFonts w:hint="eastAsia"/>
                <w:sz w:val="24"/>
                <w:vertAlign w:val="superscript"/>
              </w:rPr>
              <w:t>3</w:t>
            </w:r>
            <w:r>
              <w:rPr>
                <w:rFonts w:hint="eastAsia"/>
                <w:sz w:val="24"/>
              </w:rPr>
              <w:t>/a、盐浴炉碱喷淋塔</w:t>
            </w:r>
            <w:r>
              <w:rPr>
                <w:sz w:val="24"/>
              </w:rPr>
              <w:t>废水</w:t>
            </w:r>
            <w:r>
              <w:rPr>
                <w:rFonts w:hint="eastAsia"/>
                <w:sz w:val="24"/>
              </w:rPr>
              <w:t>6m</w:t>
            </w:r>
            <w:r>
              <w:rPr>
                <w:rFonts w:hint="eastAsia"/>
                <w:sz w:val="24"/>
                <w:vertAlign w:val="superscript"/>
              </w:rPr>
              <w:t>3</w:t>
            </w:r>
            <w:r>
              <w:rPr>
                <w:rFonts w:hint="eastAsia"/>
                <w:sz w:val="24"/>
              </w:rPr>
              <w:t>/a、氨吸收塔废水6m</w:t>
            </w:r>
            <w:r>
              <w:rPr>
                <w:rFonts w:hint="eastAsia"/>
                <w:sz w:val="24"/>
                <w:vertAlign w:val="superscript"/>
              </w:rPr>
              <w:t>3</w:t>
            </w:r>
            <w:r>
              <w:rPr>
                <w:rFonts w:hint="eastAsia"/>
                <w:sz w:val="24"/>
              </w:rPr>
              <w:t>/a，进入厂区综合废水处理设施（调节池-厌氧池-缺氧池-好氧池-二沉池-反应池-除磷沉淀）处理后经污水管网排入</w:t>
            </w:r>
            <w:r>
              <w:rPr>
                <w:sz w:val="24"/>
              </w:rPr>
              <w:t>小尚庄污水处理厂进一步处理</w:t>
            </w:r>
            <w:r>
              <w:rPr>
                <w:rFonts w:hint="eastAsia"/>
                <w:sz w:val="24"/>
              </w:rPr>
              <w:t>。</w:t>
            </w:r>
            <w:r>
              <w:rPr>
                <w:sz w:val="24"/>
              </w:rPr>
              <w:t>根据在建工程环评报告水质分析，</w:t>
            </w:r>
            <w:r>
              <w:rPr>
                <w:rFonts w:hint="eastAsia"/>
                <w:sz w:val="24"/>
              </w:rPr>
              <w:t>在建工程建成后全厂</w:t>
            </w:r>
            <w:r>
              <w:rPr>
                <w:sz w:val="24"/>
              </w:rPr>
              <w:t>外排废水水质为</w:t>
            </w:r>
            <w:r>
              <w:rPr>
                <w:bCs/>
                <w:sz w:val="24"/>
              </w:rPr>
              <w:t>p</w:t>
            </w:r>
            <w:r>
              <w:rPr>
                <w:rFonts w:hint="eastAsia"/>
                <w:bCs/>
                <w:sz w:val="24"/>
              </w:rPr>
              <w:t>H</w:t>
            </w:r>
            <w:r>
              <w:rPr>
                <w:bCs/>
                <w:sz w:val="24"/>
              </w:rPr>
              <w:t xml:space="preserve"> </w:t>
            </w:r>
            <w:r>
              <w:rPr>
                <w:rFonts w:hint="eastAsia"/>
                <w:bCs/>
                <w:sz w:val="24"/>
              </w:rPr>
              <w:t>7.</w:t>
            </w:r>
            <w:r>
              <w:rPr>
                <w:bCs/>
                <w:sz w:val="24"/>
              </w:rPr>
              <w:t>70</w:t>
            </w:r>
            <w:r>
              <w:rPr>
                <w:rFonts w:hint="eastAsia"/>
                <w:bCs/>
                <w:sz w:val="24"/>
              </w:rPr>
              <w:t>、</w:t>
            </w:r>
            <w:r>
              <w:rPr>
                <w:bCs/>
                <w:sz w:val="24"/>
              </w:rPr>
              <w:t>COD 39.01mg/L、</w:t>
            </w:r>
            <w:r>
              <w:rPr>
                <w:rFonts w:hint="eastAsia"/>
                <w:bCs/>
                <w:sz w:val="24"/>
              </w:rPr>
              <w:t>B</w:t>
            </w:r>
            <w:r>
              <w:rPr>
                <w:bCs/>
                <w:sz w:val="24"/>
              </w:rPr>
              <w:t>OD</w:t>
            </w:r>
            <w:r>
              <w:rPr>
                <w:bCs/>
                <w:sz w:val="24"/>
                <w:vertAlign w:val="subscript"/>
              </w:rPr>
              <w:t>5</w:t>
            </w:r>
            <w:r>
              <w:rPr>
                <w:bCs/>
                <w:sz w:val="24"/>
              </w:rPr>
              <w:t xml:space="preserve"> 9.00mg/L、SS 13.01mg/L、NH</w:t>
            </w:r>
            <w:r>
              <w:rPr>
                <w:bCs/>
                <w:sz w:val="24"/>
                <w:vertAlign w:val="subscript"/>
              </w:rPr>
              <w:t>3</w:t>
            </w:r>
            <w:r>
              <w:rPr>
                <w:bCs/>
                <w:sz w:val="24"/>
              </w:rPr>
              <w:t>-N6.89mg/L、TP0.35mg/L、TN12.71mg/L</w:t>
            </w:r>
            <w:r>
              <w:rPr>
                <w:rFonts w:hint="eastAsia"/>
                <w:bCs/>
                <w:sz w:val="24"/>
              </w:rPr>
              <w:t>、石油类</w:t>
            </w:r>
            <w:r>
              <w:rPr>
                <w:bCs/>
                <w:sz w:val="24"/>
              </w:rPr>
              <w:t>0.45mg/L</w:t>
            </w:r>
            <w:r>
              <w:rPr>
                <w:rFonts w:hint="eastAsia"/>
                <w:bCs/>
                <w:sz w:val="24"/>
              </w:rPr>
              <w:t>、总铜</w:t>
            </w:r>
            <w:r>
              <w:rPr>
                <w:bCs/>
                <w:sz w:val="24"/>
              </w:rPr>
              <w:t>0.15mg/L、</w:t>
            </w:r>
            <w:r>
              <w:rPr>
                <w:rFonts w:hint="eastAsia"/>
                <w:bCs/>
                <w:sz w:val="24"/>
              </w:rPr>
              <w:t>总锌</w:t>
            </w:r>
            <w:r>
              <w:rPr>
                <w:bCs/>
                <w:sz w:val="24"/>
              </w:rPr>
              <w:t>0.42mg/L、</w:t>
            </w:r>
            <w:r>
              <w:rPr>
                <w:rFonts w:hint="eastAsia"/>
                <w:bCs/>
                <w:sz w:val="24"/>
              </w:rPr>
              <w:t>总氰化物未检出</w:t>
            </w:r>
            <w:r>
              <w:rPr>
                <w:bCs/>
                <w:sz w:val="24"/>
              </w:rPr>
              <w:t>、</w:t>
            </w:r>
            <w:r>
              <w:rPr>
                <w:rFonts w:hint="eastAsia"/>
                <w:bCs/>
                <w:sz w:val="24"/>
              </w:rPr>
              <w:t>总铁未检出</w:t>
            </w:r>
            <w:r>
              <w:rPr>
                <w:bCs/>
                <w:sz w:val="24"/>
              </w:rPr>
              <w:t>、</w:t>
            </w:r>
            <w:r>
              <w:rPr>
                <w:rFonts w:hint="eastAsia"/>
                <w:bCs/>
                <w:sz w:val="24"/>
              </w:rPr>
              <w:t>总铝</w:t>
            </w:r>
            <w:r>
              <w:rPr>
                <w:bCs/>
                <w:sz w:val="24"/>
              </w:rPr>
              <w:t>1.75mg/L、</w:t>
            </w:r>
            <w:r>
              <w:rPr>
                <w:rFonts w:hint="eastAsia"/>
                <w:bCs/>
                <w:sz w:val="24"/>
              </w:rPr>
              <w:t>阴离子表面活性剂</w:t>
            </w:r>
            <w:r>
              <w:rPr>
                <w:bCs/>
                <w:sz w:val="24"/>
              </w:rPr>
              <w:t>0.19mg/L，</w:t>
            </w:r>
            <w:r>
              <w:rPr>
                <w:rFonts w:hint="eastAsia"/>
                <w:bCs/>
                <w:sz w:val="24"/>
              </w:rPr>
              <w:t>排放浓度均满足</w:t>
            </w:r>
            <w:r>
              <w:rPr>
                <w:bCs/>
                <w:sz w:val="24"/>
              </w:rPr>
              <w:t>小尚庄污水处理厂p</w:t>
            </w:r>
            <w:r>
              <w:rPr>
                <w:rFonts w:hint="eastAsia"/>
                <w:bCs/>
                <w:sz w:val="24"/>
              </w:rPr>
              <w:t>H 6~9、</w:t>
            </w:r>
            <w:r>
              <w:rPr>
                <w:bCs/>
                <w:sz w:val="24"/>
              </w:rPr>
              <w:t>COD≤350mg/L、SS≤250mg/L、NH</w:t>
            </w:r>
            <w:r>
              <w:rPr>
                <w:bCs/>
                <w:sz w:val="24"/>
                <w:vertAlign w:val="subscript"/>
              </w:rPr>
              <w:t>3</w:t>
            </w:r>
            <w:r>
              <w:rPr>
                <w:bCs/>
                <w:sz w:val="24"/>
              </w:rPr>
              <w:t>-N≤30mg/L、TP≤3mg/L、TN≤40mg/L的收水标准和</w:t>
            </w:r>
            <w:r>
              <w:rPr>
                <w:rFonts w:hint="eastAsia"/>
                <w:bCs/>
                <w:sz w:val="24"/>
              </w:rPr>
              <w:t>《</w:t>
            </w:r>
            <w:r>
              <w:rPr>
                <w:bCs/>
                <w:sz w:val="24"/>
              </w:rPr>
              <w:t>污水综合排放标准</w:t>
            </w:r>
            <w:r>
              <w:rPr>
                <w:rFonts w:hint="eastAsia"/>
                <w:bCs/>
                <w:sz w:val="24"/>
              </w:rPr>
              <w:t>》</w:t>
            </w:r>
            <w:r>
              <w:rPr>
                <w:bCs/>
                <w:sz w:val="24"/>
              </w:rPr>
              <w:t>（GB8978-1996）</w:t>
            </w:r>
            <w:r>
              <w:rPr>
                <w:rFonts w:hint="eastAsia"/>
                <w:bCs/>
                <w:sz w:val="24"/>
              </w:rPr>
              <w:t>表4二级</w:t>
            </w:r>
            <w:r>
              <w:rPr>
                <w:bCs/>
                <w:sz w:val="24"/>
              </w:rPr>
              <w:t xml:space="preserve">COD </w:t>
            </w:r>
            <w:r>
              <w:rPr>
                <w:rFonts w:hint="eastAsia"/>
                <w:bCs/>
                <w:sz w:val="24"/>
              </w:rPr>
              <w:t>150</w:t>
            </w:r>
            <w:r>
              <w:rPr>
                <w:bCs/>
                <w:sz w:val="24"/>
              </w:rPr>
              <w:t xml:space="preserve">mg/L、SS </w:t>
            </w:r>
            <w:r>
              <w:rPr>
                <w:rFonts w:hint="eastAsia"/>
                <w:bCs/>
                <w:sz w:val="24"/>
              </w:rPr>
              <w:t>150</w:t>
            </w:r>
            <w:r>
              <w:rPr>
                <w:bCs/>
                <w:sz w:val="24"/>
              </w:rPr>
              <w:t>mg/L、NH</w:t>
            </w:r>
            <w:r>
              <w:rPr>
                <w:bCs/>
                <w:sz w:val="24"/>
                <w:vertAlign w:val="subscript"/>
              </w:rPr>
              <w:t>3</w:t>
            </w:r>
            <w:r>
              <w:rPr>
                <w:bCs/>
                <w:sz w:val="24"/>
              </w:rPr>
              <w:t xml:space="preserve">-N </w:t>
            </w:r>
            <w:r>
              <w:rPr>
                <w:rFonts w:hint="eastAsia"/>
                <w:bCs/>
                <w:sz w:val="24"/>
              </w:rPr>
              <w:t>25</w:t>
            </w:r>
            <w:r>
              <w:rPr>
                <w:bCs/>
                <w:sz w:val="24"/>
              </w:rPr>
              <w:t xml:space="preserve">mg/L、TP </w:t>
            </w:r>
            <w:r>
              <w:rPr>
                <w:rFonts w:hint="eastAsia"/>
                <w:bCs/>
                <w:sz w:val="24"/>
              </w:rPr>
              <w:t>1.0</w:t>
            </w:r>
            <w:r>
              <w:rPr>
                <w:bCs/>
                <w:sz w:val="24"/>
              </w:rPr>
              <w:t>mg/L</w:t>
            </w:r>
            <w:r>
              <w:rPr>
                <w:rFonts w:hint="eastAsia"/>
                <w:bCs/>
                <w:sz w:val="24"/>
              </w:rPr>
              <w:t>、B</w:t>
            </w:r>
            <w:r>
              <w:rPr>
                <w:bCs/>
                <w:sz w:val="24"/>
              </w:rPr>
              <w:t>OD</w:t>
            </w:r>
            <w:r>
              <w:rPr>
                <w:bCs/>
                <w:sz w:val="24"/>
                <w:vertAlign w:val="subscript"/>
              </w:rPr>
              <w:t>5</w:t>
            </w:r>
            <w:r>
              <w:rPr>
                <w:rFonts w:hint="eastAsia"/>
                <w:bCs/>
                <w:sz w:val="24"/>
              </w:rPr>
              <w:t>3</w:t>
            </w:r>
            <w:r>
              <w:rPr>
                <w:bCs/>
                <w:sz w:val="24"/>
              </w:rPr>
              <w:t>0mg/L、</w:t>
            </w:r>
            <w:r>
              <w:rPr>
                <w:rFonts w:hint="eastAsia"/>
                <w:bCs/>
                <w:sz w:val="24"/>
              </w:rPr>
              <w:t>阴离子表面活性剂</w:t>
            </w:r>
            <w:r>
              <w:rPr>
                <w:bCs/>
                <w:sz w:val="24"/>
              </w:rPr>
              <w:t>10mg/L</w:t>
            </w:r>
            <w:r>
              <w:rPr>
                <w:rFonts w:hint="eastAsia"/>
                <w:bCs/>
                <w:sz w:val="24"/>
              </w:rPr>
              <w:t>的标准</w:t>
            </w:r>
            <w:r>
              <w:rPr>
                <w:bCs/>
                <w:sz w:val="24"/>
              </w:rPr>
              <w:t>要求，石油类、总铜、总锌、</w:t>
            </w:r>
            <w:r>
              <w:rPr>
                <w:rFonts w:hint="eastAsia"/>
                <w:bCs/>
                <w:sz w:val="24"/>
              </w:rPr>
              <w:t>总铁、总铝、</w:t>
            </w:r>
            <w:r>
              <w:rPr>
                <w:bCs/>
                <w:sz w:val="24"/>
              </w:rPr>
              <w:t>总氰化物排放浓度</w:t>
            </w:r>
            <w:r>
              <w:rPr>
                <w:rFonts w:hint="eastAsia"/>
                <w:bCs/>
                <w:sz w:val="24"/>
              </w:rPr>
              <w:t>均能满足《电镀污染物排放标准》（GB21900-2008）表2企业废水总排放口</w:t>
            </w:r>
            <w:r>
              <w:rPr>
                <w:bCs/>
                <w:sz w:val="24"/>
              </w:rPr>
              <w:t>石油类</w:t>
            </w:r>
            <w:r>
              <w:rPr>
                <w:rFonts w:hint="eastAsia"/>
                <w:bCs/>
                <w:sz w:val="24"/>
              </w:rPr>
              <w:t>3.0</w:t>
            </w:r>
            <w:r>
              <w:rPr>
                <w:bCs/>
                <w:sz w:val="24"/>
              </w:rPr>
              <w:t>mg/L、总铜</w:t>
            </w:r>
            <w:r>
              <w:rPr>
                <w:rFonts w:hint="eastAsia"/>
                <w:bCs/>
                <w:sz w:val="24"/>
              </w:rPr>
              <w:t>0.5</w:t>
            </w:r>
            <w:r>
              <w:rPr>
                <w:bCs/>
                <w:sz w:val="24"/>
              </w:rPr>
              <w:t>mg/L、总锌</w:t>
            </w:r>
            <w:r>
              <w:rPr>
                <w:rFonts w:hint="eastAsia"/>
                <w:bCs/>
                <w:sz w:val="24"/>
              </w:rPr>
              <w:t>1.5</w:t>
            </w:r>
            <w:r>
              <w:rPr>
                <w:bCs/>
                <w:sz w:val="24"/>
              </w:rPr>
              <w:t>mg/L、</w:t>
            </w:r>
            <w:r>
              <w:rPr>
                <w:rFonts w:hint="eastAsia"/>
                <w:bCs/>
                <w:sz w:val="24"/>
              </w:rPr>
              <w:t>总铁3.0</w:t>
            </w:r>
            <w:r>
              <w:rPr>
                <w:bCs/>
                <w:sz w:val="24"/>
              </w:rPr>
              <w:t>mg/L</w:t>
            </w:r>
            <w:r>
              <w:rPr>
                <w:rFonts w:hint="eastAsia"/>
                <w:bCs/>
                <w:sz w:val="24"/>
              </w:rPr>
              <w:t>、总铝3.0</w:t>
            </w:r>
            <w:r>
              <w:rPr>
                <w:bCs/>
                <w:sz w:val="24"/>
              </w:rPr>
              <w:t>mg/L</w:t>
            </w:r>
            <w:r>
              <w:rPr>
                <w:rFonts w:hint="eastAsia"/>
                <w:bCs/>
                <w:sz w:val="24"/>
              </w:rPr>
              <w:t>、</w:t>
            </w:r>
            <w:r>
              <w:rPr>
                <w:bCs/>
                <w:sz w:val="24"/>
              </w:rPr>
              <w:t>总氰化物</w:t>
            </w:r>
            <w:r>
              <w:rPr>
                <w:rFonts w:hint="eastAsia"/>
                <w:bCs/>
                <w:sz w:val="24"/>
              </w:rPr>
              <w:t>0.3</w:t>
            </w:r>
            <w:r>
              <w:rPr>
                <w:bCs/>
                <w:sz w:val="24"/>
              </w:rPr>
              <w:t>mg/L</w:t>
            </w:r>
            <w:r>
              <w:rPr>
                <w:rFonts w:hint="eastAsia"/>
                <w:bCs/>
                <w:sz w:val="24"/>
              </w:rPr>
              <w:t>的限值要求。</w:t>
            </w:r>
          </w:p>
          <w:p w14:paraId="520ABA6F">
            <w:pPr>
              <w:spacing w:line="460" w:lineRule="exact"/>
              <w:ind w:firstLine="480" w:firstLineChars="200"/>
              <w:rPr>
                <w:sz w:val="24"/>
              </w:rPr>
            </w:pPr>
            <w:r>
              <w:rPr>
                <w:rFonts w:hint="eastAsia"/>
                <w:sz w:val="24"/>
              </w:rPr>
              <w:t>根据环评报告及批复可知，在建工程外排</w:t>
            </w:r>
            <w:r>
              <w:rPr>
                <w:sz w:val="24"/>
              </w:rPr>
              <w:t>废水经</w:t>
            </w:r>
            <w:r>
              <w:rPr>
                <w:rFonts w:hint="eastAsia"/>
                <w:sz w:val="24"/>
              </w:rPr>
              <w:t>小尚庄污水处理厂</w:t>
            </w:r>
            <w:r>
              <w:rPr>
                <w:sz w:val="24"/>
              </w:rPr>
              <w:t>处理后废水污染物排</w:t>
            </w:r>
            <w:r>
              <w:rPr>
                <w:rFonts w:hint="eastAsia"/>
                <w:sz w:val="24"/>
              </w:rPr>
              <w:t>入环境</w:t>
            </w:r>
            <w:r>
              <w:rPr>
                <w:sz w:val="24"/>
              </w:rPr>
              <w:t xml:space="preserve">总量：COD </w:t>
            </w:r>
            <w:r>
              <w:rPr>
                <w:rFonts w:hint="eastAsia"/>
                <w:sz w:val="24"/>
              </w:rPr>
              <w:t>0.0007</w:t>
            </w:r>
            <w:r>
              <w:rPr>
                <w:sz w:val="24"/>
              </w:rPr>
              <w:t>t/a、NH</w:t>
            </w:r>
            <w:r>
              <w:rPr>
                <w:sz w:val="24"/>
                <w:vertAlign w:val="subscript"/>
              </w:rPr>
              <w:t>3</w:t>
            </w:r>
            <w:r>
              <w:rPr>
                <w:sz w:val="24"/>
              </w:rPr>
              <w:t>-N 0.</w:t>
            </w:r>
            <w:r>
              <w:rPr>
                <w:rFonts w:hint="eastAsia"/>
                <w:sz w:val="24"/>
              </w:rPr>
              <w:t>0001</w:t>
            </w:r>
            <w:r>
              <w:rPr>
                <w:sz w:val="24"/>
              </w:rPr>
              <w:t>t/a、TN 0.</w:t>
            </w:r>
            <w:r>
              <w:rPr>
                <w:rFonts w:hint="eastAsia"/>
                <w:sz w:val="24"/>
              </w:rPr>
              <w:t>0002</w:t>
            </w:r>
            <w:r>
              <w:rPr>
                <w:sz w:val="24"/>
              </w:rPr>
              <w:t>t/a</w:t>
            </w:r>
            <w:r>
              <w:rPr>
                <w:rFonts w:hint="eastAsia"/>
                <w:sz w:val="24"/>
              </w:rPr>
              <w:t>。</w:t>
            </w:r>
          </w:p>
          <w:p w14:paraId="520ABA70">
            <w:pPr>
              <w:spacing w:line="460" w:lineRule="exact"/>
              <w:ind w:firstLine="482" w:firstLineChars="200"/>
              <w:rPr>
                <w:b/>
                <w:sz w:val="24"/>
              </w:rPr>
            </w:pPr>
            <w:r>
              <w:rPr>
                <w:rFonts w:hint="eastAsia"/>
                <w:b/>
                <w:sz w:val="24"/>
              </w:rPr>
              <w:t>③废水排放总量</w:t>
            </w:r>
          </w:p>
          <w:p w14:paraId="520ABA71">
            <w:pPr>
              <w:spacing w:line="460" w:lineRule="exact"/>
              <w:ind w:firstLine="480" w:firstLineChars="200"/>
              <w:rPr>
                <w:sz w:val="24"/>
              </w:rPr>
            </w:pPr>
            <w:r>
              <w:rPr>
                <w:rFonts w:hint="eastAsia"/>
                <w:sz w:val="24"/>
              </w:rPr>
              <w:t>解放路厂区现有工程满负荷运行时废水污染物最大实际排放总量及许可排放总量情况见下表：</w:t>
            </w:r>
          </w:p>
          <w:p w14:paraId="520ABA72">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30</w:t>
            </w:r>
            <w:r>
              <w:rPr>
                <w:rFonts w:eastAsia="黑体"/>
                <w:sz w:val="24"/>
              </w:rPr>
              <w:t xml:space="preserve">         </w:t>
            </w:r>
            <w:r>
              <w:rPr>
                <w:rFonts w:hint="eastAsia" w:eastAsia="黑体"/>
                <w:sz w:val="24"/>
              </w:rPr>
              <w:t xml:space="preserve"> 解放路厂区</w:t>
            </w:r>
            <w:r>
              <w:rPr>
                <w:rFonts w:eastAsia="黑体"/>
                <w:sz w:val="24"/>
              </w:rPr>
              <w:t>现有工程废水污染物排放情况</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594"/>
              <w:gridCol w:w="1548"/>
              <w:gridCol w:w="1814"/>
              <w:gridCol w:w="1654"/>
              <w:gridCol w:w="1459"/>
            </w:tblGrid>
            <w:tr w14:paraId="520ABA7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88" w:type="pct"/>
                  <w:vMerge w:val="restart"/>
                  <w:vAlign w:val="center"/>
                </w:tcPr>
                <w:p w14:paraId="520ABA73">
                  <w:pPr>
                    <w:jc w:val="center"/>
                    <w:rPr>
                      <w:b/>
                      <w:szCs w:val="20"/>
                    </w:rPr>
                  </w:pPr>
                  <w:r>
                    <w:rPr>
                      <w:b/>
                      <w:szCs w:val="20"/>
                    </w:rPr>
                    <w:t>污染物</w:t>
                  </w:r>
                </w:p>
              </w:tc>
              <w:tc>
                <w:tcPr>
                  <w:tcW w:w="3108" w:type="pct"/>
                  <w:gridSpan w:val="3"/>
                  <w:vAlign w:val="center"/>
                </w:tcPr>
                <w:p w14:paraId="520ABA74">
                  <w:pPr>
                    <w:jc w:val="center"/>
                    <w:rPr>
                      <w:b/>
                      <w:szCs w:val="20"/>
                    </w:rPr>
                  </w:pPr>
                  <w:r>
                    <w:rPr>
                      <w:rFonts w:hint="eastAsia"/>
                      <w:b/>
                      <w:szCs w:val="20"/>
                    </w:rPr>
                    <w:t>已建工程</w:t>
                  </w:r>
                </w:p>
              </w:tc>
              <w:tc>
                <w:tcPr>
                  <w:tcW w:w="904" w:type="pct"/>
                  <w:vMerge w:val="restart"/>
                  <w:vAlign w:val="center"/>
                </w:tcPr>
                <w:p w14:paraId="520ABA75">
                  <w:pPr>
                    <w:jc w:val="center"/>
                    <w:rPr>
                      <w:b/>
                      <w:szCs w:val="20"/>
                    </w:rPr>
                  </w:pPr>
                  <w:r>
                    <w:rPr>
                      <w:rFonts w:hint="eastAsia"/>
                      <w:b/>
                      <w:szCs w:val="20"/>
                    </w:rPr>
                    <w:t>在建工程环评批复量(t/a</w:t>
                  </w:r>
                  <w:r>
                    <w:rPr>
                      <w:b/>
                      <w:szCs w:val="20"/>
                    </w:rPr>
                    <w:t>)</w:t>
                  </w:r>
                </w:p>
              </w:tc>
            </w:tr>
            <w:tr w14:paraId="520ABA7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88" w:type="pct"/>
                  <w:vMerge w:val="continue"/>
                  <w:vAlign w:val="center"/>
                </w:tcPr>
                <w:p w14:paraId="520ABA77">
                  <w:pPr>
                    <w:jc w:val="center"/>
                    <w:rPr>
                      <w:b/>
                      <w:szCs w:val="20"/>
                    </w:rPr>
                  </w:pPr>
                </w:p>
              </w:tc>
              <w:tc>
                <w:tcPr>
                  <w:tcW w:w="959" w:type="pct"/>
                  <w:vAlign w:val="center"/>
                </w:tcPr>
                <w:p w14:paraId="520ABA78">
                  <w:pPr>
                    <w:jc w:val="center"/>
                    <w:rPr>
                      <w:b/>
                      <w:szCs w:val="20"/>
                    </w:rPr>
                  </w:pPr>
                  <w:r>
                    <w:rPr>
                      <w:b/>
                      <w:szCs w:val="20"/>
                    </w:rPr>
                    <w:t>排放浓度</w:t>
                  </w:r>
                  <w:r>
                    <w:rPr>
                      <w:rFonts w:hint="eastAsia"/>
                      <w:b/>
                      <w:szCs w:val="20"/>
                    </w:rPr>
                    <w:t>(</w:t>
                  </w:r>
                  <w:r>
                    <w:rPr>
                      <w:b/>
                      <w:szCs w:val="20"/>
                    </w:rPr>
                    <w:t>mg/</w:t>
                  </w:r>
                  <w:r>
                    <w:rPr>
                      <w:rFonts w:hint="eastAsia"/>
                      <w:b/>
                      <w:szCs w:val="20"/>
                    </w:rPr>
                    <w:t>L</w:t>
                  </w:r>
                  <w:r>
                    <w:rPr>
                      <w:b/>
                      <w:szCs w:val="20"/>
                    </w:rPr>
                    <w:t>)</w:t>
                  </w:r>
                </w:p>
              </w:tc>
              <w:tc>
                <w:tcPr>
                  <w:tcW w:w="1124" w:type="pct"/>
                  <w:vAlign w:val="center"/>
                </w:tcPr>
                <w:p w14:paraId="520ABA79">
                  <w:pPr>
                    <w:jc w:val="center"/>
                    <w:rPr>
                      <w:b/>
                      <w:szCs w:val="20"/>
                    </w:rPr>
                  </w:pPr>
                  <w:r>
                    <w:rPr>
                      <w:b/>
                      <w:szCs w:val="20"/>
                    </w:rPr>
                    <w:t>满负荷实际排放量</w:t>
                  </w:r>
                  <w:r>
                    <w:rPr>
                      <w:rFonts w:hint="eastAsia"/>
                      <w:b/>
                      <w:szCs w:val="20"/>
                    </w:rPr>
                    <w:t>(t/a</w:t>
                  </w:r>
                  <w:r>
                    <w:rPr>
                      <w:b/>
                      <w:szCs w:val="20"/>
                    </w:rPr>
                    <w:t>)</w:t>
                  </w:r>
                </w:p>
              </w:tc>
              <w:tc>
                <w:tcPr>
                  <w:tcW w:w="1024" w:type="pct"/>
                  <w:vAlign w:val="center"/>
                </w:tcPr>
                <w:p w14:paraId="520ABA7A">
                  <w:pPr>
                    <w:jc w:val="center"/>
                    <w:rPr>
                      <w:b/>
                      <w:szCs w:val="20"/>
                    </w:rPr>
                  </w:pPr>
                  <w:r>
                    <w:rPr>
                      <w:rFonts w:hint="eastAsia"/>
                      <w:b/>
                      <w:szCs w:val="20"/>
                    </w:rPr>
                    <w:t>许可</w:t>
                  </w:r>
                  <w:r>
                    <w:rPr>
                      <w:b/>
                      <w:szCs w:val="20"/>
                    </w:rPr>
                    <w:t>排放量</w:t>
                  </w:r>
                  <w:r>
                    <w:rPr>
                      <w:rFonts w:hint="eastAsia"/>
                      <w:b/>
                      <w:szCs w:val="20"/>
                    </w:rPr>
                    <w:t>(t/a</w:t>
                  </w:r>
                  <w:r>
                    <w:rPr>
                      <w:b/>
                      <w:szCs w:val="20"/>
                    </w:rPr>
                    <w:t>)</w:t>
                  </w:r>
                </w:p>
              </w:tc>
              <w:tc>
                <w:tcPr>
                  <w:tcW w:w="904" w:type="pct"/>
                  <w:vMerge w:val="continue"/>
                  <w:vAlign w:val="center"/>
                </w:tcPr>
                <w:p w14:paraId="520ABA7B">
                  <w:pPr>
                    <w:jc w:val="center"/>
                    <w:rPr>
                      <w:b/>
                      <w:szCs w:val="20"/>
                    </w:rPr>
                  </w:pPr>
                </w:p>
              </w:tc>
            </w:tr>
            <w:tr w14:paraId="520ABA8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88" w:type="pct"/>
                  <w:vAlign w:val="center"/>
                </w:tcPr>
                <w:p w14:paraId="520ABA7D">
                  <w:pPr>
                    <w:snapToGrid w:val="0"/>
                    <w:jc w:val="center"/>
                    <w:rPr>
                      <w:szCs w:val="21"/>
                    </w:rPr>
                  </w:pPr>
                  <w:r>
                    <w:rPr>
                      <w:rFonts w:hint="eastAsia"/>
                      <w:szCs w:val="21"/>
                    </w:rPr>
                    <w:t>废水量(m</w:t>
                  </w:r>
                  <w:r>
                    <w:rPr>
                      <w:rFonts w:hint="eastAsia"/>
                      <w:szCs w:val="21"/>
                      <w:vertAlign w:val="superscript"/>
                    </w:rPr>
                    <w:t>3</w:t>
                  </w:r>
                  <w:r>
                    <w:rPr>
                      <w:rFonts w:hint="eastAsia"/>
                      <w:szCs w:val="21"/>
                    </w:rPr>
                    <w:t>/a)</w:t>
                  </w:r>
                </w:p>
              </w:tc>
              <w:tc>
                <w:tcPr>
                  <w:tcW w:w="959" w:type="pct"/>
                  <w:vAlign w:val="center"/>
                </w:tcPr>
                <w:p w14:paraId="520ABA7E">
                  <w:pPr>
                    <w:snapToGrid w:val="0"/>
                    <w:jc w:val="center"/>
                    <w:rPr>
                      <w:szCs w:val="21"/>
                    </w:rPr>
                  </w:pPr>
                  <w:r>
                    <w:rPr>
                      <w:rFonts w:hint="eastAsia"/>
                      <w:szCs w:val="21"/>
                    </w:rPr>
                    <w:t>/</w:t>
                  </w:r>
                </w:p>
              </w:tc>
              <w:tc>
                <w:tcPr>
                  <w:tcW w:w="1124" w:type="pct"/>
                  <w:vAlign w:val="center"/>
                </w:tcPr>
                <w:p w14:paraId="520ABA7F">
                  <w:pPr>
                    <w:snapToGrid w:val="0"/>
                    <w:jc w:val="center"/>
                    <w:rPr>
                      <w:szCs w:val="21"/>
                    </w:rPr>
                  </w:pPr>
                  <w:r>
                    <w:rPr>
                      <w:rFonts w:hint="eastAsia"/>
                    </w:rPr>
                    <w:t>56562.5</w:t>
                  </w:r>
                </w:p>
              </w:tc>
              <w:tc>
                <w:tcPr>
                  <w:tcW w:w="1024" w:type="pct"/>
                  <w:vAlign w:val="center"/>
                </w:tcPr>
                <w:p w14:paraId="520ABA80">
                  <w:pPr>
                    <w:jc w:val="center"/>
                    <w:rPr>
                      <w:szCs w:val="21"/>
                    </w:rPr>
                  </w:pPr>
                  <w:r>
                    <w:rPr>
                      <w:rFonts w:hint="eastAsia"/>
                      <w:szCs w:val="21"/>
                    </w:rPr>
                    <w:t>114545.5</w:t>
                  </w:r>
                </w:p>
              </w:tc>
              <w:tc>
                <w:tcPr>
                  <w:tcW w:w="904" w:type="pct"/>
                  <w:vAlign w:val="center"/>
                </w:tcPr>
                <w:p w14:paraId="520ABA81">
                  <w:pPr>
                    <w:jc w:val="center"/>
                    <w:rPr>
                      <w:szCs w:val="21"/>
                    </w:rPr>
                  </w:pPr>
                  <w:r>
                    <w:rPr>
                      <w:rFonts w:hint="eastAsia"/>
                      <w:szCs w:val="21"/>
                    </w:rPr>
                    <w:t>18</w:t>
                  </w:r>
                </w:p>
              </w:tc>
            </w:tr>
            <w:tr w14:paraId="520ABA8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88" w:type="pct"/>
                  <w:vAlign w:val="center"/>
                </w:tcPr>
                <w:p w14:paraId="520ABA83">
                  <w:pPr>
                    <w:snapToGrid w:val="0"/>
                    <w:jc w:val="center"/>
                    <w:rPr>
                      <w:szCs w:val="21"/>
                    </w:rPr>
                  </w:pPr>
                  <w:r>
                    <w:rPr>
                      <w:szCs w:val="21"/>
                    </w:rPr>
                    <w:t>COD</w:t>
                  </w:r>
                </w:p>
              </w:tc>
              <w:tc>
                <w:tcPr>
                  <w:tcW w:w="959" w:type="pct"/>
                  <w:vAlign w:val="center"/>
                </w:tcPr>
                <w:p w14:paraId="520ABA84">
                  <w:pPr>
                    <w:snapToGrid w:val="0"/>
                    <w:jc w:val="center"/>
                    <w:rPr>
                      <w:szCs w:val="21"/>
                    </w:rPr>
                  </w:pPr>
                  <w:r>
                    <w:rPr>
                      <w:rFonts w:hint="eastAsia"/>
                      <w:szCs w:val="21"/>
                    </w:rPr>
                    <w:t>50</w:t>
                  </w:r>
                </w:p>
              </w:tc>
              <w:tc>
                <w:tcPr>
                  <w:tcW w:w="1124" w:type="pct"/>
                  <w:vAlign w:val="center"/>
                </w:tcPr>
                <w:p w14:paraId="520ABA85">
                  <w:pPr>
                    <w:snapToGrid w:val="0"/>
                    <w:jc w:val="center"/>
                    <w:rPr>
                      <w:szCs w:val="21"/>
                    </w:rPr>
                  </w:pPr>
                  <w:r>
                    <w:rPr>
                      <w:rFonts w:eastAsia="等线"/>
                      <w:szCs w:val="21"/>
                    </w:rPr>
                    <w:t>2.8281</w:t>
                  </w:r>
                </w:p>
              </w:tc>
              <w:tc>
                <w:tcPr>
                  <w:tcW w:w="1024" w:type="pct"/>
                  <w:vAlign w:val="center"/>
                </w:tcPr>
                <w:p w14:paraId="520ABA86">
                  <w:pPr>
                    <w:jc w:val="center"/>
                    <w:rPr>
                      <w:szCs w:val="21"/>
                    </w:rPr>
                  </w:pPr>
                  <w:r>
                    <w:rPr>
                      <w:rFonts w:eastAsia="等线"/>
                    </w:rPr>
                    <w:t>4.4734</w:t>
                  </w:r>
                </w:p>
              </w:tc>
              <w:tc>
                <w:tcPr>
                  <w:tcW w:w="904" w:type="pct"/>
                  <w:vAlign w:val="center"/>
                </w:tcPr>
                <w:p w14:paraId="520ABA87">
                  <w:pPr>
                    <w:jc w:val="center"/>
                    <w:rPr>
                      <w:szCs w:val="21"/>
                    </w:rPr>
                  </w:pPr>
                  <w:r>
                    <w:rPr>
                      <w:rFonts w:hint="eastAsia"/>
                      <w:szCs w:val="21"/>
                    </w:rPr>
                    <w:t>0.0007</w:t>
                  </w:r>
                </w:p>
              </w:tc>
            </w:tr>
            <w:tr w14:paraId="520ABA8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88" w:type="pct"/>
                  <w:vAlign w:val="center"/>
                </w:tcPr>
                <w:p w14:paraId="520ABA89">
                  <w:pPr>
                    <w:snapToGrid w:val="0"/>
                    <w:jc w:val="center"/>
                    <w:rPr>
                      <w:szCs w:val="21"/>
                    </w:rPr>
                  </w:pPr>
                  <w:r>
                    <w:rPr>
                      <w:szCs w:val="21"/>
                    </w:rPr>
                    <w:t>NH</w:t>
                  </w:r>
                  <w:r>
                    <w:rPr>
                      <w:szCs w:val="21"/>
                      <w:vertAlign w:val="subscript"/>
                    </w:rPr>
                    <w:t>3</w:t>
                  </w:r>
                  <w:r>
                    <w:rPr>
                      <w:szCs w:val="21"/>
                    </w:rPr>
                    <w:t>-N</w:t>
                  </w:r>
                </w:p>
              </w:tc>
              <w:tc>
                <w:tcPr>
                  <w:tcW w:w="959" w:type="pct"/>
                  <w:vAlign w:val="center"/>
                </w:tcPr>
                <w:p w14:paraId="520ABA8A">
                  <w:pPr>
                    <w:snapToGrid w:val="0"/>
                    <w:jc w:val="center"/>
                    <w:rPr>
                      <w:szCs w:val="21"/>
                    </w:rPr>
                  </w:pPr>
                  <w:r>
                    <w:rPr>
                      <w:rFonts w:hint="eastAsia"/>
                      <w:szCs w:val="21"/>
                    </w:rPr>
                    <w:t>5</w:t>
                  </w:r>
                </w:p>
              </w:tc>
              <w:tc>
                <w:tcPr>
                  <w:tcW w:w="1124" w:type="pct"/>
                  <w:vAlign w:val="center"/>
                </w:tcPr>
                <w:p w14:paraId="520ABA8B">
                  <w:pPr>
                    <w:snapToGrid w:val="0"/>
                    <w:jc w:val="center"/>
                    <w:rPr>
                      <w:szCs w:val="21"/>
                    </w:rPr>
                  </w:pPr>
                  <w:r>
                    <w:rPr>
                      <w:rFonts w:eastAsia="等线"/>
                      <w:szCs w:val="21"/>
                    </w:rPr>
                    <w:t>0.2828</w:t>
                  </w:r>
                </w:p>
              </w:tc>
              <w:tc>
                <w:tcPr>
                  <w:tcW w:w="1024" w:type="pct"/>
                  <w:vAlign w:val="center"/>
                </w:tcPr>
                <w:p w14:paraId="520ABA8C">
                  <w:pPr>
                    <w:jc w:val="center"/>
                    <w:rPr>
                      <w:szCs w:val="21"/>
                    </w:rPr>
                  </w:pPr>
                  <w:r>
                    <w:rPr>
                      <w:rFonts w:eastAsia="等线"/>
                    </w:rPr>
                    <w:t>0.5735</w:t>
                  </w:r>
                </w:p>
              </w:tc>
              <w:tc>
                <w:tcPr>
                  <w:tcW w:w="904" w:type="pct"/>
                  <w:vAlign w:val="center"/>
                </w:tcPr>
                <w:p w14:paraId="520ABA8D">
                  <w:pPr>
                    <w:jc w:val="center"/>
                    <w:rPr>
                      <w:szCs w:val="21"/>
                    </w:rPr>
                  </w:pPr>
                  <w:r>
                    <w:rPr>
                      <w:rFonts w:hint="eastAsia"/>
                      <w:szCs w:val="21"/>
                    </w:rPr>
                    <w:t>0.0001</w:t>
                  </w:r>
                </w:p>
              </w:tc>
            </w:tr>
            <w:tr w14:paraId="520ABA9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88" w:type="pct"/>
                  <w:vAlign w:val="center"/>
                </w:tcPr>
                <w:p w14:paraId="520ABA8F">
                  <w:pPr>
                    <w:snapToGrid w:val="0"/>
                    <w:jc w:val="center"/>
                    <w:rPr>
                      <w:szCs w:val="21"/>
                    </w:rPr>
                  </w:pPr>
                  <w:r>
                    <w:rPr>
                      <w:szCs w:val="21"/>
                    </w:rPr>
                    <w:t>TP</w:t>
                  </w:r>
                </w:p>
              </w:tc>
              <w:tc>
                <w:tcPr>
                  <w:tcW w:w="959" w:type="pct"/>
                  <w:vAlign w:val="center"/>
                </w:tcPr>
                <w:p w14:paraId="520ABA90">
                  <w:pPr>
                    <w:snapToGrid w:val="0"/>
                    <w:jc w:val="center"/>
                    <w:rPr>
                      <w:szCs w:val="21"/>
                    </w:rPr>
                  </w:pPr>
                  <w:r>
                    <w:rPr>
                      <w:rFonts w:hint="eastAsia"/>
                      <w:szCs w:val="21"/>
                    </w:rPr>
                    <w:t>0.5</w:t>
                  </w:r>
                </w:p>
              </w:tc>
              <w:tc>
                <w:tcPr>
                  <w:tcW w:w="1124" w:type="pct"/>
                  <w:vAlign w:val="center"/>
                </w:tcPr>
                <w:p w14:paraId="520ABA91">
                  <w:pPr>
                    <w:snapToGrid w:val="0"/>
                    <w:jc w:val="center"/>
                    <w:rPr>
                      <w:szCs w:val="21"/>
                    </w:rPr>
                  </w:pPr>
                  <w:r>
                    <w:rPr>
                      <w:rFonts w:eastAsia="等线"/>
                      <w:szCs w:val="21"/>
                    </w:rPr>
                    <w:t>0.0283</w:t>
                  </w:r>
                </w:p>
              </w:tc>
              <w:tc>
                <w:tcPr>
                  <w:tcW w:w="1024" w:type="pct"/>
                  <w:vAlign w:val="center"/>
                </w:tcPr>
                <w:p w14:paraId="520ABA92">
                  <w:pPr>
                    <w:jc w:val="center"/>
                    <w:rPr>
                      <w:szCs w:val="21"/>
                    </w:rPr>
                  </w:pPr>
                  <w:r>
                    <w:rPr>
                      <w:rFonts w:eastAsia="等线"/>
                    </w:rPr>
                    <w:t>0.0401</w:t>
                  </w:r>
                </w:p>
              </w:tc>
              <w:tc>
                <w:tcPr>
                  <w:tcW w:w="904" w:type="pct"/>
                  <w:vAlign w:val="center"/>
                </w:tcPr>
                <w:p w14:paraId="520ABA93">
                  <w:pPr>
                    <w:jc w:val="center"/>
                    <w:rPr>
                      <w:szCs w:val="21"/>
                    </w:rPr>
                  </w:pPr>
                  <w:r>
                    <w:rPr>
                      <w:rFonts w:hint="eastAsia"/>
                      <w:szCs w:val="21"/>
                    </w:rPr>
                    <w:t>/</w:t>
                  </w:r>
                </w:p>
              </w:tc>
            </w:tr>
            <w:tr w14:paraId="520ABA9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88" w:type="pct"/>
                  <w:vAlign w:val="center"/>
                </w:tcPr>
                <w:p w14:paraId="520ABA95">
                  <w:pPr>
                    <w:snapToGrid w:val="0"/>
                    <w:jc w:val="center"/>
                    <w:rPr>
                      <w:szCs w:val="21"/>
                    </w:rPr>
                  </w:pPr>
                  <w:r>
                    <w:rPr>
                      <w:szCs w:val="21"/>
                    </w:rPr>
                    <w:t>TN</w:t>
                  </w:r>
                </w:p>
              </w:tc>
              <w:tc>
                <w:tcPr>
                  <w:tcW w:w="959" w:type="pct"/>
                  <w:vAlign w:val="center"/>
                </w:tcPr>
                <w:p w14:paraId="520ABA96">
                  <w:pPr>
                    <w:snapToGrid w:val="0"/>
                    <w:jc w:val="center"/>
                    <w:rPr>
                      <w:szCs w:val="21"/>
                    </w:rPr>
                  </w:pPr>
                  <w:r>
                    <w:rPr>
                      <w:rFonts w:hint="eastAsia"/>
                      <w:szCs w:val="21"/>
                    </w:rPr>
                    <w:t>15</w:t>
                  </w:r>
                </w:p>
              </w:tc>
              <w:tc>
                <w:tcPr>
                  <w:tcW w:w="1124" w:type="pct"/>
                  <w:vAlign w:val="center"/>
                </w:tcPr>
                <w:p w14:paraId="520ABA97">
                  <w:pPr>
                    <w:snapToGrid w:val="0"/>
                    <w:jc w:val="center"/>
                    <w:rPr>
                      <w:szCs w:val="21"/>
                    </w:rPr>
                  </w:pPr>
                  <w:r>
                    <w:rPr>
                      <w:rFonts w:eastAsia="等线"/>
                      <w:szCs w:val="21"/>
                    </w:rPr>
                    <w:t>0.8484</w:t>
                  </w:r>
                </w:p>
              </w:tc>
              <w:tc>
                <w:tcPr>
                  <w:tcW w:w="1024" w:type="pct"/>
                  <w:vAlign w:val="center"/>
                </w:tcPr>
                <w:p w14:paraId="520ABA98">
                  <w:pPr>
                    <w:jc w:val="center"/>
                    <w:rPr>
                      <w:szCs w:val="21"/>
                    </w:rPr>
                  </w:pPr>
                  <w:r>
                    <w:rPr>
                      <w:rFonts w:eastAsia="等线"/>
                    </w:rPr>
                    <w:t>1.4567</w:t>
                  </w:r>
                </w:p>
              </w:tc>
              <w:tc>
                <w:tcPr>
                  <w:tcW w:w="904" w:type="pct"/>
                  <w:vAlign w:val="center"/>
                </w:tcPr>
                <w:p w14:paraId="520ABA99">
                  <w:pPr>
                    <w:jc w:val="center"/>
                    <w:rPr>
                      <w:szCs w:val="21"/>
                    </w:rPr>
                  </w:pPr>
                  <w:r>
                    <w:rPr>
                      <w:rFonts w:hint="eastAsia"/>
                      <w:szCs w:val="21"/>
                    </w:rPr>
                    <w:t>0.0002</w:t>
                  </w:r>
                </w:p>
              </w:tc>
            </w:tr>
          </w:tbl>
          <w:p w14:paraId="520ABA9B">
            <w:pPr>
              <w:adjustRightInd w:val="0"/>
              <w:snapToGrid w:val="0"/>
              <w:spacing w:line="460" w:lineRule="exact"/>
              <w:ind w:firstLine="482" w:firstLineChars="200"/>
              <w:rPr>
                <w:b/>
                <w:sz w:val="24"/>
              </w:rPr>
            </w:pPr>
            <w:r>
              <w:rPr>
                <w:rFonts w:hint="eastAsia"/>
                <w:b/>
                <w:sz w:val="24"/>
              </w:rPr>
              <w:t>2、废气</w:t>
            </w:r>
          </w:p>
          <w:p w14:paraId="520ABA9C">
            <w:pPr>
              <w:spacing w:line="460" w:lineRule="exact"/>
              <w:ind w:firstLine="482" w:firstLineChars="200"/>
              <w:rPr>
                <w:sz w:val="24"/>
              </w:rPr>
            </w:pPr>
            <w:r>
              <w:rPr>
                <w:rFonts w:hint="eastAsia"/>
                <w:b/>
                <w:sz w:val="24"/>
              </w:rPr>
              <w:t>（1）废气种类及治理措施</w:t>
            </w:r>
          </w:p>
          <w:p w14:paraId="520ABA9D">
            <w:pPr>
              <w:adjustRightInd w:val="0"/>
              <w:snapToGrid w:val="0"/>
              <w:spacing w:line="460" w:lineRule="exact"/>
              <w:ind w:firstLine="480" w:firstLineChars="200"/>
              <w:rPr>
                <w:bCs/>
                <w:sz w:val="24"/>
              </w:rPr>
            </w:pPr>
            <w:r>
              <w:rPr>
                <w:rFonts w:hint="eastAsia"/>
                <w:sz w:val="24"/>
              </w:rPr>
              <w:t>解放路厂区具体产污环节、治理措施情况详见下表。</w:t>
            </w:r>
          </w:p>
          <w:p w14:paraId="520ABA9E">
            <w:pPr>
              <w:adjustRightInd w:val="0"/>
              <w:snapToGrid w:val="0"/>
              <w:spacing w:line="460" w:lineRule="exact"/>
              <w:ind w:firstLine="480" w:firstLineChars="200"/>
              <w:rPr>
                <w:bCs/>
                <w:sz w:val="24"/>
              </w:rPr>
            </w:pPr>
          </w:p>
          <w:p w14:paraId="520ABA9F">
            <w:pPr>
              <w:adjustRightInd w:val="0"/>
              <w:snapToGrid w:val="0"/>
              <w:spacing w:line="460" w:lineRule="exact"/>
              <w:ind w:firstLine="480" w:firstLineChars="200"/>
              <w:rPr>
                <w:bCs/>
                <w:sz w:val="24"/>
                <w:highlight w:val="yellow"/>
              </w:rPr>
            </w:pPr>
          </w:p>
          <w:p w14:paraId="520ABAA0">
            <w:pPr>
              <w:adjustRightInd w:val="0"/>
              <w:snapToGrid w:val="0"/>
              <w:spacing w:line="460" w:lineRule="exact"/>
              <w:ind w:firstLine="480" w:firstLineChars="200"/>
              <w:rPr>
                <w:bCs/>
                <w:sz w:val="24"/>
                <w:highlight w:val="yellow"/>
              </w:rPr>
            </w:pPr>
          </w:p>
          <w:p w14:paraId="520ABAA1">
            <w:pPr>
              <w:adjustRightInd w:val="0"/>
              <w:snapToGrid w:val="0"/>
              <w:spacing w:line="460" w:lineRule="exact"/>
              <w:ind w:firstLine="480" w:firstLineChars="200"/>
              <w:rPr>
                <w:bCs/>
                <w:sz w:val="24"/>
                <w:highlight w:val="yellow"/>
              </w:rPr>
            </w:pPr>
          </w:p>
          <w:p w14:paraId="520ABAA2">
            <w:pPr>
              <w:adjustRightInd w:val="0"/>
              <w:snapToGrid w:val="0"/>
              <w:spacing w:line="460" w:lineRule="exact"/>
              <w:ind w:firstLine="480" w:firstLineChars="200"/>
              <w:rPr>
                <w:bCs/>
                <w:sz w:val="24"/>
                <w:highlight w:val="yellow"/>
              </w:rPr>
            </w:pPr>
          </w:p>
          <w:p w14:paraId="520ABAA3">
            <w:pPr>
              <w:adjustRightInd w:val="0"/>
              <w:snapToGrid w:val="0"/>
              <w:spacing w:line="460" w:lineRule="exact"/>
              <w:ind w:firstLine="480" w:firstLineChars="200"/>
              <w:rPr>
                <w:bCs/>
                <w:sz w:val="24"/>
                <w:highlight w:val="yellow"/>
              </w:rPr>
            </w:pPr>
          </w:p>
          <w:p w14:paraId="520ABAA4">
            <w:pPr>
              <w:adjustRightInd w:val="0"/>
              <w:snapToGrid w:val="0"/>
              <w:spacing w:line="460" w:lineRule="exact"/>
              <w:ind w:firstLine="480" w:firstLineChars="200"/>
              <w:rPr>
                <w:bCs/>
                <w:sz w:val="24"/>
                <w:highlight w:val="yellow"/>
              </w:rPr>
            </w:pPr>
          </w:p>
          <w:p w14:paraId="520ABAA5">
            <w:pPr>
              <w:adjustRightInd w:val="0"/>
              <w:snapToGrid w:val="0"/>
              <w:spacing w:line="460" w:lineRule="exact"/>
              <w:ind w:firstLine="480" w:firstLineChars="200"/>
              <w:rPr>
                <w:bCs/>
                <w:sz w:val="24"/>
                <w:highlight w:val="yellow"/>
              </w:rPr>
            </w:pPr>
          </w:p>
          <w:p w14:paraId="520ABAA6">
            <w:pPr>
              <w:adjustRightInd w:val="0"/>
              <w:snapToGrid w:val="0"/>
              <w:spacing w:line="460" w:lineRule="exact"/>
              <w:ind w:firstLine="480" w:firstLineChars="200"/>
              <w:rPr>
                <w:bCs/>
                <w:sz w:val="24"/>
                <w:highlight w:val="yellow"/>
              </w:rPr>
            </w:pPr>
          </w:p>
          <w:p w14:paraId="520ABAA7">
            <w:pPr>
              <w:adjustRightInd w:val="0"/>
              <w:snapToGrid w:val="0"/>
              <w:spacing w:line="460" w:lineRule="exact"/>
              <w:ind w:firstLine="480" w:firstLineChars="200"/>
              <w:rPr>
                <w:bCs/>
                <w:sz w:val="24"/>
                <w:highlight w:val="yellow"/>
              </w:rPr>
            </w:pPr>
          </w:p>
          <w:p w14:paraId="520ABAA8">
            <w:pPr>
              <w:adjustRightInd w:val="0"/>
              <w:snapToGrid w:val="0"/>
              <w:spacing w:line="460" w:lineRule="exact"/>
              <w:ind w:firstLine="480" w:firstLineChars="200"/>
              <w:rPr>
                <w:bCs/>
                <w:sz w:val="24"/>
                <w:highlight w:val="yellow"/>
              </w:rPr>
            </w:pPr>
          </w:p>
          <w:p w14:paraId="520ABAA9">
            <w:pPr>
              <w:adjustRightInd w:val="0"/>
              <w:snapToGrid w:val="0"/>
              <w:spacing w:line="460" w:lineRule="exact"/>
              <w:ind w:firstLine="480" w:firstLineChars="200"/>
              <w:rPr>
                <w:bCs/>
                <w:sz w:val="24"/>
                <w:highlight w:val="yellow"/>
              </w:rPr>
            </w:pPr>
          </w:p>
          <w:p w14:paraId="520ABAAA">
            <w:pPr>
              <w:adjustRightInd w:val="0"/>
              <w:snapToGrid w:val="0"/>
              <w:spacing w:line="460" w:lineRule="exact"/>
              <w:ind w:firstLine="480" w:firstLineChars="200"/>
              <w:rPr>
                <w:bCs/>
                <w:sz w:val="24"/>
                <w:highlight w:val="yellow"/>
              </w:rPr>
            </w:pPr>
          </w:p>
          <w:p w14:paraId="520ABAAB">
            <w:pPr>
              <w:adjustRightInd w:val="0"/>
              <w:snapToGrid w:val="0"/>
              <w:spacing w:line="460" w:lineRule="exact"/>
              <w:ind w:firstLine="480" w:firstLineChars="200"/>
              <w:rPr>
                <w:bCs/>
                <w:sz w:val="24"/>
                <w:highlight w:val="yellow"/>
              </w:rPr>
            </w:pPr>
          </w:p>
        </w:tc>
      </w:tr>
    </w:tbl>
    <w:p w14:paraId="520ABAAD">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pPr>
    </w:p>
    <w:p w14:paraId="520ABAAE">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sectPr>
          <w:pgSz w:w="11906" w:h="16838"/>
          <w:pgMar w:top="1701" w:right="1531" w:bottom="1701" w:left="1531" w:header="851" w:footer="851" w:gutter="0"/>
          <w:cols w:space="720" w:num="1"/>
          <w:docGrid w:linePitch="312" w:charSpace="0"/>
        </w:sectPr>
      </w:pP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
        <w:gridCol w:w="13005"/>
      </w:tblGrid>
      <w:tr w14:paraId="520AB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 w:type="dxa"/>
          </w:tcPr>
          <w:p w14:paraId="520ABAAF">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pPr>
          </w:p>
        </w:tc>
        <w:tc>
          <w:tcPr>
            <w:tcW w:w="13005" w:type="dxa"/>
          </w:tcPr>
          <w:p w14:paraId="520ABAB0">
            <w:pPr>
              <w:spacing w:line="460" w:lineRule="exact"/>
              <w:ind w:firstLine="480" w:firstLineChars="200"/>
              <w:rPr>
                <w:rFonts w:eastAsia="黑体"/>
                <w:sz w:val="24"/>
              </w:rPr>
            </w:pPr>
            <w:r>
              <w:rPr>
                <w:rFonts w:eastAsia="黑体"/>
                <w:sz w:val="24"/>
              </w:rPr>
              <w:t>表</w:t>
            </w:r>
            <w:r>
              <w:rPr>
                <w:rFonts w:hint="eastAsia" w:eastAsia="黑体"/>
                <w:sz w:val="24"/>
              </w:rPr>
              <w:t>31</w:t>
            </w:r>
            <w:r>
              <w:rPr>
                <w:rFonts w:eastAsia="黑体"/>
                <w:sz w:val="24"/>
              </w:rPr>
              <w:t xml:space="preserve">                  </w:t>
            </w:r>
            <w:r>
              <w:rPr>
                <w:rFonts w:hint="eastAsia" w:eastAsia="黑体"/>
                <w:sz w:val="24"/>
              </w:rPr>
              <w:t>解放路</w:t>
            </w:r>
            <w:r>
              <w:rPr>
                <w:rFonts w:eastAsia="黑体"/>
                <w:sz w:val="24"/>
              </w:rPr>
              <w:t>厂区现有工程废气产污环节及治理措施一览表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2161"/>
              <w:gridCol w:w="4110"/>
              <w:gridCol w:w="2268"/>
              <w:gridCol w:w="3402"/>
              <w:gridCol w:w="848"/>
            </w:tblGrid>
            <w:tr w14:paraId="520ABAB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6271" w:type="dxa"/>
                  <w:gridSpan w:val="2"/>
                  <w:vAlign w:val="center"/>
                </w:tcPr>
                <w:p w14:paraId="520ABAB1">
                  <w:pPr>
                    <w:jc w:val="center"/>
                    <w:rPr>
                      <w:b/>
                      <w:szCs w:val="21"/>
                    </w:rPr>
                  </w:pPr>
                  <w:r>
                    <w:rPr>
                      <w:b/>
                      <w:szCs w:val="21"/>
                    </w:rPr>
                    <w:t>产污环节</w:t>
                  </w:r>
                </w:p>
              </w:tc>
              <w:tc>
                <w:tcPr>
                  <w:tcW w:w="2268" w:type="dxa"/>
                  <w:vAlign w:val="center"/>
                </w:tcPr>
                <w:p w14:paraId="520ABAB2">
                  <w:pPr>
                    <w:jc w:val="center"/>
                    <w:rPr>
                      <w:b/>
                      <w:szCs w:val="21"/>
                    </w:rPr>
                  </w:pPr>
                  <w:r>
                    <w:rPr>
                      <w:b/>
                      <w:szCs w:val="21"/>
                    </w:rPr>
                    <w:t>污染物</w:t>
                  </w:r>
                </w:p>
              </w:tc>
              <w:tc>
                <w:tcPr>
                  <w:tcW w:w="3402" w:type="dxa"/>
                  <w:vAlign w:val="center"/>
                </w:tcPr>
                <w:p w14:paraId="520ABAB3">
                  <w:pPr>
                    <w:jc w:val="center"/>
                    <w:rPr>
                      <w:b/>
                      <w:szCs w:val="21"/>
                    </w:rPr>
                  </w:pPr>
                  <w:r>
                    <w:rPr>
                      <w:b/>
                      <w:szCs w:val="21"/>
                    </w:rPr>
                    <w:t>治理措施</w:t>
                  </w:r>
                </w:p>
              </w:tc>
              <w:tc>
                <w:tcPr>
                  <w:tcW w:w="848" w:type="dxa"/>
                  <w:vAlign w:val="center"/>
                </w:tcPr>
                <w:p w14:paraId="520ABAB4">
                  <w:pPr>
                    <w:jc w:val="center"/>
                    <w:rPr>
                      <w:b/>
                      <w:szCs w:val="21"/>
                    </w:rPr>
                  </w:pPr>
                  <w:r>
                    <w:rPr>
                      <w:b/>
                      <w:szCs w:val="21"/>
                    </w:rPr>
                    <w:t>备注</w:t>
                  </w:r>
                </w:p>
              </w:tc>
            </w:tr>
            <w:tr w14:paraId="520ABAB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restart"/>
                  <w:vAlign w:val="center"/>
                </w:tcPr>
                <w:p w14:paraId="520ABAB6">
                  <w:pPr>
                    <w:jc w:val="center"/>
                    <w:rPr>
                      <w:szCs w:val="21"/>
                    </w:rPr>
                  </w:pPr>
                  <w:r>
                    <w:rPr>
                      <w:szCs w:val="21"/>
                    </w:rPr>
                    <w:t>电镀车间</w:t>
                  </w:r>
                </w:p>
              </w:tc>
              <w:tc>
                <w:tcPr>
                  <w:tcW w:w="4110" w:type="dxa"/>
                  <w:vAlign w:val="center"/>
                </w:tcPr>
                <w:p w14:paraId="520ABAB7">
                  <w:pPr>
                    <w:jc w:val="center"/>
                    <w:rPr>
                      <w:szCs w:val="21"/>
                    </w:rPr>
                  </w:pPr>
                  <w:r>
                    <w:rPr>
                      <w:szCs w:val="21"/>
                    </w:rPr>
                    <w:t>化学转化槽、铬酸阳极化槽、重铬酸盐填充槽</w:t>
                  </w:r>
                </w:p>
              </w:tc>
              <w:tc>
                <w:tcPr>
                  <w:tcW w:w="2268" w:type="dxa"/>
                  <w:vAlign w:val="center"/>
                </w:tcPr>
                <w:p w14:paraId="520ABAB8">
                  <w:pPr>
                    <w:jc w:val="center"/>
                    <w:rPr>
                      <w:szCs w:val="21"/>
                    </w:rPr>
                  </w:pPr>
                  <w:r>
                    <w:rPr>
                      <w:szCs w:val="21"/>
                    </w:rPr>
                    <w:t>铬酸雾</w:t>
                  </w:r>
                </w:p>
              </w:tc>
              <w:tc>
                <w:tcPr>
                  <w:tcW w:w="3402" w:type="dxa"/>
                  <w:vMerge w:val="restart"/>
                  <w:vAlign w:val="center"/>
                </w:tcPr>
                <w:p w14:paraId="520ABAB9">
                  <w:pPr>
                    <w:jc w:val="center"/>
                    <w:rPr>
                      <w:bCs/>
                      <w:szCs w:val="21"/>
                    </w:rPr>
                  </w:pPr>
                  <w:r>
                    <w:rPr>
                      <w:bCs/>
                      <w:szCs w:val="21"/>
                    </w:rPr>
                    <w:t>TA001含铬吸收塔001+15m排气筒DA001</w:t>
                  </w:r>
                </w:p>
              </w:tc>
              <w:tc>
                <w:tcPr>
                  <w:tcW w:w="848" w:type="dxa"/>
                  <w:vMerge w:val="restart"/>
                  <w:vAlign w:val="center"/>
                </w:tcPr>
                <w:p w14:paraId="520ABABA">
                  <w:pPr>
                    <w:jc w:val="center"/>
                    <w:rPr>
                      <w:bCs/>
                      <w:szCs w:val="21"/>
                    </w:rPr>
                  </w:pPr>
                  <w:r>
                    <w:rPr>
                      <w:bCs/>
                      <w:szCs w:val="21"/>
                    </w:rPr>
                    <w:t>/</w:t>
                  </w:r>
                </w:p>
              </w:tc>
            </w:tr>
            <w:tr w14:paraId="520ABAC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BC">
                  <w:pPr>
                    <w:jc w:val="center"/>
                    <w:rPr>
                      <w:szCs w:val="21"/>
                    </w:rPr>
                  </w:pPr>
                </w:p>
              </w:tc>
              <w:tc>
                <w:tcPr>
                  <w:tcW w:w="4110" w:type="dxa"/>
                  <w:vAlign w:val="center"/>
                </w:tcPr>
                <w:p w14:paraId="520ABABD">
                  <w:pPr>
                    <w:jc w:val="center"/>
                    <w:rPr>
                      <w:szCs w:val="21"/>
                    </w:rPr>
                  </w:pPr>
                  <w:r>
                    <w:rPr>
                      <w:szCs w:val="21"/>
                    </w:rPr>
                    <w:t>钝化槽</w:t>
                  </w:r>
                </w:p>
              </w:tc>
              <w:tc>
                <w:tcPr>
                  <w:tcW w:w="2268" w:type="dxa"/>
                  <w:vAlign w:val="center"/>
                </w:tcPr>
                <w:p w14:paraId="520ABABE">
                  <w:pPr>
                    <w:jc w:val="center"/>
                    <w:rPr>
                      <w:szCs w:val="21"/>
                    </w:rPr>
                  </w:pPr>
                  <w:r>
                    <w:rPr>
                      <w:szCs w:val="21"/>
                    </w:rPr>
                    <w:t>铬酸雾、硫酸雾、氮氧化物</w:t>
                  </w:r>
                </w:p>
              </w:tc>
              <w:tc>
                <w:tcPr>
                  <w:tcW w:w="3402" w:type="dxa"/>
                  <w:vMerge w:val="continue"/>
                  <w:vAlign w:val="center"/>
                </w:tcPr>
                <w:p w14:paraId="520ABABF">
                  <w:pPr>
                    <w:jc w:val="center"/>
                    <w:rPr>
                      <w:bCs/>
                      <w:szCs w:val="21"/>
                    </w:rPr>
                  </w:pPr>
                </w:p>
              </w:tc>
              <w:tc>
                <w:tcPr>
                  <w:tcW w:w="848" w:type="dxa"/>
                  <w:vMerge w:val="continue"/>
                  <w:vAlign w:val="center"/>
                </w:tcPr>
                <w:p w14:paraId="520ABAC0">
                  <w:pPr>
                    <w:jc w:val="center"/>
                    <w:rPr>
                      <w:bCs/>
                      <w:szCs w:val="21"/>
                    </w:rPr>
                  </w:pPr>
                </w:p>
              </w:tc>
            </w:tr>
            <w:tr w14:paraId="520ABAC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C2">
                  <w:pPr>
                    <w:jc w:val="center"/>
                    <w:rPr>
                      <w:szCs w:val="21"/>
                    </w:rPr>
                  </w:pPr>
                </w:p>
              </w:tc>
              <w:tc>
                <w:tcPr>
                  <w:tcW w:w="4110" w:type="dxa"/>
                  <w:vAlign w:val="center"/>
                </w:tcPr>
                <w:p w14:paraId="520ABAC3">
                  <w:pPr>
                    <w:jc w:val="center"/>
                    <w:rPr>
                      <w:szCs w:val="21"/>
                    </w:rPr>
                  </w:pPr>
                  <w:r>
                    <w:rPr>
                      <w:szCs w:val="21"/>
                    </w:rPr>
                    <w:t>化学除油、除油、中和槽</w:t>
                  </w:r>
                </w:p>
              </w:tc>
              <w:tc>
                <w:tcPr>
                  <w:tcW w:w="2268" w:type="dxa"/>
                  <w:vAlign w:val="center"/>
                </w:tcPr>
                <w:p w14:paraId="520ABAC4">
                  <w:pPr>
                    <w:jc w:val="center"/>
                    <w:rPr>
                      <w:szCs w:val="21"/>
                    </w:rPr>
                  </w:pPr>
                  <w:r>
                    <w:rPr>
                      <w:szCs w:val="21"/>
                    </w:rPr>
                    <w:t>碱雾</w:t>
                  </w:r>
                </w:p>
              </w:tc>
              <w:tc>
                <w:tcPr>
                  <w:tcW w:w="3402" w:type="dxa"/>
                  <w:vMerge w:val="restart"/>
                  <w:vAlign w:val="center"/>
                </w:tcPr>
                <w:p w14:paraId="520ABAC5">
                  <w:pPr>
                    <w:jc w:val="center"/>
                    <w:rPr>
                      <w:bCs/>
                      <w:szCs w:val="21"/>
                    </w:rPr>
                  </w:pPr>
                  <w:r>
                    <w:rPr>
                      <w:bCs/>
                      <w:szCs w:val="21"/>
                    </w:rPr>
                    <w:t>TA002酸碱吸收塔002+15m排气筒DA002</w:t>
                  </w:r>
                </w:p>
              </w:tc>
              <w:tc>
                <w:tcPr>
                  <w:tcW w:w="848" w:type="dxa"/>
                  <w:vMerge w:val="restart"/>
                  <w:vAlign w:val="center"/>
                </w:tcPr>
                <w:p w14:paraId="520ABAC6">
                  <w:pPr>
                    <w:jc w:val="center"/>
                    <w:rPr>
                      <w:bCs/>
                      <w:szCs w:val="21"/>
                    </w:rPr>
                  </w:pPr>
                  <w:r>
                    <w:rPr>
                      <w:rFonts w:hint="eastAsia"/>
                      <w:bCs/>
                      <w:szCs w:val="21"/>
                    </w:rPr>
                    <w:t>/</w:t>
                  </w:r>
                </w:p>
              </w:tc>
            </w:tr>
            <w:tr w14:paraId="520ABAC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C8">
                  <w:pPr>
                    <w:jc w:val="center"/>
                    <w:rPr>
                      <w:szCs w:val="21"/>
                    </w:rPr>
                  </w:pPr>
                </w:p>
              </w:tc>
              <w:tc>
                <w:tcPr>
                  <w:tcW w:w="4110" w:type="dxa"/>
                  <w:vAlign w:val="center"/>
                </w:tcPr>
                <w:p w14:paraId="520ABAC9">
                  <w:pPr>
                    <w:jc w:val="center"/>
                    <w:rPr>
                      <w:szCs w:val="21"/>
                    </w:rPr>
                  </w:pPr>
                  <w:r>
                    <w:rPr>
                      <w:szCs w:val="21"/>
                    </w:rPr>
                    <w:t>出光槽、脱氧槽、浸蚀槽</w:t>
                  </w:r>
                </w:p>
              </w:tc>
              <w:tc>
                <w:tcPr>
                  <w:tcW w:w="2268" w:type="dxa"/>
                  <w:vAlign w:val="center"/>
                </w:tcPr>
                <w:p w14:paraId="520ABACA">
                  <w:pPr>
                    <w:jc w:val="center"/>
                    <w:rPr>
                      <w:szCs w:val="21"/>
                    </w:rPr>
                  </w:pPr>
                  <w:r>
                    <w:rPr>
                      <w:szCs w:val="21"/>
                    </w:rPr>
                    <w:t>氮氧化物</w:t>
                  </w:r>
                </w:p>
              </w:tc>
              <w:tc>
                <w:tcPr>
                  <w:tcW w:w="3402" w:type="dxa"/>
                  <w:vMerge w:val="continue"/>
                  <w:vAlign w:val="center"/>
                </w:tcPr>
                <w:p w14:paraId="520ABACB">
                  <w:pPr>
                    <w:jc w:val="center"/>
                    <w:rPr>
                      <w:bCs/>
                      <w:szCs w:val="21"/>
                    </w:rPr>
                  </w:pPr>
                </w:p>
              </w:tc>
              <w:tc>
                <w:tcPr>
                  <w:tcW w:w="848" w:type="dxa"/>
                  <w:vMerge w:val="continue"/>
                  <w:vAlign w:val="center"/>
                </w:tcPr>
                <w:p w14:paraId="520ABACC">
                  <w:pPr>
                    <w:jc w:val="center"/>
                    <w:rPr>
                      <w:bCs/>
                      <w:szCs w:val="21"/>
                    </w:rPr>
                  </w:pPr>
                </w:p>
              </w:tc>
            </w:tr>
            <w:tr w14:paraId="520ABAD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CE">
                  <w:pPr>
                    <w:jc w:val="center"/>
                    <w:rPr>
                      <w:szCs w:val="21"/>
                    </w:rPr>
                  </w:pPr>
                </w:p>
              </w:tc>
              <w:tc>
                <w:tcPr>
                  <w:tcW w:w="4110" w:type="dxa"/>
                  <w:vAlign w:val="center"/>
                </w:tcPr>
                <w:p w14:paraId="520ABACF">
                  <w:pPr>
                    <w:jc w:val="center"/>
                    <w:rPr>
                      <w:szCs w:val="21"/>
                    </w:rPr>
                  </w:pPr>
                  <w:r>
                    <w:rPr>
                      <w:szCs w:val="21"/>
                    </w:rPr>
                    <w:t>硫酸阳极化槽、出光槽、冲击镀镍槽、电抛光槽、化学镀镍槽</w:t>
                  </w:r>
                </w:p>
              </w:tc>
              <w:tc>
                <w:tcPr>
                  <w:tcW w:w="2268" w:type="dxa"/>
                  <w:vAlign w:val="center"/>
                </w:tcPr>
                <w:p w14:paraId="520ABAD0">
                  <w:pPr>
                    <w:jc w:val="center"/>
                    <w:rPr>
                      <w:szCs w:val="21"/>
                    </w:rPr>
                  </w:pPr>
                  <w:r>
                    <w:rPr>
                      <w:szCs w:val="21"/>
                    </w:rPr>
                    <w:t>硫酸雾</w:t>
                  </w:r>
                </w:p>
              </w:tc>
              <w:tc>
                <w:tcPr>
                  <w:tcW w:w="3402" w:type="dxa"/>
                  <w:vMerge w:val="continue"/>
                  <w:vAlign w:val="center"/>
                </w:tcPr>
                <w:p w14:paraId="520ABAD1">
                  <w:pPr>
                    <w:jc w:val="center"/>
                    <w:rPr>
                      <w:bCs/>
                      <w:szCs w:val="21"/>
                    </w:rPr>
                  </w:pPr>
                </w:p>
              </w:tc>
              <w:tc>
                <w:tcPr>
                  <w:tcW w:w="848" w:type="dxa"/>
                  <w:vMerge w:val="continue"/>
                  <w:vAlign w:val="center"/>
                </w:tcPr>
                <w:p w14:paraId="520ABAD2">
                  <w:pPr>
                    <w:jc w:val="center"/>
                    <w:rPr>
                      <w:bCs/>
                      <w:szCs w:val="21"/>
                    </w:rPr>
                  </w:pPr>
                </w:p>
              </w:tc>
            </w:tr>
            <w:tr w14:paraId="520ABAD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D4">
                  <w:pPr>
                    <w:jc w:val="center"/>
                    <w:rPr>
                      <w:szCs w:val="21"/>
                    </w:rPr>
                  </w:pPr>
                </w:p>
              </w:tc>
              <w:tc>
                <w:tcPr>
                  <w:tcW w:w="4110" w:type="dxa"/>
                  <w:vAlign w:val="center"/>
                </w:tcPr>
                <w:p w14:paraId="520ABAD5">
                  <w:pPr>
                    <w:jc w:val="center"/>
                    <w:rPr>
                      <w:szCs w:val="21"/>
                    </w:rPr>
                  </w:pPr>
                  <w:r>
                    <w:rPr>
                      <w:szCs w:val="21"/>
                    </w:rPr>
                    <w:t>酸洗槽</w:t>
                  </w:r>
                </w:p>
              </w:tc>
              <w:tc>
                <w:tcPr>
                  <w:tcW w:w="2268" w:type="dxa"/>
                  <w:vAlign w:val="center"/>
                </w:tcPr>
                <w:p w14:paraId="520ABAD6">
                  <w:pPr>
                    <w:jc w:val="center"/>
                    <w:rPr>
                      <w:szCs w:val="21"/>
                    </w:rPr>
                  </w:pPr>
                  <w:r>
                    <w:rPr>
                      <w:szCs w:val="21"/>
                    </w:rPr>
                    <w:t>氯化氢</w:t>
                  </w:r>
                </w:p>
              </w:tc>
              <w:tc>
                <w:tcPr>
                  <w:tcW w:w="3402" w:type="dxa"/>
                  <w:vMerge w:val="continue"/>
                  <w:vAlign w:val="center"/>
                </w:tcPr>
                <w:p w14:paraId="520ABAD7">
                  <w:pPr>
                    <w:jc w:val="center"/>
                    <w:rPr>
                      <w:bCs/>
                      <w:szCs w:val="21"/>
                    </w:rPr>
                  </w:pPr>
                </w:p>
              </w:tc>
              <w:tc>
                <w:tcPr>
                  <w:tcW w:w="848" w:type="dxa"/>
                  <w:vMerge w:val="continue"/>
                  <w:vAlign w:val="center"/>
                </w:tcPr>
                <w:p w14:paraId="520ABAD8">
                  <w:pPr>
                    <w:jc w:val="center"/>
                    <w:rPr>
                      <w:bCs/>
                      <w:szCs w:val="21"/>
                    </w:rPr>
                  </w:pPr>
                </w:p>
              </w:tc>
            </w:tr>
            <w:tr w14:paraId="520ABAD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DA">
                  <w:pPr>
                    <w:jc w:val="center"/>
                    <w:rPr>
                      <w:szCs w:val="21"/>
                    </w:rPr>
                  </w:pPr>
                </w:p>
              </w:tc>
              <w:tc>
                <w:tcPr>
                  <w:tcW w:w="4110" w:type="dxa"/>
                  <w:vAlign w:val="center"/>
                </w:tcPr>
                <w:p w14:paraId="520ABADB">
                  <w:pPr>
                    <w:jc w:val="center"/>
                    <w:rPr>
                      <w:szCs w:val="21"/>
                    </w:rPr>
                  </w:pPr>
                  <w:r>
                    <w:rPr>
                      <w:szCs w:val="21"/>
                    </w:rPr>
                    <w:t>出光槽</w:t>
                  </w:r>
                </w:p>
              </w:tc>
              <w:tc>
                <w:tcPr>
                  <w:tcW w:w="2268" w:type="dxa"/>
                  <w:vAlign w:val="center"/>
                </w:tcPr>
                <w:p w14:paraId="520ABADC">
                  <w:pPr>
                    <w:jc w:val="center"/>
                    <w:rPr>
                      <w:szCs w:val="21"/>
                    </w:rPr>
                  </w:pPr>
                  <w:r>
                    <w:rPr>
                      <w:szCs w:val="21"/>
                    </w:rPr>
                    <w:t>铬酸雾、硫酸雾</w:t>
                  </w:r>
                </w:p>
              </w:tc>
              <w:tc>
                <w:tcPr>
                  <w:tcW w:w="3402" w:type="dxa"/>
                  <w:vMerge w:val="restart"/>
                  <w:vAlign w:val="center"/>
                </w:tcPr>
                <w:p w14:paraId="520ABADD">
                  <w:pPr>
                    <w:jc w:val="center"/>
                    <w:rPr>
                      <w:bCs/>
                      <w:szCs w:val="21"/>
                    </w:rPr>
                  </w:pPr>
                  <w:r>
                    <w:rPr>
                      <w:bCs/>
                      <w:szCs w:val="21"/>
                    </w:rPr>
                    <w:t>TA003含铬吸收塔003+15m排气筒DA003</w:t>
                  </w:r>
                </w:p>
              </w:tc>
              <w:tc>
                <w:tcPr>
                  <w:tcW w:w="848" w:type="dxa"/>
                  <w:vMerge w:val="restart"/>
                  <w:vAlign w:val="center"/>
                </w:tcPr>
                <w:p w14:paraId="520ABADE">
                  <w:pPr>
                    <w:jc w:val="center"/>
                    <w:rPr>
                      <w:bCs/>
                      <w:szCs w:val="21"/>
                    </w:rPr>
                  </w:pPr>
                  <w:r>
                    <w:rPr>
                      <w:rFonts w:hint="eastAsia"/>
                      <w:bCs/>
                      <w:szCs w:val="21"/>
                    </w:rPr>
                    <w:t>/</w:t>
                  </w:r>
                </w:p>
              </w:tc>
            </w:tr>
            <w:tr w14:paraId="520ABAE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E0">
                  <w:pPr>
                    <w:jc w:val="center"/>
                    <w:rPr>
                      <w:szCs w:val="21"/>
                    </w:rPr>
                  </w:pPr>
                </w:p>
              </w:tc>
              <w:tc>
                <w:tcPr>
                  <w:tcW w:w="4110" w:type="dxa"/>
                  <w:vAlign w:val="center"/>
                </w:tcPr>
                <w:p w14:paraId="520ABAE1">
                  <w:pPr>
                    <w:jc w:val="center"/>
                    <w:rPr>
                      <w:szCs w:val="21"/>
                    </w:rPr>
                  </w:pPr>
                  <w:r>
                    <w:rPr>
                      <w:szCs w:val="21"/>
                    </w:rPr>
                    <w:t>退铬槽、钝化槽、镀铬槽、镁合金化学氧化槽、填充槽</w:t>
                  </w:r>
                </w:p>
              </w:tc>
              <w:tc>
                <w:tcPr>
                  <w:tcW w:w="2268" w:type="dxa"/>
                  <w:vAlign w:val="center"/>
                </w:tcPr>
                <w:p w14:paraId="520ABAE2">
                  <w:pPr>
                    <w:jc w:val="center"/>
                    <w:rPr>
                      <w:szCs w:val="21"/>
                    </w:rPr>
                  </w:pPr>
                  <w:r>
                    <w:rPr>
                      <w:szCs w:val="21"/>
                    </w:rPr>
                    <w:t>铬酸雾</w:t>
                  </w:r>
                </w:p>
              </w:tc>
              <w:tc>
                <w:tcPr>
                  <w:tcW w:w="3402" w:type="dxa"/>
                  <w:vMerge w:val="continue"/>
                  <w:vAlign w:val="center"/>
                </w:tcPr>
                <w:p w14:paraId="520ABAE3">
                  <w:pPr>
                    <w:jc w:val="center"/>
                    <w:rPr>
                      <w:bCs/>
                      <w:szCs w:val="21"/>
                    </w:rPr>
                  </w:pPr>
                </w:p>
              </w:tc>
              <w:tc>
                <w:tcPr>
                  <w:tcW w:w="848" w:type="dxa"/>
                  <w:vMerge w:val="continue"/>
                  <w:vAlign w:val="center"/>
                </w:tcPr>
                <w:p w14:paraId="520ABAE4">
                  <w:pPr>
                    <w:jc w:val="center"/>
                    <w:rPr>
                      <w:bCs/>
                      <w:szCs w:val="21"/>
                    </w:rPr>
                  </w:pPr>
                </w:p>
              </w:tc>
            </w:tr>
            <w:tr w14:paraId="520ABAE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E6">
                  <w:pPr>
                    <w:jc w:val="center"/>
                    <w:rPr>
                      <w:szCs w:val="21"/>
                    </w:rPr>
                  </w:pPr>
                </w:p>
              </w:tc>
              <w:tc>
                <w:tcPr>
                  <w:tcW w:w="4110" w:type="dxa"/>
                  <w:vAlign w:val="center"/>
                </w:tcPr>
                <w:p w14:paraId="520ABAE7">
                  <w:pPr>
                    <w:jc w:val="center"/>
                    <w:rPr>
                      <w:szCs w:val="21"/>
                    </w:rPr>
                  </w:pPr>
                  <w:r>
                    <w:rPr>
                      <w:szCs w:val="21"/>
                    </w:rPr>
                    <w:t>除油槽、发蓝槽、皂化槽、碱腐蚀槽</w:t>
                  </w:r>
                </w:p>
              </w:tc>
              <w:tc>
                <w:tcPr>
                  <w:tcW w:w="2268" w:type="dxa"/>
                  <w:vAlign w:val="center"/>
                </w:tcPr>
                <w:p w14:paraId="520ABAE8">
                  <w:pPr>
                    <w:jc w:val="center"/>
                    <w:rPr>
                      <w:szCs w:val="21"/>
                    </w:rPr>
                  </w:pPr>
                  <w:r>
                    <w:rPr>
                      <w:szCs w:val="21"/>
                    </w:rPr>
                    <w:t>碱雾</w:t>
                  </w:r>
                </w:p>
              </w:tc>
              <w:tc>
                <w:tcPr>
                  <w:tcW w:w="3402" w:type="dxa"/>
                  <w:vMerge w:val="restart"/>
                  <w:vAlign w:val="center"/>
                </w:tcPr>
                <w:p w14:paraId="520ABAE9">
                  <w:pPr>
                    <w:jc w:val="center"/>
                    <w:rPr>
                      <w:bCs/>
                      <w:szCs w:val="21"/>
                    </w:rPr>
                  </w:pPr>
                  <w:r>
                    <w:rPr>
                      <w:bCs/>
                      <w:szCs w:val="21"/>
                    </w:rPr>
                    <w:t>TA004酸碱吸收塔004+15m排气筒DA004</w:t>
                  </w:r>
                </w:p>
              </w:tc>
              <w:tc>
                <w:tcPr>
                  <w:tcW w:w="848" w:type="dxa"/>
                  <w:vMerge w:val="restart"/>
                  <w:vAlign w:val="center"/>
                </w:tcPr>
                <w:p w14:paraId="520ABAEA">
                  <w:pPr>
                    <w:jc w:val="center"/>
                    <w:rPr>
                      <w:bCs/>
                      <w:szCs w:val="21"/>
                    </w:rPr>
                  </w:pPr>
                  <w:r>
                    <w:rPr>
                      <w:rFonts w:hint="eastAsia"/>
                      <w:bCs/>
                      <w:szCs w:val="21"/>
                    </w:rPr>
                    <w:t>/</w:t>
                  </w:r>
                </w:p>
              </w:tc>
            </w:tr>
            <w:tr w14:paraId="520ABAF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EC">
                  <w:pPr>
                    <w:jc w:val="center"/>
                    <w:rPr>
                      <w:szCs w:val="21"/>
                    </w:rPr>
                  </w:pPr>
                </w:p>
              </w:tc>
              <w:tc>
                <w:tcPr>
                  <w:tcW w:w="4110" w:type="dxa"/>
                  <w:vAlign w:val="center"/>
                </w:tcPr>
                <w:p w14:paraId="520ABAED">
                  <w:pPr>
                    <w:jc w:val="center"/>
                    <w:rPr>
                      <w:szCs w:val="21"/>
                    </w:rPr>
                  </w:pPr>
                  <w:r>
                    <w:rPr>
                      <w:szCs w:val="21"/>
                    </w:rPr>
                    <w:t>酸洗槽</w:t>
                  </w:r>
                </w:p>
              </w:tc>
              <w:tc>
                <w:tcPr>
                  <w:tcW w:w="2268" w:type="dxa"/>
                  <w:vAlign w:val="center"/>
                </w:tcPr>
                <w:p w14:paraId="520ABAEE">
                  <w:pPr>
                    <w:jc w:val="center"/>
                    <w:rPr>
                      <w:szCs w:val="21"/>
                    </w:rPr>
                  </w:pPr>
                  <w:r>
                    <w:rPr>
                      <w:szCs w:val="21"/>
                    </w:rPr>
                    <w:t>氯化氢</w:t>
                  </w:r>
                </w:p>
              </w:tc>
              <w:tc>
                <w:tcPr>
                  <w:tcW w:w="3402" w:type="dxa"/>
                  <w:vMerge w:val="continue"/>
                  <w:vAlign w:val="center"/>
                </w:tcPr>
                <w:p w14:paraId="520ABAEF">
                  <w:pPr>
                    <w:jc w:val="center"/>
                    <w:rPr>
                      <w:bCs/>
                      <w:szCs w:val="21"/>
                    </w:rPr>
                  </w:pPr>
                </w:p>
              </w:tc>
              <w:tc>
                <w:tcPr>
                  <w:tcW w:w="848" w:type="dxa"/>
                  <w:vMerge w:val="continue"/>
                  <w:vAlign w:val="center"/>
                </w:tcPr>
                <w:p w14:paraId="520ABAF0">
                  <w:pPr>
                    <w:jc w:val="center"/>
                    <w:rPr>
                      <w:bCs/>
                      <w:szCs w:val="21"/>
                    </w:rPr>
                  </w:pPr>
                </w:p>
              </w:tc>
            </w:tr>
            <w:tr w14:paraId="520ABAF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F2">
                  <w:pPr>
                    <w:jc w:val="center"/>
                    <w:rPr>
                      <w:szCs w:val="21"/>
                    </w:rPr>
                  </w:pPr>
                </w:p>
              </w:tc>
              <w:tc>
                <w:tcPr>
                  <w:tcW w:w="4110" w:type="dxa"/>
                  <w:vAlign w:val="center"/>
                </w:tcPr>
                <w:p w14:paraId="520ABAF3">
                  <w:pPr>
                    <w:jc w:val="center"/>
                    <w:rPr>
                      <w:szCs w:val="21"/>
                    </w:rPr>
                  </w:pPr>
                  <w:r>
                    <w:rPr>
                      <w:szCs w:val="21"/>
                    </w:rPr>
                    <w:t>弱腐蚀槽、活化槽、出光槽</w:t>
                  </w:r>
                </w:p>
              </w:tc>
              <w:tc>
                <w:tcPr>
                  <w:tcW w:w="2268" w:type="dxa"/>
                  <w:vAlign w:val="center"/>
                </w:tcPr>
                <w:p w14:paraId="520ABAF4">
                  <w:pPr>
                    <w:jc w:val="center"/>
                    <w:rPr>
                      <w:szCs w:val="21"/>
                    </w:rPr>
                  </w:pPr>
                  <w:r>
                    <w:rPr>
                      <w:szCs w:val="21"/>
                    </w:rPr>
                    <w:t>硫酸雾</w:t>
                  </w:r>
                </w:p>
              </w:tc>
              <w:tc>
                <w:tcPr>
                  <w:tcW w:w="3402" w:type="dxa"/>
                  <w:vMerge w:val="continue"/>
                  <w:vAlign w:val="center"/>
                </w:tcPr>
                <w:p w14:paraId="520ABAF5">
                  <w:pPr>
                    <w:jc w:val="center"/>
                    <w:rPr>
                      <w:bCs/>
                      <w:szCs w:val="21"/>
                    </w:rPr>
                  </w:pPr>
                </w:p>
              </w:tc>
              <w:tc>
                <w:tcPr>
                  <w:tcW w:w="848" w:type="dxa"/>
                  <w:vMerge w:val="continue"/>
                  <w:vAlign w:val="center"/>
                </w:tcPr>
                <w:p w14:paraId="520ABAF6">
                  <w:pPr>
                    <w:jc w:val="center"/>
                    <w:rPr>
                      <w:bCs/>
                      <w:szCs w:val="21"/>
                    </w:rPr>
                  </w:pPr>
                </w:p>
              </w:tc>
            </w:tr>
            <w:tr w14:paraId="520ABAF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F8">
                  <w:pPr>
                    <w:jc w:val="center"/>
                    <w:rPr>
                      <w:szCs w:val="21"/>
                    </w:rPr>
                  </w:pPr>
                </w:p>
              </w:tc>
              <w:tc>
                <w:tcPr>
                  <w:tcW w:w="4110" w:type="dxa"/>
                  <w:vAlign w:val="center"/>
                </w:tcPr>
                <w:p w14:paraId="520ABAF9">
                  <w:pPr>
                    <w:jc w:val="center"/>
                    <w:rPr>
                      <w:szCs w:val="21"/>
                    </w:rPr>
                  </w:pPr>
                  <w:r>
                    <w:rPr>
                      <w:szCs w:val="21"/>
                    </w:rPr>
                    <w:t>退镍槽、出光槽</w:t>
                  </w:r>
                </w:p>
              </w:tc>
              <w:tc>
                <w:tcPr>
                  <w:tcW w:w="2268" w:type="dxa"/>
                  <w:vAlign w:val="center"/>
                </w:tcPr>
                <w:p w14:paraId="520ABAFA">
                  <w:pPr>
                    <w:jc w:val="center"/>
                    <w:rPr>
                      <w:szCs w:val="21"/>
                    </w:rPr>
                  </w:pPr>
                  <w:r>
                    <w:rPr>
                      <w:szCs w:val="21"/>
                    </w:rPr>
                    <w:t>氮氧化物</w:t>
                  </w:r>
                </w:p>
              </w:tc>
              <w:tc>
                <w:tcPr>
                  <w:tcW w:w="3402" w:type="dxa"/>
                  <w:vMerge w:val="continue"/>
                  <w:vAlign w:val="center"/>
                </w:tcPr>
                <w:p w14:paraId="520ABAFB">
                  <w:pPr>
                    <w:jc w:val="center"/>
                    <w:rPr>
                      <w:bCs/>
                      <w:szCs w:val="21"/>
                    </w:rPr>
                  </w:pPr>
                </w:p>
              </w:tc>
              <w:tc>
                <w:tcPr>
                  <w:tcW w:w="848" w:type="dxa"/>
                  <w:vMerge w:val="continue"/>
                  <w:vAlign w:val="center"/>
                </w:tcPr>
                <w:p w14:paraId="520ABAFC">
                  <w:pPr>
                    <w:jc w:val="center"/>
                    <w:rPr>
                      <w:bCs/>
                      <w:szCs w:val="21"/>
                    </w:rPr>
                  </w:pPr>
                </w:p>
              </w:tc>
            </w:tr>
            <w:tr w14:paraId="520ABB0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AFE">
                  <w:pPr>
                    <w:jc w:val="center"/>
                    <w:rPr>
                      <w:szCs w:val="21"/>
                    </w:rPr>
                  </w:pPr>
                </w:p>
              </w:tc>
              <w:tc>
                <w:tcPr>
                  <w:tcW w:w="4110" w:type="dxa"/>
                  <w:vAlign w:val="center"/>
                </w:tcPr>
                <w:p w14:paraId="520ABAFF">
                  <w:pPr>
                    <w:jc w:val="center"/>
                    <w:rPr>
                      <w:szCs w:val="21"/>
                    </w:rPr>
                  </w:pPr>
                  <w:r>
                    <w:rPr>
                      <w:szCs w:val="21"/>
                    </w:rPr>
                    <w:t>活化槽、镀铜槽、镀锌槽、镀镉槽</w:t>
                  </w:r>
                </w:p>
              </w:tc>
              <w:tc>
                <w:tcPr>
                  <w:tcW w:w="2268" w:type="dxa"/>
                  <w:vAlign w:val="center"/>
                </w:tcPr>
                <w:p w14:paraId="520ABB00">
                  <w:pPr>
                    <w:jc w:val="center"/>
                    <w:rPr>
                      <w:szCs w:val="21"/>
                    </w:rPr>
                  </w:pPr>
                  <w:r>
                    <w:rPr>
                      <w:szCs w:val="21"/>
                    </w:rPr>
                    <w:t>氰化氢</w:t>
                  </w:r>
                </w:p>
              </w:tc>
              <w:tc>
                <w:tcPr>
                  <w:tcW w:w="3402" w:type="dxa"/>
                  <w:vAlign w:val="center"/>
                </w:tcPr>
                <w:p w14:paraId="520ABB01">
                  <w:pPr>
                    <w:jc w:val="center"/>
                    <w:rPr>
                      <w:bCs/>
                      <w:szCs w:val="21"/>
                    </w:rPr>
                  </w:pPr>
                  <w:r>
                    <w:rPr>
                      <w:bCs/>
                      <w:szCs w:val="21"/>
                    </w:rPr>
                    <w:t>TA005含氰吸收塔005+25m排气筒DA005</w:t>
                  </w:r>
                </w:p>
              </w:tc>
              <w:tc>
                <w:tcPr>
                  <w:tcW w:w="848" w:type="dxa"/>
                  <w:vAlign w:val="center"/>
                </w:tcPr>
                <w:p w14:paraId="520ABB02">
                  <w:pPr>
                    <w:jc w:val="center"/>
                    <w:rPr>
                      <w:bCs/>
                      <w:szCs w:val="21"/>
                    </w:rPr>
                  </w:pPr>
                  <w:r>
                    <w:rPr>
                      <w:rFonts w:hint="eastAsia"/>
                      <w:bCs/>
                      <w:szCs w:val="21"/>
                    </w:rPr>
                    <w:t>/</w:t>
                  </w:r>
                </w:p>
              </w:tc>
            </w:tr>
            <w:tr w14:paraId="520ABB0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B04">
                  <w:pPr>
                    <w:jc w:val="center"/>
                    <w:rPr>
                      <w:szCs w:val="21"/>
                    </w:rPr>
                  </w:pPr>
                </w:p>
              </w:tc>
              <w:tc>
                <w:tcPr>
                  <w:tcW w:w="4110" w:type="dxa"/>
                  <w:vAlign w:val="center"/>
                </w:tcPr>
                <w:p w14:paraId="520ABB05">
                  <w:pPr>
                    <w:jc w:val="center"/>
                    <w:rPr>
                      <w:szCs w:val="21"/>
                    </w:rPr>
                  </w:pPr>
                  <w:r>
                    <w:rPr>
                      <w:szCs w:val="21"/>
                    </w:rPr>
                    <w:t>除油槽、碱腐蚀槽</w:t>
                  </w:r>
                </w:p>
              </w:tc>
              <w:tc>
                <w:tcPr>
                  <w:tcW w:w="2268" w:type="dxa"/>
                  <w:vAlign w:val="center"/>
                </w:tcPr>
                <w:p w14:paraId="520ABB06">
                  <w:pPr>
                    <w:jc w:val="center"/>
                    <w:rPr>
                      <w:szCs w:val="21"/>
                    </w:rPr>
                  </w:pPr>
                  <w:r>
                    <w:rPr>
                      <w:szCs w:val="21"/>
                    </w:rPr>
                    <w:t>碱雾</w:t>
                  </w:r>
                </w:p>
              </w:tc>
              <w:tc>
                <w:tcPr>
                  <w:tcW w:w="3402" w:type="dxa"/>
                  <w:vMerge w:val="restart"/>
                  <w:vAlign w:val="center"/>
                </w:tcPr>
                <w:p w14:paraId="520ABB07">
                  <w:pPr>
                    <w:jc w:val="center"/>
                    <w:rPr>
                      <w:bCs/>
                      <w:szCs w:val="21"/>
                    </w:rPr>
                  </w:pPr>
                  <w:r>
                    <w:rPr>
                      <w:bCs/>
                      <w:szCs w:val="21"/>
                    </w:rPr>
                    <w:t>TA006酸碱吸收塔006+15m排气筒DA006</w:t>
                  </w:r>
                </w:p>
              </w:tc>
              <w:tc>
                <w:tcPr>
                  <w:tcW w:w="848" w:type="dxa"/>
                  <w:vMerge w:val="restart"/>
                  <w:vAlign w:val="center"/>
                </w:tcPr>
                <w:p w14:paraId="520ABB08">
                  <w:pPr>
                    <w:jc w:val="center"/>
                    <w:rPr>
                      <w:bCs/>
                      <w:szCs w:val="21"/>
                    </w:rPr>
                  </w:pPr>
                  <w:r>
                    <w:rPr>
                      <w:rFonts w:hint="eastAsia"/>
                      <w:bCs/>
                      <w:szCs w:val="21"/>
                    </w:rPr>
                    <w:t>/</w:t>
                  </w:r>
                </w:p>
              </w:tc>
            </w:tr>
            <w:tr w14:paraId="520ABB0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B0A">
                  <w:pPr>
                    <w:jc w:val="center"/>
                    <w:rPr>
                      <w:szCs w:val="21"/>
                    </w:rPr>
                  </w:pPr>
                </w:p>
              </w:tc>
              <w:tc>
                <w:tcPr>
                  <w:tcW w:w="4110" w:type="dxa"/>
                  <w:vAlign w:val="center"/>
                </w:tcPr>
                <w:p w14:paraId="520ABB0B">
                  <w:pPr>
                    <w:jc w:val="center"/>
                    <w:rPr>
                      <w:szCs w:val="21"/>
                    </w:rPr>
                  </w:pPr>
                  <w:r>
                    <w:rPr>
                      <w:szCs w:val="21"/>
                    </w:rPr>
                    <w:t>强腐蚀槽</w:t>
                  </w:r>
                </w:p>
              </w:tc>
              <w:tc>
                <w:tcPr>
                  <w:tcW w:w="2268" w:type="dxa"/>
                  <w:vAlign w:val="center"/>
                </w:tcPr>
                <w:p w14:paraId="520ABB0C">
                  <w:pPr>
                    <w:jc w:val="center"/>
                    <w:rPr>
                      <w:szCs w:val="21"/>
                    </w:rPr>
                  </w:pPr>
                  <w:r>
                    <w:rPr>
                      <w:szCs w:val="21"/>
                    </w:rPr>
                    <w:t>氯化氢</w:t>
                  </w:r>
                </w:p>
              </w:tc>
              <w:tc>
                <w:tcPr>
                  <w:tcW w:w="3402" w:type="dxa"/>
                  <w:vMerge w:val="continue"/>
                  <w:vAlign w:val="center"/>
                </w:tcPr>
                <w:p w14:paraId="520ABB0D">
                  <w:pPr>
                    <w:jc w:val="center"/>
                    <w:rPr>
                      <w:bCs/>
                      <w:szCs w:val="21"/>
                    </w:rPr>
                  </w:pPr>
                </w:p>
              </w:tc>
              <w:tc>
                <w:tcPr>
                  <w:tcW w:w="848" w:type="dxa"/>
                  <w:vMerge w:val="continue"/>
                  <w:vAlign w:val="center"/>
                </w:tcPr>
                <w:p w14:paraId="520ABB0E">
                  <w:pPr>
                    <w:jc w:val="center"/>
                    <w:rPr>
                      <w:bCs/>
                      <w:szCs w:val="21"/>
                    </w:rPr>
                  </w:pPr>
                </w:p>
              </w:tc>
            </w:tr>
            <w:tr w14:paraId="520ABB1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B10">
                  <w:pPr>
                    <w:jc w:val="center"/>
                    <w:rPr>
                      <w:szCs w:val="21"/>
                    </w:rPr>
                  </w:pPr>
                </w:p>
              </w:tc>
              <w:tc>
                <w:tcPr>
                  <w:tcW w:w="4110" w:type="dxa"/>
                  <w:vAlign w:val="center"/>
                </w:tcPr>
                <w:p w14:paraId="520ABB11">
                  <w:pPr>
                    <w:jc w:val="center"/>
                    <w:rPr>
                      <w:szCs w:val="21"/>
                    </w:rPr>
                  </w:pPr>
                  <w:r>
                    <w:rPr>
                      <w:szCs w:val="21"/>
                    </w:rPr>
                    <w:t>弱腐蚀槽、厚膜阳极化槽、硬阳槽、硫酸阳极化槽</w:t>
                  </w:r>
                </w:p>
              </w:tc>
              <w:tc>
                <w:tcPr>
                  <w:tcW w:w="2268" w:type="dxa"/>
                  <w:vAlign w:val="center"/>
                </w:tcPr>
                <w:p w14:paraId="520ABB12">
                  <w:pPr>
                    <w:jc w:val="center"/>
                    <w:rPr>
                      <w:szCs w:val="21"/>
                    </w:rPr>
                  </w:pPr>
                  <w:r>
                    <w:rPr>
                      <w:szCs w:val="21"/>
                    </w:rPr>
                    <w:t>硫酸雾</w:t>
                  </w:r>
                </w:p>
              </w:tc>
              <w:tc>
                <w:tcPr>
                  <w:tcW w:w="3402" w:type="dxa"/>
                  <w:vMerge w:val="continue"/>
                  <w:vAlign w:val="center"/>
                </w:tcPr>
                <w:p w14:paraId="520ABB13">
                  <w:pPr>
                    <w:jc w:val="center"/>
                    <w:rPr>
                      <w:bCs/>
                      <w:szCs w:val="21"/>
                    </w:rPr>
                  </w:pPr>
                </w:p>
              </w:tc>
              <w:tc>
                <w:tcPr>
                  <w:tcW w:w="848" w:type="dxa"/>
                  <w:vMerge w:val="continue"/>
                  <w:vAlign w:val="center"/>
                </w:tcPr>
                <w:p w14:paraId="520ABB14">
                  <w:pPr>
                    <w:jc w:val="center"/>
                    <w:rPr>
                      <w:bCs/>
                      <w:szCs w:val="21"/>
                    </w:rPr>
                  </w:pPr>
                </w:p>
              </w:tc>
            </w:tr>
            <w:tr w14:paraId="520ABB1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B16">
                  <w:pPr>
                    <w:jc w:val="center"/>
                    <w:rPr>
                      <w:szCs w:val="21"/>
                    </w:rPr>
                  </w:pPr>
                </w:p>
              </w:tc>
              <w:tc>
                <w:tcPr>
                  <w:tcW w:w="4110" w:type="dxa"/>
                  <w:vAlign w:val="center"/>
                </w:tcPr>
                <w:p w14:paraId="520ABB17">
                  <w:pPr>
                    <w:jc w:val="center"/>
                    <w:rPr>
                      <w:szCs w:val="21"/>
                    </w:rPr>
                  </w:pPr>
                  <w:r>
                    <w:rPr>
                      <w:szCs w:val="21"/>
                    </w:rPr>
                    <w:t>出光槽</w:t>
                  </w:r>
                </w:p>
              </w:tc>
              <w:tc>
                <w:tcPr>
                  <w:tcW w:w="2268" w:type="dxa"/>
                  <w:vAlign w:val="center"/>
                </w:tcPr>
                <w:p w14:paraId="520ABB18">
                  <w:pPr>
                    <w:jc w:val="center"/>
                    <w:rPr>
                      <w:szCs w:val="21"/>
                    </w:rPr>
                  </w:pPr>
                  <w:r>
                    <w:rPr>
                      <w:szCs w:val="21"/>
                    </w:rPr>
                    <w:t>氮氧化物</w:t>
                  </w:r>
                </w:p>
              </w:tc>
              <w:tc>
                <w:tcPr>
                  <w:tcW w:w="3402" w:type="dxa"/>
                  <w:vMerge w:val="continue"/>
                  <w:vAlign w:val="center"/>
                </w:tcPr>
                <w:p w14:paraId="520ABB19">
                  <w:pPr>
                    <w:jc w:val="center"/>
                    <w:rPr>
                      <w:bCs/>
                      <w:szCs w:val="21"/>
                    </w:rPr>
                  </w:pPr>
                </w:p>
              </w:tc>
              <w:tc>
                <w:tcPr>
                  <w:tcW w:w="848" w:type="dxa"/>
                  <w:vMerge w:val="continue"/>
                  <w:vAlign w:val="center"/>
                </w:tcPr>
                <w:p w14:paraId="520ABB1A">
                  <w:pPr>
                    <w:jc w:val="center"/>
                    <w:rPr>
                      <w:bCs/>
                      <w:szCs w:val="21"/>
                    </w:rPr>
                  </w:pPr>
                </w:p>
              </w:tc>
            </w:tr>
            <w:tr w14:paraId="520ABB2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B1C">
                  <w:pPr>
                    <w:jc w:val="center"/>
                    <w:rPr>
                      <w:szCs w:val="21"/>
                    </w:rPr>
                  </w:pPr>
                </w:p>
              </w:tc>
              <w:tc>
                <w:tcPr>
                  <w:tcW w:w="4110" w:type="dxa"/>
                  <w:vAlign w:val="center"/>
                </w:tcPr>
                <w:p w14:paraId="520ABB1D">
                  <w:pPr>
                    <w:jc w:val="center"/>
                    <w:rPr>
                      <w:szCs w:val="21"/>
                    </w:rPr>
                  </w:pPr>
                  <w:r>
                    <w:rPr>
                      <w:szCs w:val="21"/>
                    </w:rPr>
                    <w:t>出光槽、三酸脱氧槽、退铜槽</w:t>
                  </w:r>
                </w:p>
              </w:tc>
              <w:tc>
                <w:tcPr>
                  <w:tcW w:w="2268" w:type="dxa"/>
                  <w:vAlign w:val="center"/>
                </w:tcPr>
                <w:p w14:paraId="520ABB1E">
                  <w:pPr>
                    <w:jc w:val="center"/>
                    <w:rPr>
                      <w:szCs w:val="21"/>
                    </w:rPr>
                  </w:pPr>
                  <w:r>
                    <w:rPr>
                      <w:szCs w:val="21"/>
                    </w:rPr>
                    <w:t>铬酸雾</w:t>
                  </w:r>
                  <w:r>
                    <w:rPr>
                      <w:rFonts w:hint="eastAsia"/>
                      <w:szCs w:val="21"/>
                    </w:rPr>
                    <w:t>、</w:t>
                  </w:r>
                  <w:r>
                    <w:rPr>
                      <w:szCs w:val="21"/>
                    </w:rPr>
                    <w:t>硫酸雾</w:t>
                  </w:r>
                </w:p>
              </w:tc>
              <w:tc>
                <w:tcPr>
                  <w:tcW w:w="3402" w:type="dxa"/>
                  <w:vMerge w:val="restart"/>
                  <w:vAlign w:val="center"/>
                </w:tcPr>
                <w:p w14:paraId="520ABB1F">
                  <w:pPr>
                    <w:jc w:val="center"/>
                    <w:rPr>
                      <w:bCs/>
                      <w:szCs w:val="21"/>
                    </w:rPr>
                  </w:pPr>
                  <w:r>
                    <w:rPr>
                      <w:bCs/>
                      <w:szCs w:val="21"/>
                    </w:rPr>
                    <w:t>TA007含铬吸收塔007+15m排气筒DA007</w:t>
                  </w:r>
                </w:p>
              </w:tc>
              <w:tc>
                <w:tcPr>
                  <w:tcW w:w="848" w:type="dxa"/>
                  <w:vMerge w:val="restart"/>
                  <w:vAlign w:val="center"/>
                </w:tcPr>
                <w:p w14:paraId="520ABB20">
                  <w:pPr>
                    <w:jc w:val="center"/>
                    <w:rPr>
                      <w:bCs/>
                      <w:szCs w:val="21"/>
                    </w:rPr>
                  </w:pPr>
                  <w:r>
                    <w:rPr>
                      <w:rFonts w:hint="eastAsia"/>
                      <w:bCs/>
                      <w:szCs w:val="21"/>
                    </w:rPr>
                    <w:t>/</w:t>
                  </w:r>
                </w:p>
              </w:tc>
            </w:tr>
            <w:tr w14:paraId="520ABB2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B22">
                  <w:pPr>
                    <w:jc w:val="center"/>
                    <w:rPr>
                      <w:szCs w:val="21"/>
                    </w:rPr>
                  </w:pPr>
                </w:p>
              </w:tc>
              <w:tc>
                <w:tcPr>
                  <w:tcW w:w="4110" w:type="dxa"/>
                  <w:vAlign w:val="center"/>
                </w:tcPr>
                <w:p w14:paraId="520ABB23">
                  <w:pPr>
                    <w:jc w:val="center"/>
                    <w:rPr>
                      <w:szCs w:val="21"/>
                    </w:rPr>
                  </w:pPr>
                  <w:r>
                    <w:rPr>
                      <w:szCs w:val="21"/>
                    </w:rPr>
                    <w:t>钝化槽、镀铬槽、瓷质阳极化槽、军绿钝化槽、蓝白钝化槽、铬酸阳极化槽、填充槽</w:t>
                  </w:r>
                </w:p>
              </w:tc>
              <w:tc>
                <w:tcPr>
                  <w:tcW w:w="2268" w:type="dxa"/>
                  <w:vAlign w:val="center"/>
                </w:tcPr>
                <w:p w14:paraId="520ABB24">
                  <w:pPr>
                    <w:jc w:val="center"/>
                    <w:rPr>
                      <w:szCs w:val="21"/>
                    </w:rPr>
                  </w:pPr>
                  <w:r>
                    <w:rPr>
                      <w:szCs w:val="21"/>
                    </w:rPr>
                    <w:t>铬酸雾</w:t>
                  </w:r>
                </w:p>
              </w:tc>
              <w:tc>
                <w:tcPr>
                  <w:tcW w:w="3402" w:type="dxa"/>
                  <w:vMerge w:val="continue"/>
                  <w:vAlign w:val="center"/>
                </w:tcPr>
                <w:p w14:paraId="520ABB25">
                  <w:pPr>
                    <w:jc w:val="center"/>
                    <w:rPr>
                      <w:bCs/>
                      <w:szCs w:val="21"/>
                    </w:rPr>
                  </w:pPr>
                </w:p>
              </w:tc>
              <w:tc>
                <w:tcPr>
                  <w:tcW w:w="848" w:type="dxa"/>
                  <w:vMerge w:val="continue"/>
                  <w:vAlign w:val="center"/>
                </w:tcPr>
                <w:p w14:paraId="520ABB26">
                  <w:pPr>
                    <w:jc w:val="center"/>
                    <w:rPr>
                      <w:bCs/>
                      <w:szCs w:val="21"/>
                    </w:rPr>
                  </w:pPr>
                </w:p>
              </w:tc>
            </w:tr>
            <w:tr w14:paraId="520ABB2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restart"/>
                  <w:vAlign w:val="center"/>
                </w:tcPr>
                <w:p w14:paraId="520ABB28">
                  <w:pPr>
                    <w:jc w:val="center"/>
                    <w:rPr>
                      <w:szCs w:val="21"/>
                    </w:rPr>
                  </w:pPr>
                  <w:r>
                    <w:rPr>
                      <w:szCs w:val="21"/>
                    </w:rPr>
                    <w:t>喷漆</w:t>
                  </w:r>
                </w:p>
              </w:tc>
              <w:tc>
                <w:tcPr>
                  <w:tcW w:w="4110" w:type="dxa"/>
                  <w:vAlign w:val="center"/>
                </w:tcPr>
                <w:p w14:paraId="520ABB29">
                  <w:pPr>
                    <w:jc w:val="center"/>
                    <w:rPr>
                      <w:szCs w:val="21"/>
                    </w:rPr>
                  </w:pPr>
                  <w:r>
                    <w:rPr>
                      <w:szCs w:val="21"/>
                    </w:rPr>
                    <w:t>调漆、喷漆</w:t>
                  </w:r>
                </w:p>
              </w:tc>
              <w:tc>
                <w:tcPr>
                  <w:tcW w:w="2268" w:type="dxa"/>
                  <w:vAlign w:val="center"/>
                </w:tcPr>
                <w:p w14:paraId="520ABB2A">
                  <w:pPr>
                    <w:jc w:val="center"/>
                    <w:rPr>
                      <w:szCs w:val="21"/>
                    </w:rPr>
                  </w:pPr>
                  <w:r>
                    <w:rPr>
                      <w:szCs w:val="21"/>
                    </w:rPr>
                    <w:t>颗粒物、苯、甲苯与二甲苯、非甲烷总烃</w:t>
                  </w:r>
                </w:p>
              </w:tc>
              <w:tc>
                <w:tcPr>
                  <w:tcW w:w="3402" w:type="dxa"/>
                  <w:vAlign w:val="center"/>
                </w:tcPr>
                <w:p w14:paraId="520ABB2B">
                  <w:pPr>
                    <w:jc w:val="center"/>
                    <w:rPr>
                      <w:bCs/>
                      <w:szCs w:val="21"/>
                    </w:rPr>
                  </w:pPr>
                  <w:r>
                    <w:rPr>
                      <w:bCs/>
                      <w:szCs w:val="21"/>
                    </w:rPr>
                    <w:t>TA008干式过滤器+活性炭吸附/脱附装置+催化燃烧+15m排气筒DA008</w:t>
                  </w:r>
                </w:p>
              </w:tc>
              <w:tc>
                <w:tcPr>
                  <w:tcW w:w="848" w:type="dxa"/>
                  <w:vAlign w:val="center"/>
                </w:tcPr>
                <w:p w14:paraId="520ABB2C">
                  <w:pPr>
                    <w:jc w:val="center"/>
                    <w:rPr>
                      <w:bCs/>
                      <w:szCs w:val="21"/>
                    </w:rPr>
                  </w:pPr>
                  <w:r>
                    <w:rPr>
                      <w:rFonts w:hint="eastAsia"/>
                      <w:bCs/>
                      <w:szCs w:val="21"/>
                    </w:rPr>
                    <w:t>/</w:t>
                  </w:r>
                </w:p>
              </w:tc>
            </w:tr>
            <w:tr w14:paraId="520ABB3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B2E">
                  <w:pPr>
                    <w:jc w:val="center"/>
                    <w:rPr>
                      <w:szCs w:val="21"/>
                    </w:rPr>
                  </w:pPr>
                </w:p>
              </w:tc>
              <w:tc>
                <w:tcPr>
                  <w:tcW w:w="4110" w:type="dxa"/>
                  <w:vAlign w:val="center"/>
                </w:tcPr>
                <w:p w14:paraId="520ABB2F">
                  <w:pPr>
                    <w:jc w:val="center"/>
                    <w:rPr>
                      <w:szCs w:val="21"/>
                    </w:rPr>
                  </w:pPr>
                  <w:r>
                    <w:rPr>
                      <w:szCs w:val="21"/>
                    </w:rPr>
                    <w:t>绝缘、烘干室</w:t>
                  </w:r>
                </w:p>
              </w:tc>
              <w:tc>
                <w:tcPr>
                  <w:tcW w:w="2268" w:type="dxa"/>
                  <w:vAlign w:val="center"/>
                </w:tcPr>
                <w:p w14:paraId="520ABB30">
                  <w:pPr>
                    <w:jc w:val="center"/>
                    <w:rPr>
                      <w:szCs w:val="21"/>
                    </w:rPr>
                  </w:pPr>
                  <w:r>
                    <w:rPr>
                      <w:szCs w:val="21"/>
                    </w:rPr>
                    <w:t>苯、甲苯与二甲苯、非甲烷总烃</w:t>
                  </w:r>
                </w:p>
              </w:tc>
              <w:tc>
                <w:tcPr>
                  <w:tcW w:w="3402" w:type="dxa"/>
                  <w:vAlign w:val="center"/>
                </w:tcPr>
                <w:p w14:paraId="520ABB31">
                  <w:pPr>
                    <w:jc w:val="center"/>
                    <w:rPr>
                      <w:bCs/>
                      <w:szCs w:val="21"/>
                    </w:rPr>
                  </w:pPr>
                  <w:r>
                    <w:rPr>
                      <w:bCs/>
                      <w:szCs w:val="21"/>
                    </w:rPr>
                    <w:t>TA009干式过滤器+活性炭吸附/脱附装置+催化燃烧+15m排气筒DA008</w:t>
                  </w:r>
                </w:p>
              </w:tc>
              <w:tc>
                <w:tcPr>
                  <w:tcW w:w="848" w:type="dxa"/>
                  <w:vAlign w:val="center"/>
                </w:tcPr>
                <w:p w14:paraId="520ABB32">
                  <w:pPr>
                    <w:jc w:val="center"/>
                    <w:rPr>
                      <w:bCs/>
                      <w:szCs w:val="21"/>
                    </w:rPr>
                  </w:pPr>
                  <w:r>
                    <w:rPr>
                      <w:rFonts w:hint="eastAsia"/>
                      <w:bCs/>
                      <w:szCs w:val="21"/>
                    </w:rPr>
                    <w:t>/</w:t>
                  </w:r>
                </w:p>
              </w:tc>
            </w:tr>
            <w:tr w14:paraId="520ABB3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34">
                  <w:pPr>
                    <w:jc w:val="center"/>
                    <w:rPr>
                      <w:szCs w:val="21"/>
                    </w:rPr>
                  </w:pPr>
                  <w:r>
                    <w:rPr>
                      <w:szCs w:val="21"/>
                    </w:rPr>
                    <w:t>热处理</w:t>
                  </w:r>
                </w:p>
              </w:tc>
              <w:tc>
                <w:tcPr>
                  <w:tcW w:w="4110" w:type="dxa"/>
                  <w:vAlign w:val="center"/>
                </w:tcPr>
                <w:p w14:paraId="520ABB35">
                  <w:pPr>
                    <w:jc w:val="center"/>
                    <w:rPr>
                      <w:szCs w:val="21"/>
                    </w:rPr>
                  </w:pPr>
                  <w:r>
                    <w:rPr>
                      <w:szCs w:val="21"/>
                    </w:rPr>
                    <w:t>淬火油槽</w:t>
                  </w:r>
                </w:p>
              </w:tc>
              <w:tc>
                <w:tcPr>
                  <w:tcW w:w="2268" w:type="dxa"/>
                  <w:vAlign w:val="center"/>
                </w:tcPr>
                <w:p w14:paraId="520ABB36">
                  <w:pPr>
                    <w:jc w:val="center"/>
                    <w:rPr>
                      <w:szCs w:val="21"/>
                    </w:rPr>
                  </w:pPr>
                  <w:r>
                    <w:rPr>
                      <w:szCs w:val="21"/>
                    </w:rPr>
                    <w:t>非甲烷总烃</w:t>
                  </w:r>
                </w:p>
              </w:tc>
              <w:tc>
                <w:tcPr>
                  <w:tcW w:w="3402" w:type="dxa"/>
                  <w:vAlign w:val="center"/>
                </w:tcPr>
                <w:p w14:paraId="520ABB37">
                  <w:pPr>
                    <w:jc w:val="center"/>
                    <w:rPr>
                      <w:bCs/>
                      <w:szCs w:val="21"/>
                    </w:rPr>
                  </w:pPr>
                  <w:r>
                    <w:rPr>
                      <w:bCs/>
                      <w:szCs w:val="21"/>
                    </w:rPr>
                    <w:t>TA010油烟净化设备+低温等离子+活性炭吸附+15m排气筒DA009</w:t>
                  </w:r>
                </w:p>
              </w:tc>
              <w:tc>
                <w:tcPr>
                  <w:tcW w:w="848" w:type="dxa"/>
                  <w:vAlign w:val="center"/>
                </w:tcPr>
                <w:p w14:paraId="520ABB38">
                  <w:pPr>
                    <w:jc w:val="center"/>
                    <w:rPr>
                      <w:bCs/>
                      <w:szCs w:val="21"/>
                    </w:rPr>
                  </w:pPr>
                  <w:r>
                    <w:rPr>
                      <w:rFonts w:hint="eastAsia"/>
                      <w:bCs/>
                      <w:szCs w:val="21"/>
                    </w:rPr>
                    <w:t>/</w:t>
                  </w:r>
                </w:p>
              </w:tc>
            </w:tr>
            <w:tr w14:paraId="520ABB3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restart"/>
                  <w:vAlign w:val="center"/>
                </w:tcPr>
                <w:p w14:paraId="520ABB3A">
                  <w:pPr>
                    <w:jc w:val="center"/>
                    <w:rPr>
                      <w:szCs w:val="21"/>
                    </w:rPr>
                  </w:pPr>
                  <w:r>
                    <w:rPr>
                      <w:szCs w:val="21"/>
                    </w:rPr>
                    <w:t>机加工</w:t>
                  </w:r>
                </w:p>
              </w:tc>
              <w:tc>
                <w:tcPr>
                  <w:tcW w:w="4110" w:type="dxa"/>
                  <w:vAlign w:val="center"/>
                </w:tcPr>
                <w:p w14:paraId="520ABB3B">
                  <w:pPr>
                    <w:jc w:val="center"/>
                    <w:rPr>
                      <w:szCs w:val="21"/>
                    </w:rPr>
                  </w:pPr>
                  <w:r>
                    <w:rPr>
                      <w:szCs w:val="21"/>
                    </w:rPr>
                    <w:t>干式吹砂机</w:t>
                  </w:r>
                </w:p>
              </w:tc>
              <w:tc>
                <w:tcPr>
                  <w:tcW w:w="2268" w:type="dxa"/>
                  <w:vAlign w:val="center"/>
                </w:tcPr>
                <w:p w14:paraId="520ABB3C">
                  <w:pPr>
                    <w:jc w:val="center"/>
                    <w:rPr>
                      <w:szCs w:val="21"/>
                    </w:rPr>
                  </w:pPr>
                  <w:r>
                    <w:rPr>
                      <w:szCs w:val="21"/>
                    </w:rPr>
                    <w:t>颗粒物</w:t>
                  </w:r>
                </w:p>
              </w:tc>
              <w:tc>
                <w:tcPr>
                  <w:tcW w:w="3402" w:type="dxa"/>
                  <w:vAlign w:val="center"/>
                </w:tcPr>
                <w:p w14:paraId="520ABB3D">
                  <w:pPr>
                    <w:jc w:val="center"/>
                    <w:rPr>
                      <w:bCs/>
                      <w:szCs w:val="21"/>
                    </w:rPr>
                  </w:pPr>
                  <w:r>
                    <w:rPr>
                      <w:bCs/>
                      <w:szCs w:val="21"/>
                    </w:rPr>
                    <w:t>TA011袋式除尘器1+15m排气筒DA010</w:t>
                  </w:r>
                </w:p>
              </w:tc>
              <w:tc>
                <w:tcPr>
                  <w:tcW w:w="848" w:type="dxa"/>
                  <w:vAlign w:val="center"/>
                </w:tcPr>
                <w:p w14:paraId="520ABB3E">
                  <w:pPr>
                    <w:jc w:val="center"/>
                    <w:rPr>
                      <w:bCs/>
                      <w:szCs w:val="21"/>
                    </w:rPr>
                  </w:pPr>
                  <w:r>
                    <w:rPr>
                      <w:rFonts w:hint="eastAsia"/>
                      <w:bCs/>
                      <w:szCs w:val="21"/>
                    </w:rPr>
                    <w:t>/</w:t>
                  </w:r>
                </w:p>
              </w:tc>
            </w:tr>
            <w:tr w14:paraId="520ABB4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Merge w:val="continue"/>
                  <w:vAlign w:val="center"/>
                </w:tcPr>
                <w:p w14:paraId="520ABB40">
                  <w:pPr>
                    <w:jc w:val="center"/>
                    <w:rPr>
                      <w:szCs w:val="21"/>
                    </w:rPr>
                  </w:pPr>
                </w:p>
              </w:tc>
              <w:tc>
                <w:tcPr>
                  <w:tcW w:w="4110" w:type="dxa"/>
                  <w:vAlign w:val="center"/>
                </w:tcPr>
                <w:p w14:paraId="520ABB41">
                  <w:pPr>
                    <w:jc w:val="center"/>
                    <w:rPr>
                      <w:szCs w:val="21"/>
                    </w:rPr>
                  </w:pPr>
                  <w:r>
                    <w:rPr>
                      <w:szCs w:val="21"/>
                    </w:rPr>
                    <w:t>抛丸机</w:t>
                  </w:r>
                </w:p>
              </w:tc>
              <w:tc>
                <w:tcPr>
                  <w:tcW w:w="2268" w:type="dxa"/>
                  <w:vAlign w:val="center"/>
                </w:tcPr>
                <w:p w14:paraId="520ABB42">
                  <w:pPr>
                    <w:jc w:val="center"/>
                    <w:rPr>
                      <w:szCs w:val="21"/>
                    </w:rPr>
                  </w:pPr>
                  <w:r>
                    <w:rPr>
                      <w:szCs w:val="21"/>
                    </w:rPr>
                    <w:t>颗粒物</w:t>
                  </w:r>
                </w:p>
              </w:tc>
              <w:tc>
                <w:tcPr>
                  <w:tcW w:w="3402" w:type="dxa"/>
                  <w:vAlign w:val="center"/>
                </w:tcPr>
                <w:p w14:paraId="520ABB43">
                  <w:pPr>
                    <w:jc w:val="center"/>
                    <w:rPr>
                      <w:bCs/>
                      <w:szCs w:val="21"/>
                    </w:rPr>
                  </w:pPr>
                  <w:r>
                    <w:rPr>
                      <w:bCs/>
                      <w:szCs w:val="21"/>
                    </w:rPr>
                    <w:t>TA012袋式除尘器2+15m排气筒DA011</w:t>
                  </w:r>
                </w:p>
              </w:tc>
              <w:tc>
                <w:tcPr>
                  <w:tcW w:w="848" w:type="dxa"/>
                  <w:vAlign w:val="center"/>
                </w:tcPr>
                <w:p w14:paraId="520ABB44">
                  <w:pPr>
                    <w:jc w:val="center"/>
                    <w:rPr>
                      <w:bCs/>
                      <w:szCs w:val="21"/>
                    </w:rPr>
                  </w:pPr>
                  <w:r>
                    <w:rPr>
                      <w:rFonts w:hint="eastAsia"/>
                      <w:bCs/>
                      <w:szCs w:val="21"/>
                    </w:rPr>
                    <w:t>/</w:t>
                  </w:r>
                </w:p>
              </w:tc>
            </w:tr>
            <w:tr w14:paraId="520ABB5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4C">
                  <w:pPr>
                    <w:jc w:val="center"/>
                    <w:rPr>
                      <w:szCs w:val="21"/>
                    </w:rPr>
                  </w:pPr>
                  <w:r>
                    <w:rPr>
                      <w:rFonts w:hint="eastAsia"/>
                      <w:szCs w:val="21"/>
                    </w:rPr>
                    <w:t>D</w:t>
                  </w:r>
                  <w:r>
                    <w:rPr>
                      <w:szCs w:val="21"/>
                    </w:rPr>
                    <w:t>A012</w:t>
                  </w:r>
                  <w:r>
                    <w:rPr>
                      <w:rFonts w:hint="eastAsia"/>
                      <w:szCs w:val="21"/>
                    </w:rPr>
                    <w:t>排气筒</w:t>
                  </w:r>
                </w:p>
              </w:tc>
              <w:tc>
                <w:tcPr>
                  <w:tcW w:w="4110" w:type="dxa"/>
                  <w:vAlign w:val="center"/>
                </w:tcPr>
                <w:p w14:paraId="520ABB4D">
                  <w:pPr>
                    <w:jc w:val="center"/>
                    <w:rPr>
                      <w:szCs w:val="21"/>
                    </w:rPr>
                  </w:pPr>
                  <w:r>
                    <w:rPr>
                      <w:rFonts w:hint="eastAsia"/>
                      <w:szCs w:val="21"/>
                    </w:rPr>
                    <w:t>研磨工段废气、废乳化液暂存废气、手工清洗废气</w:t>
                  </w:r>
                </w:p>
              </w:tc>
              <w:tc>
                <w:tcPr>
                  <w:tcW w:w="2268" w:type="dxa"/>
                  <w:vAlign w:val="center"/>
                </w:tcPr>
                <w:p w14:paraId="520ABB4E">
                  <w:pPr>
                    <w:jc w:val="center"/>
                    <w:rPr>
                      <w:szCs w:val="21"/>
                    </w:rPr>
                  </w:pPr>
                  <w:r>
                    <w:rPr>
                      <w:rFonts w:hint="eastAsia"/>
                      <w:szCs w:val="21"/>
                    </w:rPr>
                    <w:t>非甲烷总烃</w:t>
                  </w:r>
                </w:p>
              </w:tc>
              <w:tc>
                <w:tcPr>
                  <w:tcW w:w="3402" w:type="dxa"/>
                  <w:vAlign w:val="center"/>
                </w:tcPr>
                <w:p w14:paraId="520ABB4F">
                  <w:pPr>
                    <w:jc w:val="center"/>
                    <w:rPr>
                      <w:bCs/>
                      <w:szCs w:val="21"/>
                    </w:rPr>
                  </w:pPr>
                  <w:r>
                    <w:rPr>
                      <w:bCs/>
                      <w:szCs w:val="21"/>
                    </w:rPr>
                    <w:t>活性炭吸附/脱附装置+催化燃烧+15m排气筒DA012</w:t>
                  </w:r>
                </w:p>
              </w:tc>
              <w:tc>
                <w:tcPr>
                  <w:tcW w:w="848" w:type="dxa"/>
                  <w:vAlign w:val="center"/>
                </w:tcPr>
                <w:p w14:paraId="520ABB50">
                  <w:pPr>
                    <w:jc w:val="center"/>
                    <w:rPr>
                      <w:bCs/>
                      <w:szCs w:val="21"/>
                    </w:rPr>
                  </w:pPr>
                  <w:r>
                    <w:rPr>
                      <w:rFonts w:hint="eastAsia"/>
                      <w:bCs/>
                      <w:szCs w:val="21"/>
                    </w:rPr>
                    <w:t>/</w:t>
                  </w:r>
                </w:p>
              </w:tc>
            </w:tr>
            <w:tr w14:paraId="520ABB5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52">
                  <w:pPr>
                    <w:jc w:val="center"/>
                    <w:rPr>
                      <w:szCs w:val="21"/>
                    </w:rPr>
                  </w:pPr>
                  <w:r>
                    <w:rPr>
                      <w:rFonts w:hint="eastAsia"/>
                      <w:szCs w:val="21"/>
                    </w:rPr>
                    <w:t>D</w:t>
                  </w:r>
                  <w:r>
                    <w:rPr>
                      <w:szCs w:val="21"/>
                    </w:rPr>
                    <w:t>A013</w:t>
                  </w:r>
                  <w:r>
                    <w:rPr>
                      <w:rFonts w:hint="eastAsia"/>
                      <w:szCs w:val="21"/>
                    </w:rPr>
                    <w:t>排气筒</w:t>
                  </w:r>
                </w:p>
              </w:tc>
              <w:tc>
                <w:tcPr>
                  <w:tcW w:w="4110" w:type="dxa"/>
                  <w:vAlign w:val="center"/>
                </w:tcPr>
                <w:p w14:paraId="520ABB53">
                  <w:pPr>
                    <w:jc w:val="center"/>
                    <w:rPr>
                      <w:szCs w:val="21"/>
                    </w:rPr>
                  </w:pPr>
                  <w:r>
                    <w:rPr>
                      <w:rFonts w:hint="eastAsia"/>
                      <w:szCs w:val="21"/>
                    </w:rPr>
                    <w:t>实验间废气、手工装配废气、手工清洗废气</w:t>
                  </w:r>
                </w:p>
              </w:tc>
              <w:tc>
                <w:tcPr>
                  <w:tcW w:w="2268" w:type="dxa"/>
                  <w:vAlign w:val="center"/>
                </w:tcPr>
                <w:p w14:paraId="520ABB54">
                  <w:pPr>
                    <w:jc w:val="center"/>
                    <w:rPr>
                      <w:szCs w:val="21"/>
                    </w:rPr>
                  </w:pPr>
                  <w:r>
                    <w:rPr>
                      <w:rFonts w:hint="eastAsia"/>
                      <w:szCs w:val="21"/>
                    </w:rPr>
                    <w:t>非甲烷总烃</w:t>
                  </w:r>
                </w:p>
              </w:tc>
              <w:tc>
                <w:tcPr>
                  <w:tcW w:w="3402" w:type="dxa"/>
                  <w:vAlign w:val="center"/>
                </w:tcPr>
                <w:p w14:paraId="520ABB55">
                  <w:pPr>
                    <w:jc w:val="center"/>
                    <w:rPr>
                      <w:bCs/>
                      <w:szCs w:val="21"/>
                    </w:rPr>
                  </w:pPr>
                  <w:r>
                    <w:rPr>
                      <w:bCs/>
                      <w:szCs w:val="21"/>
                    </w:rPr>
                    <w:t>活性炭吸附/脱附装置+催化燃烧+15m排气筒DA013</w:t>
                  </w:r>
                </w:p>
              </w:tc>
              <w:tc>
                <w:tcPr>
                  <w:tcW w:w="848" w:type="dxa"/>
                  <w:vAlign w:val="center"/>
                </w:tcPr>
                <w:p w14:paraId="520ABB56">
                  <w:pPr>
                    <w:jc w:val="center"/>
                    <w:rPr>
                      <w:bCs/>
                      <w:szCs w:val="21"/>
                    </w:rPr>
                  </w:pPr>
                  <w:r>
                    <w:rPr>
                      <w:rFonts w:hint="eastAsia"/>
                      <w:bCs/>
                      <w:szCs w:val="21"/>
                    </w:rPr>
                    <w:t>/</w:t>
                  </w:r>
                </w:p>
              </w:tc>
            </w:tr>
            <w:tr w14:paraId="14DC715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064B013E">
                  <w:pPr>
                    <w:jc w:val="center"/>
                    <w:rPr>
                      <w:szCs w:val="21"/>
                    </w:rPr>
                  </w:pPr>
                  <w:r>
                    <w:rPr>
                      <w:rFonts w:hint="eastAsia"/>
                      <w:szCs w:val="21"/>
                    </w:rPr>
                    <w:t>橡塑车间</w:t>
                  </w:r>
                </w:p>
              </w:tc>
              <w:tc>
                <w:tcPr>
                  <w:tcW w:w="4110" w:type="dxa"/>
                  <w:vAlign w:val="center"/>
                </w:tcPr>
                <w:p w14:paraId="067B5FCC">
                  <w:pPr>
                    <w:jc w:val="center"/>
                    <w:rPr>
                      <w:szCs w:val="21"/>
                    </w:rPr>
                  </w:pPr>
                  <w:r>
                    <w:rPr>
                      <w:rFonts w:hint="eastAsia"/>
                      <w:szCs w:val="21"/>
                    </w:rPr>
                    <w:t>硫化工段</w:t>
                  </w:r>
                </w:p>
              </w:tc>
              <w:tc>
                <w:tcPr>
                  <w:tcW w:w="2268" w:type="dxa"/>
                  <w:vAlign w:val="center"/>
                </w:tcPr>
                <w:p w14:paraId="4616D865">
                  <w:pPr>
                    <w:jc w:val="center"/>
                    <w:rPr>
                      <w:szCs w:val="21"/>
                    </w:rPr>
                  </w:pPr>
                  <w:r>
                    <w:rPr>
                      <w:rFonts w:hint="eastAsia"/>
                      <w:szCs w:val="21"/>
                    </w:rPr>
                    <w:t>非甲烷总烃、臭气浓度、硫化氢</w:t>
                  </w:r>
                </w:p>
              </w:tc>
              <w:tc>
                <w:tcPr>
                  <w:tcW w:w="3402" w:type="dxa"/>
                  <w:vAlign w:val="center"/>
                </w:tcPr>
                <w:p w14:paraId="757878E0">
                  <w:pPr>
                    <w:jc w:val="center"/>
                    <w:rPr>
                      <w:bCs/>
                      <w:szCs w:val="21"/>
                    </w:rPr>
                  </w:pPr>
                  <w:r>
                    <w:rPr>
                      <w:bCs/>
                      <w:szCs w:val="21"/>
                    </w:rPr>
                    <w:t>活性炭吸附/脱附装置+催化燃烧+15m排气筒</w:t>
                  </w:r>
                  <w:r>
                    <w:rPr>
                      <w:rFonts w:hint="eastAsia"/>
                      <w:bCs/>
                      <w:szCs w:val="21"/>
                    </w:rPr>
                    <w:t>DA025</w:t>
                  </w:r>
                </w:p>
              </w:tc>
              <w:tc>
                <w:tcPr>
                  <w:tcW w:w="848" w:type="dxa"/>
                  <w:vAlign w:val="center"/>
                </w:tcPr>
                <w:p w14:paraId="29C20F94">
                  <w:pPr>
                    <w:jc w:val="center"/>
                    <w:rPr>
                      <w:bCs/>
                      <w:szCs w:val="21"/>
                    </w:rPr>
                  </w:pPr>
                  <w:r>
                    <w:rPr>
                      <w:rFonts w:hint="eastAsia"/>
                      <w:bCs/>
                      <w:szCs w:val="21"/>
                    </w:rPr>
                    <w:t>/</w:t>
                  </w:r>
                </w:p>
              </w:tc>
            </w:tr>
            <w:tr w14:paraId="520ABB5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58">
                  <w:pPr>
                    <w:jc w:val="center"/>
                    <w:rPr>
                      <w:szCs w:val="21"/>
                    </w:rPr>
                  </w:pPr>
                  <w:r>
                    <w:rPr>
                      <w:rFonts w:hint="eastAsia"/>
                      <w:szCs w:val="21"/>
                    </w:rPr>
                    <w:t>DA014排气筒</w:t>
                  </w:r>
                </w:p>
              </w:tc>
              <w:tc>
                <w:tcPr>
                  <w:tcW w:w="4110" w:type="dxa"/>
                  <w:vAlign w:val="center"/>
                </w:tcPr>
                <w:p w14:paraId="520ABB59">
                  <w:pPr>
                    <w:jc w:val="center"/>
                    <w:rPr>
                      <w:szCs w:val="21"/>
                    </w:rPr>
                  </w:pPr>
                  <w:r>
                    <w:rPr>
                      <w:rFonts w:hint="eastAsia"/>
                      <w:szCs w:val="21"/>
                    </w:rPr>
                    <w:t>焊接废气</w:t>
                  </w:r>
                </w:p>
              </w:tc>
              <w:tc>
                <w:tcPr>
                  <w:tcW w:w="2268" w:type="dxa"/>
                  <w:vAlign w:val="center"/>
                </w:tcPr>
                <w:p w14:paraId="520ABB5A">
                  <w:pPr>
                    <w:jc w:val="center"/>
                    <w:rPr>
                      <w:szCs w:val="21"/>
                    </w:rPr>
                  </w:pPr>
                  <w:r>
                    <w:rPr>
                      <w:rFonts w:hint="eastAsia"/>
                      <w:szCs w:val="21"/>
                    </w:rPr>
                    <w:t>颗粒物</w:t>
                  </w:r>
                </w:p>
              </w:tc>
              <w:tc>
                <w:tcPr>
                  <w:tcW w:w="3402" w:type="dxa"/>
                  <w:vAlign w:val="center"/>
                </w:tcPr>
                <w:p w14:paraId="520ABB5B">
                  <w:pPr>
                    <w:jc w:val="center"/>
                    <w:rPr>
                      <w:bCs/>
                      <w:szCs w:val="21"/>
                    </w:rPr>
                  </w:pPr>
                  <w:r>
                    <w:rPr>
                      <w:rFonts w:hint="eastAsia"/>
                      <w:bCs/>
                      <w:szCs w:val="21"/>
                    </w:rPr>
                    <w:t>集气罩（涉氩弧焊生产线）/密闭负压收集（焊接机器人）+袋式除尘器+15m高排气筒DA014</w:t>
                  </w:r>
                </w:p>
              </w:tc>
              <w:tc>
                <w:tcPr>
                  <w:tcW w:w="848" w:type="dxa"/>
                  <w:vMerge w:val="restart"/>
                  <w:vAlign w:val="center"/>
                </w:tcPr>
                <w:p w14:paraId="520ABB5C">
                  <w:pPr>
                    <w:jc w:val="center"/>
                    <w:rPr>
                      <w:bCs/>
                      <w:szCs w:val="21"/>
                    </w:rPr>
                  </w:pPr>
                  <w:r>
                    <w:rPr>
                      <w:rFonts w:hint="eastAsia"/>
                      <w:bCs/>
                      <w:szCs w:val="21"/>
                    </w:rPr>
                    <w:t>在建工程未投产</w:t>
                  </w:r>
                </w:p>
              </w:tc>
            </w:tr>
            <w:tr w14:paraId="520ABB6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5E">
                  <w:pPr>
                    <w:jc w:val="center"/>
                    <w:rPr>
                      <w:szCs w:val="21"/>
                    </w:rPr>
                  </w:pPr>
                  <w:r>
                    <w:rPr>
                      <w:rFonts w:hint="eastAsia"/>
                      <w:szCs w:val="21"/>
                    </w:rPr>
                    <w:t>DA015排气筒</w:t>
                  </w:r>
                </w:p>
              </w:tc>
              <w:tc>
                <w:tcPr>
                  <w:tcW w:w="4110" w:type="dxa"/>
                  <w:vAlign w:val="center"/>
                </w:tcPr>
                <w:p w14:paraId="520ABB5F">
                  <w:pPr>
                    <w:jc w:val="center"/>
                    <w:rPr>
                      <w:szCs w:val="21"/>
                    </w:rPr>
                  </w:pPr>
                  <w:r>
                    <w:rPr>
                      <w:rFonts w:hint="eastAsia"/>
                      <w:szCs w:val="21"/>
                    </w:rPr>
                    <w:t>注胶、烘干、试验、清洗废气</w:t>
                  </w:r>
                </w:p>
              </w:tc>
              <w:tc>
                <w:tcPr>
                  <w:tcW w:w="2268" w:type="dxa"/>
                  <w:vAlign w:val="center"/>
                </w:tcPr>
                <w:p w14:paraId="520ABB60">
                  <w:pPr>
                    <w:jc w:val="center"/>
                    <w:rPr>
                      <w:szCs w:val="21"/>
                    </w:rPr>
                  </w:pPr>
                  <w:r>
                    <w:rPr>
                      <w:rFonts w:hint="eastAsia"/>
                      <w:szCs w:val="21"/>
                    </w:rPr>
                    <w:t>非甲烷总烃</w:t>
                  </w:r>
                </w:p>
              </w:tc>
              <w:tc>
                <w:tcPr>
                  <w:tcW w:w="3402" w:type="dxa"/>
                  <w:vAlign w:val="center"/>
                </w:tcPr>
                <w:p w14:paraId="520ABB61">
                  <w:pPr>
                    <w:jc w:val="center"/>
                    <w:rPr>
                      <w:bCs/>
                      <w:szCs w:val="21"/>
                    </w:rPr>
                  </w:pPr>
                  <w:r>
                    <w:rPr>
                      <w:rFonts w:hint="eastAsia"/>
                      <w:bCs/>
                      <w:szCs w:val="21"/>
                    </w:rPr>
                    <w:t>集气罩（注胶工序）/密闭负压收集（烘干、试验、清洗工序）+活性炭吸附/脱附-催化燃烧+15m高排气筒DA0</w:t>
                  </w:r>
                  <w:r>
                    <w:rPr>
                      <w:bCs/>
                      <w:szCs w:val="21"/>
                    </w:rPr>
                    <w:t>15</w:t>
                  </w:r>
                </w:p>
              </w:tc>
              <w:tc>
                <w:tcPr>
                  <w:tcW w:w="848" w:type="dxa"/>
                  <w:vMerge w:val="continue"/>
                  <w:vAlign w:val="center"/>
                </w:tcPr>
                <w:p w14:paraId="520ABB62">
                  <w:pPr>
                    <w:jc w:val="center"/>
                    <w:rPr>
                      <w:bCs/>
                      <w:szCs w:val="21"/>
                    </w:rPr>
                  </w:pPr>
                </w:p>
              </w:tc>
            </w:tr>
            <w:tr w14:paraId="520ABB6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64">
                  <w:pPr>
                    <w:jc w:val="center"/>
                    <w:rPr>
                      <w:szCs w:val="21"/>
                    </w:rPr>
                  </w:pPr>
                  <w:r>
                    <w:rPr>
                      <w:szCs w:val="21"/>
                    </w:rPr>
                    <w:t>危废贮存</w:t>
                  </w:r>
                </w:p>
              </w:tc>
              <w:tc>
                <w:tcPr>
                  <w:tcW w:w="4110" w:type="dxa"/>
                  <w:vAlign w:val="center"/>
                </w:tcPr>
                <w:p w14:paraId="520ABB65">
                  <w:pPr>
                    <w:jc w:val="center"/>
                    <w:rPr>
                      <w:szCs w:val="21"/>
                    </w:rPr>
                  </w:pPr>
                  <w:r>
                    <w:rPr>
                      <w:rFonts w:hint="eastAsia"/>
                      <w:szCs w:val="21"/>
                    </w:rPr>
                    <w:t>危废贮存库</w:t>
                  </w:r>
                </w:p>
              </w:tc>
              <w:tc>
                <w:tcPr>
                  <w:tcW w:w="2268" w:type="dxa"/>
                  <w:vAlign w:val="center"/>
                </w:tcPr>
                <w:p w14:paraId="520ABB66">
                  <w:pPr>
                    <w:jc w:val="center"/>
                    <w:rPr>
                      <w:szCs w:val="21"/>
                    </w:rPr>
                  </w:pPr>
                  <w:r>
                    <w:rPr>
                      <w:szCs w:val="21"/>
                    </w:rPr>
                    <w:t>非甲烷总烃</w:t>
                  </w:r>
                </w:p>
              </w:tc>
              <w:tc>
                <w:tcPr>
                  <w:tcW w:w="3402" w:type="dxa"/>
                  <w:vAlign w:val="center"/>
                </w:tcPr>
                <w:p w14:paraId="520ABB67">
                  <w:pPr>
                    <w:jc w:val="center"/>
                    <w:rPr>
                      <w:bCs/>
                      <w:szCs w:val="21"/>
                    </w:rPr>
                  </w:pPr>
                  <w:r>
                    <w:rPr>
                      <w:bCs/>
                      <w:szCs w:val="21"/>
                    </w:rPr>
                    <w:t>TA013活性炭吸附箱+15m排气筒DA016</w:t>
                  </w:r>
                </w:p>
              </w:tc>
              <w:tc>
                <w:tcPr>
                  <w:tcW w:w="848" w:type="dxa"/>
                  <w:vAlign w:val="center"/>
                </w:tcPr>
                <w:p w14:paraId="520ABB68">
                  <w:pPr>
                    <w:jc w:val="center"/>
                    <w:rPr>
                      <w:bCs/>
                      <w:szCs w:val="21"/>
                    </w:rPr>
                  </w:pPr>
                  <w:r>
                    <w:rPr>
                      <w:rFonts w:hint="eastAsia"/>
                      <w:bCs/>
                      <w:szCs w:val="21"/>
                    </w:rPr>
                    <w:t>/</w:t>
                  </w:r>
                </w:p>
              </w:tc>
            </w:tr>
            <w:tr w14:paraId="520ABB6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6A">
                  <w:pPr>
                    <w:jc w:val="center"/>
                    <w:rPr>
                      <w:szCs w:val="21"/>
                    </w:rPr>
                  </w:pPr>
                  <w:r>
                    <w:rPr>
                      <w:kern w:val="0"/>
                      <w:szCs w:val="21"/>
                    </w:rPr>
                    <w:t>电镀污水处理站废气处理设施</w:t>
                  </w:r>
                </w:p>
              </w:tc>
              <w:tc>
                <w:tcPr>
                  <w:tcW w:w="4110" w:type="dxa"/>
                  <w:vAlign w:val="center"/>
                </w:tcPr>
                <w:p w14:paraId="520ABB6B">
                  <w:pPr>
                    <w:jc w:val="center"/>
                    <w:rPr>
                      <w:szCs w:val="21"/>
                    </w:rPr>
                  </w:pPr>
                  <w:r>
                    <w:rPr>
                      <w:szCs w:val="21"/>
                    </w:rPr>
                    <w:t>含氰废水处理设施、含铬废水处理设施、含镍废水处理设施、酸碱废水处理设施</w:t>
                  </w:r>
                </w:p>
              </w:tc>
              <w:tc>
                <w:tcPr>
                  <w:tcW w:w="2268" w:type="dxa"/>
                  <w:vAlign w:val="center"/>
                </w:tcPr>
                <w:p w14:paraId="520ABB6C">
                  <w:pPr>
                    <w:jc w:val="center"/>
                    <w:rPr>
                      <w:szCs w:val="21"/>
                    </w:rPr>
                  </w:pPr>
                  <w:r>
                    <w:rPr>
                      <w:szCs w:val="21"/>
                    </w:rPr>
                    <w:t>硫酸雾、氯化氢、氰化氢、铬酸雾</w:t>
                  </w:r>
                </w:p>
              </w:tc>
              <w:tc>
                <w:tcPr>
                  <w:tcW w:w="3402" w:type="dxa"/>
                  <w:vAlign w:val="center"/>
                </w:tcPr>
                <w:p w14:paraId="520ABB6D">
                  <w:pPr>
                    <w:jc w:val="center"/>
                    <w:rPr>
                      <w:bCs/>
                      <w:szCs w:val="21"/>
                    </w:rPr>
                  </w:pPr>
                  <w:r>
                    <w:rPr>
                      <w:bCs/>
                      <w:szCs w:val="21"/>
                    </w:rPr>
                    <w:t>TA014碱喷淋塔+15m排气筒DA017</w:t>
                  </w:r>
                </w:p>
              </w:tc>
              <w:tc>
                <w:tcPr>
                  <w:tcW w:w="848" w:type="dxa"/>
                  <w:vAlign w:val="center"/>
                </w:tcPr>
                <w:p w14:paraId="520ABB6E">
                  <w:pPr>
                    <w:jc w:val="center"/>
                    <w:rPr>
                      <w:bCs/>
                      <w:szCs w:val="21"/>
                    </w:rPr>
                  </w:pPr>
                  <w:r>
                    <w:rPr>
                      <w:rFonts w:hint="eastAsia"/>
                      <w:bCs/>
                      <w:szCs w:val="21"/>
                    </w:rPr>
                    <w:t>/</w:t>
                  </w:r>
                </w:p>
              </w:tc>
            </w:tr>
            <w:tr w14:paraId="520ABB7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70">
                  <w:pPr>
                    <w:jc w:val="center"/>
                    <w:rPr>
                      <w:szCs w:val="21"/>
                    </w:rPr>
                  </w:pPr>
                  <w:r>
                    <w:rPr>
                      <w:rFonts w:hint="eastAsia"/>
                      <w:szCs w:val="21"/>
                    </w:rPr>
                    <w:t>DA018排气筒</w:t>
                  </w:r>
                </w:p>
              </w:tc>
              <w:tc>
                <w:tcPr>
                  <w:tcW w:w="4110" w:type="dxa"/>
                  <w:vAlign w:val="center"/>
                </w:tcPr>
                <w:p w14:paraId="520ABB71">
                  <w:pPr>
                    <w:jc w:val="center"/>
                    <w:rPr>
                      <w:szCs w:val="21"/>
                    </w:rPr>
                  </w:pPr>
                  <w:r>
                    <w:rPr>
                      <w:rFonts w:hint="eastAsia"/>
                      <w:szCs w:val="21"/>
                    </w:rPr>
                    <w:t>碱炉废气</w:t>
                  </w:r>
                </w:p>
              </w:tc>
              <w:tc>
                <w:tcPr>
                  <w:tcW w:w="2268" w:type="dxa"/>
                  <w:vAlign w:val="center"/>
                </w:tcPr>
                <w:p w14:paraId="520ABB72">
                  <w:pPr>
                    <w:jc w:val="center"/>
                    <w:rPr>
                      <w:szCs w:val="21"/>
                    </w:rPr>
                  </w:pPr>
                  <w:r>
                    <w:rPr>
                      <w:rFonts w:hint="eastAsia"/>
                      <w:szCs w:val="21"/>
                    </w:rPr>
                    <w:t>碱雾</w:t>
                  </w:r>
                </w:p>
              </w:tc>
              <w:tc>
                <w:tcPr>
                  <w:tcW w:w="3402" w:type="dxa"/>
                  <w:vAlign w:val="center"/>
                </w:tcPr>
                <w:p w14:paraId="520ABB73">
                  <w:pPr>
                    <w:jc w:val="center"/>
                    <w:rPr>
                      <w:szCs w:val="21"/>
                    </w:rPr>
                  </w:pPr>
                  <w:r>
                    <w:rPr>
                      <w:rFonts w:hint="eastAsia"/>
                      <w:szCs w:val="21"/>
                    </w:rPr>
                    <w:t>密闭负压收集+水喷淋塔+15m高排气筒DA0</w:t>
                  </w:r>
                  <w:r>
                    <w:rPr>
                      <w:szCs w:val="21"/>
                    </w:rPr>
                    <w:t>18</w:t>
                  </w:r>
                </w:p>
              </w:tc>
              <w:tc>
                <w:tcPr>
                  <w:tcW w:w="848" w:type="dxa"/>
                  <w:vMerge w:val="restart"/>
                  <w:vAlign w:val="center"/>
                </w:tcPr>
                <w:p w14:paraId="520ABB74">
                  <w:pPr>
                    <w:jc w:val="center"/>
                    <w:rPr>
                      <w:kern w:val="44"/>
                      <w:szCs w:val="21"/>
                    </w:rPr>
                  </w:pPr>
                  <w:r>
                    <w:rPr>
                      <w:rFonts w:hint="eastAsia"/>
                      <w:bCs/>
                      <w:szCs w:val="21"/>
                    </w:rPr>
                    <w:t>在建工程未投产</w:t>
                  </w:r>
                </w:p>
              </w:tc>
            </w:tr>
            <w:tr w14:paraId="520ABB7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76">
                  <w:pPr>
                    <w:jc w:val="center"/>
                    <w:rPr>
                      <w:szCs w:val="21"/>
                    </w:rPr>
                  </w:pPr>
                  <w:r>
                    <w:rPr>
                      <w:rFonts w:hint="eastAsia"/>
                      <w:szCs w:val="21"/>
                    </w:rPr>
                    <w:t>DA019排气筒</w:t>
                  </w:r>
                </w:p>
              </w:tc>
              <w:tc>
                <w:tcPr>
                  <w:tcW w:w="4110" w:type="dxa"/>
                  <w:vAlign w:val="center"/>
                </w:tcPr>
                <w:p w14:paraId="520ABB77">
                  <w:pPr>
                    <w:jc w:val="center"/>
                    <w:rPr>
                      <w:szCs w:val="21"/>
                    </w:rPr>
                  </w:pPr>
                  <w:r>
                    <w:rPr>
                      <w:rFonts w:hint="eastAsia"/>
                      <w:szCs w:val="21"/>
                    </w:rPr>
                    <w:t>盐浴炉废气</w:t>
                  </w:r>
                </w:p>
              </w:tc>
              <w:tc>
                <w:tcPr>
                  <w:tcW w:w="2268" w:type="dxa"/>
                  <w:vAlign w:val="center"/>
                </w:tcPr>
                <w:p w14:paraId="520ABB78">
                  <w:pPr>
                    <w:jc w:val="center"/>
                    <w:rPr>
                      <w:szCs w:val="21"/>
                    </w:rPr>
                  </w:pPr>
                  <w:r>
                    <w:rPr>
                      <w:rFonts w:hint="eastAsia"/>
                      <w:szCs w:val="21"/>
                    </w:rPr>
                    <w:t>H</w:t>
                  </w:r>
                  <w:r>
                    <w:rPr>
                      <w:szCs w:val="21"/>
                    </w:rPr>
                    <w:t>C</w:t>
                  </w:r>
                  <w:r>
                    <w:rPr>
                      <w:rFonts w:hint="eastAsia"/>
                      <w:szCs w:val="21"/>
                    </w:rPr>
                    <w:t>l</w:t>
                  </w:r>
                </w:p>
              </w:tc>
              <w:tc>
                <w:tcPr>
                  <w:tcW w:w="3402" w:type="dxa"/>
                  <w:vAlign w:val="center"/>
                </w:tcPr>
                <w:p w14:paraId="520ABB79">
                  <w:pPr>
                    <w:jc w:val="center"/>
                    <w:rPr>
                      <w:szCs w:val="21"/>
                    </w:rPr>
                  </w:pPr>
                  <w:r>
                    <w:rPr>
                      <w:rFonts w:hint="eastAsia"/>
                      <w:szCs w:val="21"/>
                    </w:rPr>
                    <w:t>密闭负压收集+碱喷淋塔+15m高排气筒DA0</w:t>
                  </w:r>
                  <w:r>
                    <w:rPr>
                      <w:szCs w:val="21"/>
                    </w:rPr>
                    <w:t>19</w:t>
                  </w:r>
                </w:p>
              </w:tc>
              <w:tc>
                <w:tcPr>
                  <w:tcW w:w="848" w:type="dxa"/>
                  <w:vMerge w:val="continue"/>
                  <w:vAlign w:val="center"/>
                </w:tcPr>
                <w:p w14:paraId="520ABB7A">
                  <w:pPr>
                    <w:jc w:val="center"/>
                    <w:rPr>
                      <w:szCs w:val="21"/>
                    </w:rPr>
                  </w:pPr>
                </w:p>
              </w:tc>
            </w:tr>
            <w:tr w14:paraId="520ABB8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7C">
                  <w:pPr>
                    <w:jc w:val="center"/>
                    <w:rPr>
                      <w:szCs w:val="21"/>
                    </w:rPr>
                  </w:pPr>
                  <w:r>
                    <w:rPr>
                      <w:rFonts w:hint="eastAsia"/>
                      <w:szCs w:val="21"/>
                    </w:rPr>
                    <w:t>DA020排气筒</w:t>
                  </w:r>
                </w:p>
              </w:tc>
              <w:tc>
                <w:tcPr>
                  <w:tcW w:w="4110" w:type="dxa"/>
                  <w:vAlign w:val="center"/>
                </w:tcPr>
                <w:p w14:paraId="520ABB7D">
                  <w:pPr>
                    <w:jc w:val="center"/>
                    <w:rPr>
                      <w:szCs w:val="21"/>
                    </w:rPr>
                  </w:pPr>
                  <w:r>
                    <w:rPr>
                      <w:rFonts w:hint="eastAsia"/>
                      <w:szCs w:val="21"/>
                    </w:rPr>
                    <w:t>弹簧组油浴炉废气</w:t>
                  </w:r>
                </w:p>
              </w:tc>
              <w:tc>
                <w:tcPr>
                  <w:tcW w:w="2268" w:type="dxa"/>
                  <w:vAlign w:val="center"/>
                </w:tcPr>
                <w:p w14:paraId="520ABB7E">
                  <w:pPr>
                    <w:jc w:val="center"/>
                    <w:rPr>
                      <w:szCs w:val="21"/>
                    </w:rPr>
                  </w:pPr>
                  <w:r>
                    <w:rPr>
                      <w:rFonts w:hint="eastAsia"/>
                      <w:szCs w:val="21"/>
                    </w:rPr>
                    <w:t>非甲烷总烃</w:t>
                  </w:r>
                </w:p>
              </w:tc>
              <w:tc>
                <w:tcPr>
                  <w:tcW w:w="3402" w:type="dxa"/>
                  <w:vAlign w:val="center"/>
                </w:tcPr>
                <w:p w14:paraId="520ABB7F">
                  <w:pPr>
                    <w:jc w:val="center"/>
                    <w:rPr>
                      <w:szCs w:val="21"/>
                    </w:rPr>
                  </w:pPr>
                  <w:r>
                    <w:rPr>
                      <w:rFonts w:hint="eastAsia"/>
                      <w:szCs w:val="21"/>
                    </w:rPr>
                    <w:t>集气罩+低温等离子+活性炭吸附箱+15m高排气筒DA0</w:t>
                  </w:r>
                  <w:r>
                    <w:rPr>
                      <w:szCs w:val="21"/>
                    </w:rPr>
                    <w:t>2</w:t>
                  </w:r>
                  <w:r>
                    <w:rPr>
                      <w:rFonts w:hint="eastAsia"/>
                      <w:szCs w:val="21"/>
                    </w:rPr>
                    <w:t>0</w:t>
                  </w:r>
                </w:p>
              </w:tc>
              <w:tc>
                <w:tcPr>
                  <w:tcW w:w="848" w:type="dxa"/>
                  <w:vMerge w:val="continue"/>
                  <w:vAlign w:val="center"/>
                </w:tcPr>
                <w:p w14:paraId="520ABB80">
                  <w:pPr>
                    <w:jc w:val="center"/>
                    <w:rPr>
                      <w:szCs w:val="21"/>
                    </w:rPr>
                  </w:pPr>
                </w:p>
              </w:tc>
            </w:tr>
            <w:tr w14:paraId="520ABB8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82">
                  <w:pPr>
                    <w:jc w:val="center"/>
                    <w:rPr>
                      <w:szCs w:val="21"/>
                    </w:rPr>
                  </w:pPr>
                  <w:r>
                    <w:rPr>
                      <w:rFonts w:hint="eastAsia"/>
                      <w:szCs w:val="21"/>
                    </w:rPr>
                    <w:t>DA021排气筒</w:t>
                  </w:r>
                </w:p>
              </w:tc>
              <w:tc>
                <w:tcPr>
                  <w:tcW w:w="4110" w:type="dxa"/>
                  <w:vAlign w:val="center"/>
                </w:tcPr>
                <w:p w14:paraId="520ABB83">
                  <w:pPr>
                    <w:jc w:val="center"/>
                    <w:rPr>
                      <w:szCs w:val="21"/>
                    </w:rPr>
                  </w:pPr>
                  <w:r>
                    <w:rPr>
                      <w:rFonts w:hint="eastAsia"/>
                      <w:szCs w:val="21"/>
                    </w:rPr>
                    <w:t>底装料立式多用炉生产线D</w:t>
                  </w:r>
                  <w:r>
                    <w:rPr>
                      <w:szCs w:val="21"/>
                    </w:rPr>
                    <w:t>A021</w:t>
                  </w:r>
                </w:p>
              </w:tc>
              <w:tc>
                <w:tcPr>
                  <w:tcW w:w="2268" w:type="dxa"/>
                  <w:vAlign w:val="center"/>
                </w:tcPr>
                <w:p w14:paraId="520ABB84">
                  <w:pPr>
                    <w:jc w:val="center"/>
                    <w:rPr>
                      <w:szCs w:val="21"/>
                    </w:rPr>
                  </w:pPr>
                  <w:r>
                    <w:rPr>
                      <w:rFonts w:hint="eastAsia"/>
                      <w:szCs w:val="21"/>
                    </w:rPr>
                    <w:t>非甲烷总烃</w:t>
                  </w:r>
                </w:p>
              </w:tc>
              <w:tc>
                <w:tcPr>
                  <w:tcW w:w="3402" w:type="dxa"/>
                  <w:vAlign w:val="center"/>
                </w:tcPr>
                <w:p w14:paraId="520ABB85">
                  <w:pPr>
                    <w:jc w:val="center"/>
                    <w:rPr>
                      <w:szCs w:val="21"/>
                    </w:rPr>
                  </w:pPr>
                  <w:r>
                    <w:rPr>
                      <w:rFonts w:hint="eastAsia"/>
                      <w:szCs w:val="21"/>
                    </w:rPr>
                    <w:t>集气罩+多级油烟净化装置+活性炭吸附箱+15m高排气筒DA0</w:t>
                  </w:r>
                  <w:r>
                    <w:rPr>
                      <w:szCs w:val="21"/>
                    </w:rPr>
                    <w:t>21</w:t>
                  </w:r>
                </w:p>
              </w:tc>
              <w:tc>
                <w:tcPr>
                  <w:tcW w:w="848" w:type="dxa"/>
                  <w:vMerge w:val="continue"/>
                  <w:vAlign w:val="center"/>
                </w:tcPr>
                <w:p w14:paraId="520ABB86">
                  <w:pPr>
                    <w:jc w:val="center"/>
                    <w:rPr>
                      <w:szCs w:val="21"/>
                    </w:rPr>
                  </w:pPr>
                </w:p>
              </w:tc>
            </w:tr>
            <w:tr w14:paraId="520ABB8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88">
                  <w:pPr>
                    <w:jc w:val="center"/>
                    <w:rPr>
                      <w:szCs w:val="21"/>
                    </w:rPr>
                  </w:pPr>
                  <w:r>
                    <w:rPr>
                      <w:rFonts w:hint="eastAsia"/>
                      <w:szCs w:val="21"/>
                    </w:rPr>
                    <w:t>DA022排气筒</w:t>
                  </w:r>
                </w:p>
              </w:tc>
              <w:tc>
                <w:tcPr>
                  <w:tcW w:w="4110" w:type="dxa"/>
                  <w:vAlign w:val="center"/>
                </w:tcPr>
                <w:p w14:paraId="520ABB89">
                  <w:pPr>
                    <w:jc w:val="center"/>
                    <w:rPr>
                      <w:szCs w:val="21"/>
                    </w:rPr>
                  </w:pPr>
                  <w:r>
                    <w:rPr>
                      <w:rFonts w:hint="eastAsia"/>
                      <w:szCs w:val="21"/>
                    </w:rPr>
                    <w:t>底装料立式多用炉生产线D</w:t>
                  </w:r>
                  <w:r>
                    <w:rPr>
                      <w:szCs w:val="21"/>
                    </w:rPr>
                    <w:t>A022</w:t>
                  </w:r>
                </w:p>
              </w:tc>
              <w:tc>
                <w:tcPr>
                  <w:tcW w:w="2268" w:type="dxa"/>
                  <w:vAlign w:val="center"/>
                </w:tcPr>
                <w:p w14:paraId="520ABB8A">
                  <w:pPr>
                    <w:jc w:val="center"/>
                    <w:rPr>
                      <w:szCs w:val="21"/>
                    </w:rPr>
                  </w:pPr>
                  <w:r>
                    <w:rPr>
                      <w:rFonts w:hint="eastAsia"/>
                      <w:szCs w:val="21"/>
                    </w:rPr>
                    <w:t>非甲烷总烃</w:t>
                  </w:r>
                </w:p>
              </w:tc>
              <w:tc>
                <w:tcPr>
                  <w:tcW w:w="3402" w:type="dxa"/>
                  <w:vAlign w:val="center"/>
                </w:tcPr>
                <w:p w14:paraId="520ABB8B">
                  <w:pPr>
                    <w:jc w:val="center"/>
                    <w:rPr>
                      <w:szCs w:val="21"/>
                    </w:rPr>
                  </w:pPr>
                  <w:r>
                    <w:rPr>
                      <w:rFonts w:hint="eastAsia"/>
                      <w:szCs w:val="21"/>
                    </w:rPr>
                    <w:t>集气罩+多级油烟净化装置+活性炭吸附箱+15m高排气筒DA0</w:t>
                  </w:r>
                  <w:r>
                    <w:rPr>
                      <w:szCs w:val="21"/>
                    </w:rPr>
                    <w:t>22</w:t>
                  </w:r>
                </w:p>
              </w:tc>
              <w:tc>
                <w:tcPr>
                  <w:tcW w:w="848" w:type="dxa"/>
                  <w:vMerge w:val="continue"/>
                  <w:vAlign w:val="center"/>
                </w:tcPr>
                <w:p w14:paraId="520ABB8C">
                  <w:pPr>
                    <w:jc w:val="center"/>
                    <w:rPr>
                      <w:szCs w:val="21"/>
                    </w:rPr>
                  </w:pPr>
                </w:p>
              </w:tc>
            </w:tr>
            <w:tr w14:paraId="520ABB9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8E">
                  <w:pPr>
                    <w:jc w:val="center"/>
                    <w:rPr>
                      <w:szCs w:val="21"/>
                    </w:rPr>
                  </w:pPr>
                  <w:r>
                    <w:rPr>
                      <w:rFonts w:hint="eastAsia"/>
                      <w:szCs w:val="21"/>
                    </w:rPr>
                    <w:t>DA023排气筒</w:t>
                  </w:r>
                </w:p>
              </w:tc>
              <w:tc>
                <w:tcPr>
                  <w:tcW w:w="4110" w:type="dxa"/>
                  <w:vAlign w:val="center"/>
                </w:tcPr>
                <w:p w14:paraId="520ABB8F">
                  <w:pPr>
                    <w:jc w:val="center"/>
                    <w:rPr>
                      <w:szCs w:val="21"/>
                    </w:rPr>
                  </w:pPr>
                  <w:r>
                    <w:rPr>
                      <w:rFonts w:hint="eastAsia"/>
                      <w:szCs w:val="21"/>
                    </w:rPr>
                    <w:t>碳氮共渗炉废气</w:t>
                  </w:r>
                </w:p>
              </w:tc>
              <w:tc>
                <w:tcPr>
                  <w:tcW w:w="2268" w:type="dxa"/>
                  <w:vAlign w:val="center"/>
                </w:tcPr>
                <w:p w14:paraId="520ABB90">
                  <w:pPr>
                    <w:jc w:val="center"/>
                    <w:rPr>
                      <w:szCs w:val="21"/>
                    </w:rPr>
                  </w:pPr>
                  <w:r>
                    <w:rPr>
                      <w:rFonts w:hint="eastAsia"/>
                      <w:szCs w:val="21"/>
                    </w:rPr>
                    <w:t>氨</w:t>
                  </w:r>
                </w:p>
              </w:tc>
              <w:tc>
                <w:tcPr>
                  <w:tcW w:w="3402" w:type="dxa"/>
                  <w:vAlign w:val="center"/>
                </w:tcPr>
                <w:p w14:paraId="520ABB91">
                  <w:pPr>
                    <w:jc w:val="center"/>
                    <w:rPr>
                      <w:szCs w:val="21"/>
                    </w:rPr>
                  </w:pPr>
                  <w:r>
                    <w:rPr>
                      <w:rFonts w:hint="eastAsia"/>
                      <w:szCs w:val="21"/>
                    </w:rPr>
                    <w:t>密闭管道+氨吸收塔（水喷淋塔）+</w:t>
                  </w:r>
                  <w:r>
                    <w:rPr>
                      <w:szCs w:val="21"/>
                    </w:rPr>
                    <w:t>15</w:t>
                  </w:r>
                  <w:r>
                    <w:rPr>
                      <w:rFonts w:hint="eastAsia"/>
                      <w:szCs w:val="21"/>
                    </w:rPr>
                    <w:t>m高排气筒</w:t>
                  </w:r>
                  <w:r>
                    <w:rPr>
                      <w:szCs w:val="21"/>
                    </w:rPr>
                    <w:t>DA02</w:t>
                  </w:r>
                  <w:r>
                    <w:rPr>
                      <w:rFonts w:hint="eastAsia"/>
                      <w:szCs w:val="21"/>
                    </w:rPr>
                    <w:t>3</w:t>
                  </w:r>
                </w:p>
              </w:tc>
              <w:tc>
                <w:tcPr>
                  <w:tcW w:w="848" w:type="dxa"/>
                  <w:vMerge w:val="continue"/>
                  <w:vAlign w:val="center"/>
                </w:tcPr>
                <w:p w14:paraId="520ABB92">
                  <w:pPr>
                    <w:jc w:val="center"/>
                    <w:rPr>
                      <w:szCs w:val="21"/>
                    </w:rPr>
                  </w:pPr>
                </w:p>
              </w:tc>
            </w:tr>
            <w:tr w14:paraId="520ABB9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94">
                  <w:pPr>
                    <w:jc w:val="center"/>
                    <w:rPr>
                      <w:kern w:val="0"/>
                      <w:szCs w:val="21"/>
                    </w:rPr>
                  </w:pPr>
                  <w:r>
                    <w:rPr>
                      <w:rFonts w:hint="eastAsia"/>
                      <w:szCs w:val="21"/>
                    </w:rPr>
                    <w:t>含油铁屑暂存间</w:t>
                  </w:r>
                </w:p>
              </w:tc>
              <w:tc>
                <w:tcPr>
                  <w:tcW w:w="4110" w:type="dxa"/>
                  <w:vAlign w:val="center"/>
                </w:tcPr>
                <w:p w14:paraId="520ABB95">
                  <w:pPr>
                    <w:jc w:val="center"/>
                    <w:rPr>
                      <w:szCs w:val="21"/>
                    </w:rPr>
                  </w:pPr>
                  <w:r>
                    <w:rPr>
                      <w:rFonts w:hint="eastAsia"/>
                      <w:szCs w:val="21"/>
                    </w:rPr>
                    <w:t>含油铁屑暂存废气</w:t>
                  </w:r>
                </w:p>
              </w:tc>
              <w:tc>
                <w:tcPr>
                  <w:tcW w:w="2268" w:type="dxa"/>
                  <w:vAlign w:val="center"/>
                </w:tcPr>
                <w:p w14:paraId="520ABB96">
                  <w:pPr>
                    <w:jc w:val="center"/>
                    <w:rPr>
                      <w:szCs w:val="21"/>
                    </w:rPr>
                  </w:pPr>
                  <w:r>
                    <w:rPr>
                      <w:rFonts w:hint="eastAsia"/>
                      <w:szCs w:val="21"/>
                    </w:rPr>
                    <w:t>非甲烷总烃</w:t>
                  </w:r>
                </w:p>
              </w:tc>
              <w:tc>
                <w:tcPr>
                  <w:tcW w:w="3402" w:type="dxa"/>
                  <w:vAlign w:val="center"/>
                </w:tcPr>
                <w:p w14:paraId="520ABB97">
                  <w:pPr>
                    <w:jc w:val="center"/>
                    <w:rPr>
                      <w:bCs/>
                      <w:szCs w:val="21"/>
                    </w:rPr>
                  </w:pPr>
                  <w:r>
                    <w:rPr>
                      <w:bCs/>
                      <w:szCs w:val="21"/>
                    </w:rPr>
                    <w:t>活性炭吸附箱+15m排气筒DA024</w:t>
                  </w:r>
                </w:p>
              </w:tc>
              <w:tc>
                <w:tcPr>
                  <w:tcW w:w="848" w:type="dxa"/>
                  <w:vAlign w:val="center"/>
                </w:tcPr>
                <w:p w14:paraId="520ABB98">
                  <w:pPr>
                    <w:jc w:val="center"/>
                    <w:rPr>
                      <w:kern w:val="44"/>
                      <w:szCs w:val="21"/>
                    </w:rPr>
                  </w:pPr>
                  <w:r>
                    <w:rPr>
                      <w:rFonts w:hint="eastAsia"/>
                      <w:kern w:val="44"/>
                      <w:szCs w:val="21"/>
                    </w:rPr>
                    <w:t>/</w:t>
                  </w:r>
                </w:p>
              </w:tc>
            </w:tr>
            <w:tr w14:paraId="520ABB9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161" w:type="dxa"/>
                  <w:vAlign w:val="center"/>
                </w:tcPr>
                <w:p w14:paraId="520ABB9A">
                  <w:pPr>
                    <w:jc w:val="center"/>
                    <w:rPr>
                      <w:szCs w:val="21"/>
                    </w:rPr>
                  </w:pPr>
                  <w:r>
                    <w:rPr>
                      <w:szCs w:val="21"/>
                    </w:rPr>
                    <w:t>废水处理系统恶臭气体</w:t>
                  </w:r>
                </w:p>
              </w:tc>
              <w:tc>
                <w:tcPr>
                  <w:tcW w:w="4110" w:type="dxa"/>
                  <w:vAlign w:val="center"/>
                </w:tcPr>
                <w:p w14:paraId="520ABB9B">
                  <w:pPr>
                    <w:jc w:val="center"/>
                    <w:rPr>
                      <w:szCs w:val="21"/>
                    </w:rPr>
                  </w:pPr>
                  <w:r>
                    <w:rPr>
                      <w:szCs w:val="21"/>
                    </w:rPr>
                    <w:t>综合废水处理设施</w:t>
                  </w:r>
                </w:p>
              </w:tc>
              <w:tc>
                <w:tcPr>
                  <w:tcW w:w="2268" w:type="dxa"/>
                  <w:vAlign w:val="center"/>
                </w:tcPr>
                <w:p w14:paraId="520ABB9C">
                  <w:pPr>
                    <w:jc w:val="center"/>
                    <w:rPr>
                      <w:szCs w:val="21"/>
                    </w:rPr>
                  </w:pPr>
                  <w:r>
                    <w:rPr>
                      <w:szCs w:val="21"/>
                    </w:rPr>
                    <w:t>氨</w:t>
                  </w:r>
                  <w:r>
                    <w:rPr>
                      <w:rFonts w:hint="eastAsia"/>
                      <w:szCs w:val="21"/>
                    </w:rPr>
                    <w:t>、</w:t>
                  </w:r>
                  <w:r>
                    <w:rPr>
                      <w:szCs w:val="21"/>
                    </w:rPr>
                    <w:t>硫化氢</w:t>
                  </w:r>
                </w:p>
              </w:tc>
              <w:tc>
                <w:tcPr>
                  <w:tcW w:w="3402" w:type="dxa"/>
                  <w:vAlign w:val="center"/>
                </w:tcPr>
                <w:p w14:paraId="520ABB9D">
                  <w:pPr>
                    <w:jc w:val="center"/>
                    <w:rPr>
                      <w:bCs/>
                      <w:szCs w:val="21"/>
                    </w:rPr>
                  </w:pPr>
                  <w:r>
                    <w:rPr>
                      <w:bCs/>
                      <w:szCs w:val="21"/>
                    </w:rPr>
                    <w:t>加盖密闭</w:t>
                  </w:r>
                </w:p>
              </w:tc>
              <w:tc>
                <w:tcPr>
                  <w:tcW w:w="848" w:type="dxa"/>
                  <w:vAlign w:val="center"/>
                </w:tcPr>
                <w:p w14:paraId="520ABB9E">
                  <w:pPr>
                    <w:jc w:val="center"/>
                    <w:rPr>
                      <w:bCs/>
                      <w:szCs w:val="21"/>
                    </w:rPr>
                  </w:pPr>
                  <w:r>
                    <w:rPr>
                      <w:rFonts w:hint="eastAsia"/>
                      <w:bCs/>
                      <w:szCs w:val="21"/>
                    </w:rPr>
                    <w:t>/</w:t>
                  </w:r>
                </w:p>
              </w:tc>
            </w:tr>
          </w:tbl>
          <w:p w14:paraId="520ABBA0">
            <w:pPr>
              <w:adjustRightInd w:val="0"/>
              <w:snapToGrid w:val="0"/>
              <w:spacing w:line="460" w:lineRule="exact"/>
              <w:ind w:firstLine="480" w:firstLineChars="200"/>
              <w:rPr>
                <w:sz w:val="24"/>
              </w:rPr>
            </w:pPr>
            <w:r>
              <w:rPr>
                <w:rFonts w:hint="eastAsia"/>
                <w:sz w:val="24"/>
              </w:rPr>
              <w:t>②废气排放情况</w:t>
            </w:r>
          </w:p>
          <w:p w14:paraId="520ABBA1">
            <w:pPr>
              <w:adjustRightInd w:val="0"/>
              <w:snapToGrid w:val="0"/>
              <w:spacing w:line="460" w:lineRule="exact"/>
              <w:ind w:firstLine="480" w:firstLineChars="200"/>
              <w:rPr>
                <w:sz w:val="24"/>
              </w:rPr>
            </w:pPr>
            <w:r>
              <w:rPr>
                <w:rFonts w:hint="eastAsia"/>
                <w:sz w:val="24"/>
              </w:rPr>
              <w:t>I）有组织废气</w:t>
            </w:r>
          </w:p>
          <w:p w14:paraId="520ABBA2">
            <w:pPr>
              <w:spacing w:line="460" w:lineRule="exact"/>
              <w:ind w:firstLine="480" w:firstLineChars="200"/>
              <w:rPr>
                <w:sz w:val="24"/>
              </w:rPr>
            </w:pPr>
            <w:r>
              <w:rPr>
                <w:rFonts w:hint="eastAsia"/>
                <w:sz w:val="24"/>
              </w:rPr>
              <w:t>河南鑫成环测检测技术有限公司2025年4月24日、</w:t>
            </w:r>
            <w:r>
              <w:rPr>
                <w:sz w:val="24"/>
              </w:rPr>
              <w:t>河南析源环境检测有限公司</w:t>
            </w:r>
            <w:r>
              <w:rPr>
                <w:rFonts w:hint="eastAsia"/>
                <w:sz w:val="24"/>
              </w:rPr>
              <w:t>202</w:t>
            </w:r>
            <w:r>
              <w:rPr>
                <w:sz w:val="24"/>
              </w:rPr>
              <w:t>3</w:t>
            </w:r>
            <w:r>
              <w:rPr>
                <w:rFonts w:hint="eastAsia"/>
                <w:sz w:val="24"/>
              </w:rPr>
              <w:t>年</w:t>
            </w:r>
            <w:r>
              <w:rPr>
                <w:sz w:val="24"/>
              </w:rPr>
              <w:t>6</w:t>
            </w:r>
            <w:r>
              <w:rPr>
                <w:rFonts w:hint="eastAsia"/>
                <w:sz w:val="24"/>
              </w:rPr>
              <w:t>月2</w:t>
            </w:r>
            <w:r>
              <w:rPr>
                <w:sz w:val="24"/>
              </w:rPr>
              <w:t>0</w:t>
            </w:r>
            <w:r>
              <w:rPr>
                <w:rFonts w:hint="eastAsia"/>
                <w:sz w:val="24"/>
              </w:rPr>
              <w:t>日对现有工程的有组织废气进行了检测，同时根据2025年1月1日-6月30日DA025在线监测数据，解放路厂区现有工程废气产生及排放情况如下：</w:t>
            </w:r>
          </w:p>
          <w:p w14:paraId="520ABBA3">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32</w:t>
            </w:r>
            <w:r>
              <w:rPr>
                <w:rFonts w:eastAsia="黑体"/>
                <w:sz w:val="24"/>
              </w:rPr>
              <w:t xml:space="preserve">                    </w:t>
            </w:r>
            <w:r>
              <w:rPr>
                <w:rFonts w:hint="eastAsia" w:eastAsia="黑体"/>
                <w:sz w:val="24"/>
              </w:rPr>
              <w:t>解放路厂区</w:t>
            </w:r>
            <w:r>
              <w:rPr>
                <w:rFonts w:eastAsia="黑体"/>
                <w:sz w:val="24"/>
              </w:rPr>
              <w:t>现有</w:t>
            </w:r>
            <w:r>
              <w:rPr>
                <w:rFonts w:hint="eastAsia" w:eastAsia="黑体"/>
                <w:sz w:val="24"/>
              </w:rPr>
              <w:t>工程</w:t>
            </w:r>
            <w:r>
              <w:rPr>
                <w:rFonts w:eastAsia="黑体"/>
                <w:sz w:val="24"/>
              </w:rPr>
              <w:t>废气产生及排放情况</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937"/>
              <w:gridCol w:w="780"/>
              <w:gridCol w:w="1121"/>
              <w:gridCol w:w="1024"/>
              <w:gridCol w:w="1225"/>
              <w:gridCol w:w="2007"/>
              <w:gridCol w:w="1759"/>
              <w:gridCol w:w="1969"/>
              <w:gridCol w:w="1967"/>
            </w:tblGrid>
            <w:tr w14:paraId="520ABBA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69" w:hRule="atLeast"/>
                <w:jc w:val="center"/>
              </w:trPr>
              <w:tc>
                <w:tcPr>
                  <w:tcW w:w="368" w:type="pct"/>
                  <w:vMerge w:val="restart"/>
                  <w:vAlign w:val="center"/>
                </w:tcPr>
                <w:p w14:paraId="520ABBA4">
                  <w:pPr>
                    <w:widowControl/>
                    <w:adjustRightInd w:val="0"/>
                    <w:snapToGrid w:val="0"/>
                    <w:jc w:val="center"/>
                    <w:rPr>
                      <w:b/>
                      <w:bCs/>
                      <w:kern w:val="0"/>
                      <w:szCs w:val="21"/>
                    </w:rPr>
                  </w:pPr>
                  <w:r>
                    <w:rPr>
                      <w:b/>
                      <w:bCs/>
                      <w:kern w:val="0"/>
                      <w:szCs w:val="21"/>
                    </w:rPr>
                    <w:t>检测日期</w:t>
                  </w:r>
                </w:p>
              </w:tc>
              <w:tc>
                <w:tcPr>
                  <w:tcW w:w="294" w:type="pct"/>
                  <w:vMerge w:val="restart"/>
                  <w:vAlign w:val="center"/>
                </w:tcPr>
                <w:p w14:paraId="520ABBA5">
                  <w:pPr>
                    <w:widowControl/>
                    <w:adjustRightInd w:val="0"/>
                    <w:snapToGrid w:val="0"/>
                    <w:jc w:val="center"/>
                    <w:rPr>
                      <w:b/>
                      <w:bCs/>
                      <w:kern w:val="0"/>
                      <w:szCs w:val="21"/>
                    </w:rPr>
                  </w:pPr>
                  <w:r>
                    <w:rPr>
                      <w:b/>
                      <w:bCs/>
                      <w:kern w:val="0"/>
                      <w:szCs w:val="21"/>
                    </w:rPr>
                    <w:t>排气筒</w:t>
                  </w:r>
                </w:p>
              </w:tc>
              <w:tc>
                <w:tcPr>
                  <w:tcW w:w="440" w:type="pct"/>
                  <w:vMerge w:val="restart"/>
                  <w:vAlign w:val="center"/>
                </w:tcPr>
                <w:p w14:paraId="520ABBA6">
                  <w:pPr>
                    <w:widowControl/>
                    <w:adjustRightInd w:val="0"/>
                    <w:snapToGrid w:val="0"/>
                    <w:jc w:val="center"/>
                    <w:rPr>
                      <w:b/>
                      <w:bCs/>
                      <w:kern w:val="0"/>
                      <w:szCs w:val="21"/>
                    </w:rPr>
                  </w:pPr>
                  <w:r>
                    <w:rPr>
                      <w:b/>
                      <w:bCs/>
                      <w:kern w:val="0"/>
                      <w:szCs w:val="21"/>
                    </w:rPr>
                    <w:t>污染物种类</w:t>
                  </w:r>
                </w:p>
              </w:tc>
              <w:tc>
                <w:tcPr>
                  <w:tcW w:w="402" w:type="pct"/>
                  <w:vMerge w:val="restart"/>
                  <w:vAlign w:val="center"/>
                </w:tcPr>
                <w:p w14:paraId="520ABBA7">
                  <w:pPr>
                    <w:widowControl/>
                    <w:adjustRightInd w:val="0"/>
                    <w:snapToGrid w:val="0"/>
                    <w:jc w:val="center"/>
                    <w:rPr>
                      <w:b/>
                      <w:bCs/>
                      <w:kern w:val="0"/>
                      <w:szCs w:val="21"/>
                    </w:rPr>
                  </w:pPr>
                  <w:r>
                    <w:rPr>
                      <w:b/>
                      <w:bCs/>
                      <w:kern w:val="0"/>
                      <w:szCs w:val="21"/>
                    </w:rPr>
                    <w:t>产污环节</w:t>
                  </w:r>
                </w:p>
              </w:tc>
              <w:tc>
                <w:tcPr>
                  <w:tcW w:w="1955" w:type="pct"/>
                  <w:gridSpan w:val="3"/>
                  <w:vAlign w:val="center"/>
                </w:tcPr>
                <w:p w14:paraId="520ABBA8">
                  <w:pPr>
                    <w:widowControl/>
                    <w:adjustRightInd w:val="0"/>
                    <w:snapToGrid w:val="0"/>
                    <w:jc w:val="center"/>
                    <w:rPr>
                      <w:b/>
                      <w:bCs/>
                      <w:kern w:val="0"/>
                      <w:szCs w:val="21"/>
                    </w:rPr>
                  </w:pPr>
                  <w:r>
                    <w:rPr>
                      <w:b/>
                      <w:bCs/>
                      <w:kern w:val="0"/>
                      <w:szCs w:val="21"/>
                    </w:rPr>
                    <w:t>排放情况</w:t>
                  </w:r>
                </w:p>
              </w:tc>
              <w:tc>
                <w:tcPr>
                  <w:tcW w:w="771" w:type="pct"/>
                  <w:vMerge w:val="restart"/>
                  <w:vAlign w:val="center"/>
                </w:tcPr>
                <w:p w14:paraId="520ABBA9">
                  <w:pPr>
                    <w:widowControl/>
                    <w:adjustRightInd w:val="0"/>
                    <w:snapToGrid w:val="0"/>
                    <w:jc w:val="center"/>
                    <w:rPr>
                      <w:b/>
                      <w:bCs/>
                      <w:kern w:val="0"/>
                      <w:szCs w:val="21"/>
                    </w:rPr>
                  </w:pPr>
                  <w:r>
                    <w:rPr>
                      <w:rFonts w:hint="eastAsia"/>
                      <w:b/>
                      <w:bCs/>
                      <w:kern w:val="0"/>
                      <w:szCs w:val="21"/>
                    </w:rPr>
                    <w:t>年工作时间</w:t>
                  </w:r>
                </w:p>
                <w:p w14:paraId="520ABBAA">
                  <w:pPr>
                    <w:widowControl/>
                    <w:adjustRightInd w:val="0"/>
                    <w:snapToGrid w:val="0"/>
                    <w:jc w:val="center"/>
                    <w:rPr>
                      <w:b/>
                      <w:bCs/>
                      <w:kern w:val="0"/>
                      <w:szCs w:val="21"/>
                    </w:rPr>
                  </w:pPr>
                  <w:r>
                    <w:rPr>
                      <w:rFonts w:hint="eastAsia"/>
                      <w:b/>
                      <w:bCs/>
                      <w:kern w:val="0"/>
                      <w:szCs w:val="21"/>
                    </w:rPr>
                    <w:t>（h/a）</w:t>
                  </w:r>
                </w:p>
              </w:tc>
              <w:tc>
                <w:tcPr>
                  <w:tcW w:w="770" w:type="pct"/>
                  <w:vMerge w:val="restart"/>
                  <w:vAlign w:val="center"/>
                </w:tcPr>
                <w:p w14:paraId="520ABBAB">
                  <w:pPr>
                    <w:widowControl/>
                    <w:adjustRightInd w:val="0"/>
                    <w:snapToGrid w:val="0"/>
                    <w:jc w:val="center"/>
                    <w:rPr>
                      <w:b/>
                      <w:bCs/>
                      <w:kern w:val="0"/>
                      <w:szCs w:val="21"/>
                    </w:rPr>
                  </w:pPr>
                  <w:r>
                    <w:rPr>
                      <w:rFonts w:hint="eastAsia"/>
                      <w:b/>
                      <w:bCs/>
                      <w:kern w:val="0"/>
                      <w:szCs w:val="21"/>
                    </w:rPr>
                    <w:t>最大排放量（t/a）②</w:t>
                  </w:r>
                </w:p>
              </w:tc>
            </w:tr>
            <w:tr w14:paraId="520ABBB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BAD">
                  <w:pPr>
                    <w:widowControl/>
                    <w:adjustRightInd w:val="0"/>
                    <w:snapToGrid w:val="0"/>
                    <w:jc w:val="center"/>
                    <w:rPr>
                      <w:b/>
                      <w:bCs/>
                      <w:kern w:val="0"/>
                      <w:szCs w:val="21"/>
                    </w:rPr>
                  </w:pPr>
                </w:p>
              </w:tc>
              <w:tc>
                <w:tcPr>
                  <w:tcW w:w="294" w:type="pct"/>
                  <w:vMerge w:val="continue"/>
                  <w:vAlign w:val="center"/>
                </w:tcPr>
                <w:p w14:paraId="520ABBAE">
                  <w:pPr>
                    <w:widowControl/>
                    <w:adjustRightInd w:val="0"/>
                    <w:snapToGrid w:val="0"/>
                    <w:jc w:val="center"/>
                    <w:rPr>
                      <w:b/>
                      <w:bCs/>
                      <w:kern w:val="0"/>
                      <w:szCs w:val="21"/>
                    </w:rPr>
                  </w:pPr>
                </w:p>
              </w:tc>
              <w:tc>
                <w:tcPr>
                  <w:tcW w:w="440" w:type="pct"/>
                  <w:vMerge w:val="continue"/>
                  <w:vAlign w:val="center"/>
                </w:tcPr>
                <w:p w14:paraId="520ABBAF">
                  <w:pPr>
                    <w:widowControl/>
                    <w:adjustRightInd w:val="0"/>
                    <w:snapToGrid w:val="0"/>
                    <w:jc w:val="center"/>
                    <w:rPr>
                      <w:b/>
                      <w:bCs/>
                      <w:kern w:val="0"/>
                      <w:szCs w:val="21"/>
                    </w:rPr>
                  </w:pPr>
                </w:p>
              </w:tc>
              <w:tc>
                <w:tcPr>
                  <w:tcW w:w="402" w:type="pct"/>
                  <w:vMerge w:val="continue"/>
                  <w:vAlign w:val="center"/>
                </w:tcPr>
                <w:p w14:paraId="520ABBB0">
                  <w:pPr>
                    <w:widowControl/>
                    <w:adjustRightInd w:val="0"/>
                    <w:snapToGrid w:val="0"/>
                    <w:jc w:val="center"/>
                    <w:rPr>
                      <w:b/>
                      <w:bCs/>
                      <w:kern w:val="0"/>
                      <w:szCs w:val="21"/>
                    </w:rPr>
                  </w:pPr>
                </w:p>
              </w:tc>
              <w:tc>
                <w:tcPr>
                  <w:tcW w:w="480" w:type="pct"/>
                  <w:vAlign w:val="center"/>
                </w:tcPr>
                <w:p w14:paraId="520ABBB1">
                  <w:pPr>
                    <w:widowControl/>
                    <w:adjustRightInd w:val="0"/>
                    <w:snapToGrid w:val="0"/>
                    <w:jc w:val="center"/>
                    <w:rPr>
                      <w:b/>
                      <w:bCs/>
                      <w:kern w:val="0"/>
                      <w:szCs w:val="21"/>
                    </w:rPr>
                  </w:pPr>
                  <w:r>
                    <w:rPr>
                      <w:b/>
                      <w:bCs/>
                      <w:kern w:val="0"/>
                      <w:szCs w:val="21"/>
                    </w:rPr>
                    <w:t>风量(m</w:t>
                  </w:r>
                  <w:r>
                    <w:rPr>
                      <w:b/>
                      <w:bCs/>
                      <w:kern w:val="0"/>
                      <w:szCs w:val="21"/>
                      <w:vertAlign w:val="superscript"/>
                    </w:rPr>
                    <w:t>3</w:t>
                  </w:r>
                  <w:r>
                    <w:rPr>
                      <w:b/>
                      <w:bCs/>
                      <w:kern w:val="0"/>
                      <w:szCs w:val="21"/>
                    </w:rPr>
                    <w:t>/h)</w:t>
                  </w:r>
                </w:p>
              </w:tc>
              <w:tc>
                <w:tcPr>
                  <w:tcW w:w="786" w:type="pct"/>
                  <w:vAlign w:val="center"/>
                </w:tcPr>
                <w:p w14:paraId="520ABBB2">
                  <w:pPr>
                    <w:widowControl/>
                    <w:adjustRightInd w:val="0"/>
                    <w:snapToGrid w:val="0"/>
                    <w:jc w:val="center"/>
                    <w:rPr>
                      <w:b/>
                      <w:bCs/>
                      <w:kern w:val="0"/>
                      <w:szCs w:val="21"/>
                    </w:rPr>
                  </w:pPr>
                  <w:r>
                    <w:rPr>
                      <w:b/>
                      <w:bCs/>
                      <w:kern w:val="0"/>
                      <w:szCs w:val="21"/>
                    </w:rPr>
                    <w:t>排放浓度(mg/m</w:t>
                  </w:r>
                  <w:r>
                    <w:rPr>
                      <w:b/>
                      <w:bCs/>
                      <w:kern w:val="0"/>
                      <w:szCs w:val="21"/>
                      <w:vertAlign w:val="superscript"/>
                    </w:rPr>
                    <w:t>3</w:t>
                  </w:r>
                  <w:r>
                    <w:rPr>
                      <w:b/>
                      <w:bCs/>
                      <w:kern w:val="0"/>
                      <w:szCs w:val="21"/>
                    </w:rPr>
                    <w:t>)</w:t>
                  </w:r>
                </w:p>
              </w:tc>
              <w:tc>
                <w:tcPr>
                  <w:tcW w:w="689" w:type="pct"/>
                  <w:vAlign w:val="center"/>
                </w:tcPr>
                <w:p w14:paraId="520ABBB3">
                  <w:pPr>
                    <w:widowControl/>
                    <w:adjustRightInd w:val="0"/>
                    <w:snapToGrid w:val="0"/>
                    <w:jc w:val="center"/>
                    <w:rPr>
                      <w:b/>
                      <w:bCs/>
                      <w:kern w:val="0"/>
                      <w:szCs w:val="21"/>
                    </w:rPr>
                  </w:pPr>
                  <w:r>
                    <w:rPr>
                      <w:b/>
                      <w:bCs/>
                      <w:kern w:val="0"/>
                      <w:szCs w:val="21"/>
                    </w:rPr>
                    <w:t>排放速率(kg/h)</w:t>
                  </w:r>
                </w:p>
              </w:tc>
              <w:tc>
                <w:tcPr>
                  <w:tcW w:w="771" w:type="pct"/>
                  <w:vMerge w:val="continue"/>
                  <w:vAlign w:val="center"/>
                </w:tcPr>
                <w:p w14:paraId="520ABBB4">
                  <w:pPr>
                    <w:widowControl/>
                    <w:adjustRightInd w:val="0"/>
                    <w:snapToGrid w:val="0"/>
                    <w:jc w:val="center"/>
                    <w:rPr>
                      <w:b/>
                      <w:bCs/>
                      <w:kern w:val="0"/>
                      <w:szCs w:val="21"/>
                    </w:rPr>
                  </w:pPr>
                </w:p>
              </w:tc>
              <w:tc>
                <w:tcPr>
                  <w:tcW w:w="770" w:type="pct"/>
                  <w:vMerge w:val="continue"/>
                  <w:vAlign w:val="center"/>
                </w:tcPr>
                <w:p w14:paraId="520ABBB5">
                  <w:pPr>
                    <w:widowControl/>
                    <w:adjustRightInd w:val="0"/>
                    <w:snapToGrid w:val="0"/>
                    <w:jc w:val="center"/>
                    <w:rPr>
                      <w:b/>
                      <w:bCs/>
                      <w:kern w:val="0"/>
                      <w:szCs w:val="21"/>
                    </w:rPr>
                  </w:pPr>
                </w:p>
              </w:tc>
            </w:tr>
            <w:tr w14:paraId="520ABBC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restart"/>
                  <w:vAlign w:val="center"/>
                </w:tcPr>
                <w:p w14:paraId="520ABBB7">
                  <w:pPr>
                    <w:widowControl/>
                    <w:adjustRightInd w:val="0"/>
                    <w:snapToGrid w:val="0"/>
                    <w:jc w:val="center"/>
                    <w:rPr>
                      <w:kern w:val="0"/>
                      <w:szCs w:val="21"/>
                    </w:rPr>
                  </w:pPr>
                  <w:r>
                    <w:rPr>
                      <w:kern w:val="0"/>
                      <w:szCs w:val="21"/>
                    </w:rPr>
                    <w:t>2025.4.24</w:t>
                  </w:r>
                </w:p>
              </w:tc>
              <w:tc>
                <w:tcPr>
                  <w:tcW w:w="294" w:type="pct"/>
                  <w:vMerge w:val="restart"/>
                  <w:vAlign w:val="center"/>
                </w:tcPr>
                <w:p w14:paraId="520ABBB8">
                  <w:pPr>
                    <w:widowControl/>
                    <w:adjustRightInd w:val="0"/>
                    <w:snapToGrid w:val="0"/>
                    <w:jc w:val="center"/>
                    <w:rPr>
                      <w:kern w:val="0"/>
                      <w:szCs w:val="21"/>
                    </w:rPr>
                  </w:pPr>
                  <w:r>
                    <w:rPr>
                      <w:kern w:val="0"/>
                      <w:szCs w:val="21"/>
                    </w:rPr>
                    <w:t>DA001</w:t>
                  </w:r>
                </w:p>
              </w:tc>
              <w:tc>
                <w:tcPr>
                  <w:tcW w:w="440" w:type="pct"/>
                  <w:vAlign w:val="center"/>
                </w:tcPr>
                <w:p w14:paraId="520ABBB9">
                  <w:pPr>
                    <w:widowControl/>
                    <w:adjustRightInd w:val="0"/>
                    <w:snapToGrid w:val="0"/>
                    <w:jc w:val="center"/>
                    <w:rPr>
                      <w:kern w:val="0"/>
                      <w:szCs w:val="21"/>
                    </w:rPr>
                  </w:pPr>
                  <w:r>
                    <w:rPr>
                      <w:szCs w:val="21"/>
                    </w:rPr>
                    <w:t>铬酸雾</w:t>
                  </w:r>
                </w:p>
              </w:tc>
              <w:tc>
                <w:tcPr>
                  <w:tcW w:w="402" w:type="pct"/>
                  <w:vMerge w:val="restart"/>
                  <w:vAlign w:val="center"/>
                </w:tcPr>
                <w:p w14:paraId="520ABBBA">
                  <w:pPr>
                    <w:widowControl/>
                    <w:adjustRightInd w:val="0"/>
                    <w:snapToGrid w:val="0"/>
                    <w:jc w:val="center"/>
                    <w:rPr>
                      <w:kern w:val="0"/>
                      <w:szCs w:val="21"/>
                    </w:rPr>
                  </w:pPr>
                  <w:r>
                    <w:rPr>
                      <w:kern w:val="0"/>
                      <w:szCs w:val="21"/>
                    </w:rPr>
                    <w:t>电镀生产线</w:t>
                  </w:r>
                </w:p>
              </w:tc>
              <w:tc>
                <w:tcPr>
                  <w:tcW w:w="480" w:type="pct"/>
                  <w:vMerge w:val="restart"/>
                  <w:vAlign w:val="center"/>
                </w:tcPr>
                <w:p w14:paraId="520ABBBB">
                  <w:pPr>
                    <w:widowControl/>
                    <w:adjustRightInd w:val="0"/>
                    <w:snapToGrid w:val="0"/>
                    <w:jc w:val="center"/>
                    <w:rPr>
                      <w:kern w:val="0"/>
                      <w:szCs w:val="21"/>
                    </w:rPr>
                  </w:pPr>
                  <w:r>
                    <w:rPr>
                      <w:kern w:val="0"/>
                      <w:szCs w:val="21"/>
                    </w:rPr>
                    <w:t>16200</w:t>
                  </w:r>
                </w:p>
              </w:tc>
              <w:tc>
                <w:tcPr>
                  <w:tcW w:w="786" w:type="pct"/>
                  <w:vAlign w:val="center"/>
                </w:tcPr>
                <w:p w14:paraId="520ABBBC">
                  <w:pPr>
                    <w:widowControl/>
                    <w:adjustRightInd w:val="0"/>
                    <w:snapToGrid w:val="0"/>
                    <w:jc w:val="center"/>
                    <w:rPr>
                      <w:kern w:val="0"/>
                      <w:szCs w:val="21"/>
                    </w:rPr>
                  </w:pPr>
                  <w:r>
                    <w:rPr>
                      <w:szCs w:val="21"/>
                    </w:rPr>
                    <w:t>0.016</w:t>
                  </w:r>
                </w:p>
              </w:tc>
              <w:tc>
                <w:tcPr>
                  <w:tcW w:w="689" w:type="pct"/>
                  <w:vAlign w:val="center"/>
                </w:tcPr>
                <w:p w14:paraId="520ABBBD">
                  <w:pPr>
                    <w:widowControl/>
                    <w:adjustRightInd w:val="0"/>
                    <w:snapToGrid w:val="0"/>
                    <w:jc w:val="center"/>
                    <w:rPr>
                      <w:kern w:val="0"/>
                      <w:szCs w:val="21"/>
                    </w:rPr>
                  </w:pPr>
                  <w:r>
                    <w:rPr>
                      <w:szCs w:val="21"/>
                    </w:rPr>
                    <w:t>0.000259</w:t>
                  </w:r>
                </w:p>
              </w:tc>
              <w:tc>
                <w:tcPr>
                  <w:tcW w:w="771" w:type="pct"/>
                  <w:vMerge w:val="restart"/>
                  <w:vAlign w:val="center"/>
                </w:tcPr>
                <w:p w14:paraId="520ABBBE">
                  <w:pPr>
                    <w:widowControl/>
                    <w:adjustRightInd w:val="0"/>
                    <w:snapToGrid w:val="0"/>
                    <w:jc w:val="center"/>
                    <w:rPr>
                      <w:szCs w:val="21"/>
                    </w:rPr>
                  </w:pPr>
                  <w:r>
                    <w:rPr>
                      <w:rFonts w:hint="eastAsia"/>
                      <w:szCs w:val="21"/>
                    </w:rPr>
                    <w:t>2000</w:t>
                  </w:r>
                </w:p>
              </w:tc>
              <w:tc>
                <w:tcPr>
                  <w:tcW w:w="770" w:type="pct"/>
                  <w:vAlign w:val="center"/>
                </w:tcPr>
                <w:p w14:paraId="520ABBBF">
                  <w:pPr>
                    <w:widowControl/>
                    <w:adjustRightInd w:val="0"/>
                    <w:snapToGrid w:val="0"/>
                    <w:jc w:val="center"/>
                    <w:rPr>
                      <w:szCs w:val="21"/>
                    </w:rPr>
                  </w:pPr>
                  <w:r>
                    <w:rPr>
                      <w:rFonts w:eastAsia="等线"/>
                      <w:szCs w:val="21"/>
                    </w:rPr>
                    <w:t>0.0013</w:t>
                  </w:r>
                </w:p>
              </w:tc>
            </w:tr>
            <w:tr w14:paraId="520ABBC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BC1">
                  <w:pPr>
                    <w:widowControl/>
                    <w:adjustRightInd w:val="0"/>
                    <w:snapToGrid w:val="0"/>
                    <w:jc w:val="center"/>
                    <w:rPr>
                      <w:kern w:val="0"/>
                      <w:szCs w:val="21"/>
                    </w:rPr>
                  </w:pPr>
                </w:p>
              </w:tc>
              <w:tc>
                <w:tcPr>
                  <w:tcW w:w="294" w:type="pct"/>
                  <w:vMerge w:val="continue"/>
                  <w:vAlign w:val="center"/>
                </w:tcPr>
                <w:p w14:paraId="520ABBC2">
                  <w:pPr>
                    <w:widowControl/>
                    <w:adjustRightInd w:val="0"/>
                    <w:snapToGrid w:val="0"/>
                    <w:jc w:val="center"/>
                    <w:rPr>
                      <w:kern w:val="0"/>
                      <w:szCs w:val="21"/>
                    </w:rPr>
                  </w:pPr>
                </w:p>
              </w:tc>
              <w:tc>
                <w:tcPr>
                  <w:tcW w:w="440" w:type="pct"/>
                  <w:vAlign w:val="center"/>
                </w:tcPr>
                <w:p w14:paraId="520ABBC3">
                  <w:pPr>
                    <w:widowControl/>
                    <w:adjustRightInd w:val="0"/>
                    <w:snapToGrid w:val="0"/>
                    <w:jc w:val="center"/>
                    <w:rPr>
                      <w:kern w:val="0"/>
                      <w:szCs w:val="21"/>
                    </w:rPr>
                  </w:pPr>
                  <w:r>
                    <w:rPr>
                      <w:szCs w:val="21"/>
                    </w:rPr>
                    <w:t>硫酸雾</w:t>
                  </w:r>
                </w:p>
              </w:tc>
              <w:tc>
                <w:tcPr>
                  <w:tcW w:w="402" w:type="pct"/>
                  <w:vMerge w:val="continue"/>
                  <w:vAlign w:val="center"/>
                </w:tcPr>
                <w:p w14:paraId="520ABBC4">
                  <w:pPr>
                    <w:widowControl/>
                    <w:adjustRightInd w:val="0"/>
                    <w:snapToGrid w:val="0"/>
                    <w:jc w:val="center"/>
                    <w:rPr>
                      <w:kern w:val="0"/>
                      <w:szCs w:val="21"/>
                    </w:rPr>
                  </w:pPr>
                </w:p>
              </w:tc>
              <w:tc>
                <w:tcPr>
                  <w:tcW w:w="480" w:type="pct"/>
                  <w:vMerge w:val="continue"/>
                  <w:vAlign w:val="center"/>
                </w:tcPr>
                <w:p w14:paraId="520ABBC5">
                  <w:pPr>
                    <w:widowControl/>
                    <w:adjustRightInd w:val="0"/>
                    <w:snapToGrid w:val="0"/>
                    <w:jc w:val="center"/>
                    <w:rPr>
                      <w:kern w:val="0"/>
                      <w:szCs w:val="21"/>
                    </w:rPr>
                  </w:pPr>
                </w:p>
              </w:tc>
              <w:tc>
                <w:tcPr>
                  <w:tcW w:w="786" w:type="pct"/>
                  <w:vAlign w:val="center"/>
                </w:tcPr>
                <w:p w14:paraId="520ABBC6">
                  <w:pPr>
                    <w:widowControl/>
                    <w:adjustRightInd w:val="0"/>
                    <w:snapToGrid w:val="0"/>
                    <w:jc w:val="center"/>
                    <w:rPr>
                      <w:kern w:val="0"/>
                      <w:szCs w:val="21"/>
                    </w:rPr>
                  </w:pPr>
                  <w:r>
                    <w:rPr>
                      <w:szCs w:val="21"/>
                    </w:rPr>
                    <w:t>6.22</w:t>
                  </w:r>
                </w:p>
              </w:tc>
              <w:tc>
                <w:tcPr>
                  <w:tcW w:w="689" w:type="pct"/>
                  <w:vAlign w:val="center"/>
                </w:tcPr>
                <w:p w14:paraId="520ABBC7">
                  <w:pPr>
                    <w:widowControl/>
                    <w:adjustRightInd w:val="0"/>
                    <w:snapToGrid w:val="0"/>
                    <w:jc w:val="center"/>
                    <w:rPr>
                      <w:kern w:val="0"/>
                      <w:szCs w:val="21"/>
                    </w:rPr>
                  </w:pPr>
                  <w:r>
                    <w:rPr>
                      <w:szCs w:val="21"/>
                    </w:rPr>
                    <w:t>0.101</w:t>
                  </w:r>
                </w:p>
              </w:tc>
              <w:tc>
                <w:tcPr>
                  <w:tcW w:w="771" w:type="pct"/>
                  <w:vMerge w:val="continue"/>
                  <w:vAlign w:val="center"/>
                </w:tcPr>
                <w:p w14:paraId="520ABBC8">
                  <w:pPr>
                    <w:widowControl/>
                    <w:adjustRightInd w:val="0"/>
                    <w:snapToGrid w:val="0"/>
                    <w:jc w:val="center"/>
                    <w:rPr>
                      <w:szCs w:val="21"/>
                    </w:rPr>
                  </w:pPr>
                </w:p>
              </w:tc>
              <w:tc>
                <w:tcPr>
                  <w:tcW w:w="770" w:type="pct"/>
                  <w:vAlign w:val="center"/>
                </w:tcPr>
                <w:p w14:paraId="520ABBC9">
                  <w:pPr>
                    <w:widowControl/>
                    <w:adjustRightInd w:val="0"/>
                    <w:snapToGrid w:val="0"/>
                    <w:jc w:val="center"/>
                    <w:rPr>
                      <w:szCs w:val="21"/>
                    </w:rPr>
                  </w:pPr>
                  <w:r>
                    <w:rPr>
                      <w:rFonts w:eastAsia="等线"/>
                      <w:szCs w:val="21"/>
                    </w:rPr>
                    <w:t>0.505</w:t>
                  </w:r>
                </w:p>
              </w:tc>
            </w:tr>
            <w:tr w14:paraId="520ABBD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BCB">
                  <w:pPr>
                    <w:widowControl/>
                    <w:adjustRightInd w:val="0"/>
                    <w:snapToGrid w:val="0"/>
                    <w:jc w:val="center"/>
                    <w:rPr>
                      <w:kern w:val="0"/>
                      <w:szCs w:val="21"/>
                    </w:rPr>
                  </w:pPr>
                </w:p>
              </w:tc>
              <w:tc>
                <w:tcPr>
                  <w:tcW w:w="294" w:type="pct"/>
                  <w:vMerge w:val="continue"/>
                  <w:vAlign w:val="center"/>
                </w:tcPr>
                <w:p w14:paraId="520ABBCC">
                  <w:pPr>
                    <w:widowControl/>
                    <w:adjustRightInd w:val="0"/>
                    <w:snapToGrid w:val="0"/>
                    <w:jc w:val="center"/>
                    <w:rPr>
                      <w:kern w:val="0"/>
                      <w:szCs w:val="21"/>
                    </w:rPr>
                  </w:pPr>
                </w:p>
              </w:tc>
              <w:tc>
                <w:tcPr>
                  <w:tcW w:w="440" w:type="pct"/>
                  <w:vAlign w:val="center"/>
                </w:tcPr>
                <w:p w14:paraId="520ABBCD">
                  <w:pPr>
                    <w:widowControl/>
                    <w:adjustRightInd w:val="0"/>
                    <w:snapToGrid w:val="0"/>
                    <w:jc w:val="center"/>
                    <w:rPr>
                      <w:kern w:val="0"/>
                      <w:szCs w:val="21"/>
                    </w:rPr>
                  </w:pPr>
                  <w:r>
                    <w:rPr>
                      <w:szCs w:val="21"/>
                    </w:rPr>
                    <w:t>氮氧化物</w:t>
                  </w:r>
                </w:p>
              </w:tc>
              <w:tc>
                <w:tcPr>
                  <w:tcW w:w="402" w:type="pct"/>
                  <w:vMerge w:val="continue"/>
                  <w:vAlign w:val="center"/>
                </w:tcPr>
                <w:p w14:paraId="520ABBCE">
                  <w:pPr>
                    <w:widowControl/>
                    <w:adjustRightInd w:val="0"/>
                    <w:snapToGrid w:val="0"/>
                    <w:jc w:val="center"/>
                    <w:rPr>
                      <w:kern w:val="0"/>
                      <w:szCs w:val="21"/>
                    </w:rPr>
                  </w:pPr>
                </w:p>
              </w:tc>
              <w:tc>
                <w:tcPr>
                  <w:tcW w:w="480" w:type="pct"/>
                  <w:vMerge w:val="continue"/>
                  <w:vAlign w:val="center"/>
                </w:tcPr>
                <w:p w14:paraId="520ABBCF">
                  <w:pPr>
                    <w:widowControl/>
                    <w:adjustRightInd w:val="0"/>
                    <w:snapToGrid w:val="0"/>
                    <w:jc w:val="center"/>
                    <w:rPr>
                      <w:kern w:val="0"/>
                      <w:szCs w:val="21"/>
                    </w:rPr>
                  </w:pPr>
                </w:p>
              </w:tc>
              <w:tc>
                <w:tcPr>
                  <w:tcW w:w="786" w:type="pct"/>
                  <w:vAlign w:val="center"/>
                </w:tcPr>
                <w:p w14:paraId="520ABBD0">
                  <w:pPr>
                    <w:widowControl/>
                    <w:adjustRightInd w:val="0"/>
                    <w:snapToGrid w:val="0"/>
                    <w:jc w:val="center"/>
                    <w:rPr>
                      <w:kern w:val="0"/>
                      <w:szCs w:val="21"/>
                    </w:rPr>
                  </w:pPr>
                  <w:r>
                    <w:rPr>
                      <w:szCs w:val="21"/>
                    </w:rPr>
                    <w:t>9</w:t>
                  </w:r>
                </w:p>
              </w:tc>
              <w:tc>
                <w:tcPr>
                  <w:tcW w:w="689" w:type="pct"/>
                  <w:vAlign w:val="center"/>
                </w:tcPr>
                <w:p w14:paraId="520ABBD1">
                  <w:pPr>
                    <w:widowControl/>
                    <w:adjustRightInd w:val="0"/>
                    <w:snapToGrid w:val="0"/>
                    <w:jc w:val="center"/>
                    <w:rPr>
                      <w:kern w:val="0"/>
                      <w:szCs w:val="21"/>
                    </w:rPr>
                  </w:pPr>
                  <w:r>
                    <w:rPr>
                      <w:szCs w:val="21"/>
                    </w:rPr>
                    <w:t>0.146</w:t>
                  </w:r>
                </w:p>
              </w:tc>
              <w:tc>
                <w:tcPr>
                  <w:tcW w:w="771" w:type="pct"/>
                  <w:vMerge w:val="continue"/>
                  <w:vAlign w:val="center"/>
                </w:tcPr>
                <w:p w14:paraId="520ABBD2">
                  <w:pPr>
                    <w:widowControl/>
                    <w:adjustRightInd w:val="0"/>
                    <w:snapToGrid w:val="0"/>
                    <w:jc w:val="center"/>
                    <w:rPr>
                      <w:szCs w:val="21"/>
                    </w:rPr>
                  </w:pPr>
                </w:p>
              </w:tc>
              <w:tc>
                <w:tcPr>
                  <w:tcW w:w="770" w:type="pct"/>
                  <w:vAlign w:val="center"/>
                </w:tcPr>
                <w:p w14:paraId="520ABBD3">
                  <w:pPr>
                    <w:widowControl/>
                    <w:adjustRightInd w:val="0"/>
                    <w:snapToGrid w:val="0"/>
                    <w:jc w:val="center"/>
                    <w:rPr>
                      <w:szCs w:val="21"/>
                    </w:rPr>
                  </w:pPr>
                  <w:r>
                    <w:rPr>
                      <w:rFonts w:eastAsia="等线"/>
                      <w:szCs w:val="21"/>
                    </w:rPr>
                    <w:t>0.73</w:t>
                  </w:r>
                </w:p>
              </w:tc>
            </w:tr>
            <w:tr w14:paraId="520ABBD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restart"/>
                  <w:vAlign w:val="center"/>
                </w:tcPr>
                <w:p w14:paraId="520ABBD5">
                  <w:pPr>
                    <w:widowControl/>
                    <w:adjustRightInd w:val="0"/>
                    <w:snapToGrid w:val="0"/>
                    <w:jc w:val="center"/>
                    <w:rPr>
                      <w:kern w:val="0"/>
                      <w:szCs w:val="21"/>
                    </w:rPr>
                  </w:pPr>
                  <w:r>
                    <w:rPr>
                      <w:rFonts w:hint="eastAsia"/>
                      <w:kern w:val="0"/>
                      <w:szCs w:val="21"/>
                    </w:rPr>
                    <w:t>2025.4.25</w:t>
                  </w:r>
                </w:p>
              </w:tc>
              <w:tc>
                <w:tcPr>
                  <w:tcW w:w="294" w:type="pct"/>
                  <w:vMerge w:val="restart"/>
                  <w:vAlign w:val="center"/>
                </w:tcPr>
                <w:p w14:paraId="520ABBD6">
                  <w:pPr>
                    <w:widowControl/>
                    <w:adjustRightInd w:val="0"/>
                    <w:snapToGrid w:val="0"/>
                    <w:jc w:val="center"/>
                    <w:rPr>
                      <w:kern w:val="0"/>
                      <w:szCs w:val="21"/>
                    </w:rPr>
                  </w:pPr>
                  <w:r>
                    <w:rPr>
                      <w:kern w:val="0"/>
                      <w:szCs w:val="21"/>
                    </w:rPr>
                    <w:t>DA002</w:t>
                  </w:r>
                </w:p>
              </w:tc>
              <w:tc>
                <w:tcPr>
                  <w:tcW w:w="440" w:type="pct"/>
                  <w:vAlign w:val="center"/>
                </w:tcPr>
                <w:p w14:paraId="520ABBD7">
                  <w:pPr>
                    <w:widowControl/>
                    <w:adjustRightInd w:val="0"/>
                    <w:snapToGrid w:val="0"/>
                    <w:jc w:val="center"/>
                    <w:rPr>
                      <w:kern w:val="0"/>
                      <w:szCs w:val="21"/>
                    </w:rPr>
                  </w:pPr>
                  <w:r>
                    <w:rPr>
                      <w:szCs w:val="21"/>
                    </w:rPr>
                    <w:t>硫酸雾</w:t>
                  </w:r>
                </w:p>
              </w:tc>
              <w:tc>
                <w:tcPr>
                  <w:tcW w:w="402" w:type="pct"/>
                  <w:vMerge w:val="continue"/>
                  <w:vAlign w:val="center"/>
                </w:tcPr>
                <w:p w14:paraId="520ABBD8">
                  <w:pPr>
                    <w:widowControl/>
                    <w:adjustRightInd w:val="0"/>
                    <w:snapToGrid w:val="0"/>
                    <w:jc w:val="center"/>
                    <w:rPr>
                      <w:kern w:val="0"/>
                      <w:szCs w:val="21"/>
                    </w:rPr>
                  </w:pPr>
                </w:p>
              </w:tc>
              <w:tc>
                <w:tcPr>
                  <w:tcW w:w="480" w:type="pct"/>
                  <w:vMerge w:val="restart"/>
                  <w:vAlign w:val="center"/>
                </w:tcPr>
                <w:p w14:paraId="520ABBD9">
                  <w:pPr>
                    <w:adjustRightInd w:val="0"/>
                    <w:snapToGrid w:val="0"/>
                    <w:jc w:val="center"/>
                    <w:rPr>
                      <w:kern w:val="0"/>
                      <w:szCs w:val="21"/>
                    </w:rPr>
                  </w:pPr>
                  <w:r>
                    <w:rPr>
                      <w:szCs w:val="21"/>
                    </w:rPr>
                    <w:t>10900</w:t>
                  </w:r>
                </w:p>
              </w:tc>
              <w:tc>
                <w:tcPr>
                  <w:tcW w:w="786" w:type="pct"/>
                  <w:vAlign w:val="center"/>
                </w:tcPr>
                <w:p w14:paraId="520ABBDA">
                  <w:pPr>
                    <w:widowControl/>
                    <w:adjustRightInd w:val="0"/>
                    <w:snapToGrid w:val="0"/>
                    <w:jc w:val="center"/>
                    <w:rPr>
                      <w:kern w:val="0"/>
                      <w:szCs w:val="21"/>
                    </w:rPr>
                  </w:pPr>
                  <w:r>
                    <w:rPr>
                      <w:kern w:val="0"/>
                      <w:szCs w:val="21"/>
                    </w:rPr>
                    <w:t>5.52</w:t>
                  </w:r>
                </w:p>
              </w:tc>
              <w:tc>
                <w:tcPr>
                  <w:tcW w:w="689" w:type="pct"/>
                  <w:vAlign w:val="center"/>
                </w:tcPr>
                <w:p w14:paraId="520ABBDB">
                  <w:pPr>
                    <w:widowControl/>
                    <w:adjustRightInd w:val="0"/>
                    <w:snapToGrid w:val="0"/>
                    <w:jc w:val="center"/>
                    <w:rPr>
                      <w:kern w:val="0"/>
                      <w:szCs w:val="21"/>
                    </w:rPr>
                  </w:pPr>
                  <w:r>
                    <w:rPr>
                      <w:kern w:val="0"/>
                      <w:szCs w:val="21"/>
                    </w:rPr>
                    <w:t>0.060</w:t>
                  </w:r>
                </w:p>
              </w:tc>
              <w:tc>
                <w:tcPr>
                  <w:tcW w:w="771" w:type="pct"/>
                  <w:vMerge w:val="continue"/>
                  <w:vAlign w:val="center"/>
                </w:tcPr>
                <w:p w14:paraId="520ABBDC">
                  <w:pPr>
                    <w:widowControl/>
                    <w:adjustRightInd w:val="0"/>
                    <w:snapToGrid w:val="0"/>
                    <w:jc w:val="center"/>
                    <w:rPr>
                      <w:kern w:val="0"/>
                      <w:szCs w:val="21"/>
                    </w:rPr>
                  </w:pPr>
                </w:p>
              </w:tc>
              <w:tc>
                <w:tcPr>
                  <w:tcW w:w="770" w:type="pct"/>
                  <w:vAlign w:val="center"/>
                </w:tcPr>
                <w:p w14:paraId="520ABBDD">
                  <w:pPr>
                    <w:widowControl/>
                    <w:adjustRightInd w:val="0"/>
                    <w:snapToGrid w:val="0"/>
                    <w:jc w:val="center"/>
                    <w:rPr>
                      <w:kern w:val="0"/>
                      <w:szCs w:val="21"/>
                    </w:rPr>
                  </w:pPr>
                  <w:r>
                    <w:rPr>
                      <w:rFonts w:eastAsia="等线"/>
                      <w:szCs w:val="21"/>
                    </w:rPr>
                    <w:t>0.3</w:t>
                  </w:r>
                </w:p>
              </w:tc>
            </w:tr>
            <w:tr w14:paraId="520ABBE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BDF">
                  <w:pPr>
                    <w:widowControl/>
                    <w:adjustRightInd w:val="0"/>
                    <w:snapToGrid w:val="0"/>
                    <w:jc w:val="center"/>
                    <w:rPr>
                      <w:kern w:val="0"/>
                      <w:szCs w:val="21"/>
                    </w:rPr>
                  </w:pPr>
                </w:p>
              </w:tc>
              <w:tc>
                <w:tcPr>
                  <w:tcW w:w="294" w:type="pct"/>
                  <w:vMerge w:val="continue"/>
                  <w:vAlign w:val="center"/>
                </w:tcPr>
                <w:p w14:paraId="520ABBE0">
                  <w:pPr>
                    <w:widowControl/>
                    <w:adjustRightInd w:val="0"/>
                    <w:snapToGrid w:val="0"/>
                    <w:jc w:val="center"/>
                    <w:rPr>
                      <w:kern w:val="0"/>
                      <w:szCs w:val="21"/>
                    </w:rPr>
                  </w:pPr>
                </w:p>
              </w:tc>
              <w:tc>
                <w:tcPr>
                  <w:tcW w:w="440" w:type="pct"/>
                  <w:vAlign w:val="center"/>
                </w:tcPr>
                <w:p w14:paraId="520ABBE1">
                  <w:pPr>
                    <w:widowControl/>
                    <w:adjustRightInd w:val="0"/>
                    <w:snapToGrid w:val="0"/>
                    <w:jc w:val="center"/>
                    <w:rPr>
                      <w:kern w:val="0"/>
                      <w:szCs w:val="21"/>
                    </w:rPr>
                  </w:pPr>
                  <w:r>
                    <w:rPr>
                      <w:szCs w:val="21"/>
                    </w:rPr>
                    <w:t>氯化氢</w:t>
                  </w:r>
                </w:p>
              </w:tc>
              <w:tc>
                <w:tcPr>
                  <w:tcW w:w="402" w:type="pct"/>
                  <w:vMerge w:val="continue"/>
                  <w:vAlign w:val="center"/>
                </w:tcPr>
                <w:p w14:paraId="520ABBE2">
                  <w:pPr>
                    <w:widowControl/>
                    <w:adjustRightInd w:val="0"/>
                    <w:snapToGrid w:val="0"/>
                    <w:jc w:val="center"/>
                    <w:rPr>
                      <w:kern w:val="0"/>
                      <w:szCs w:val="21"/>
                    </w:rPr>
                  </w:pPr>
                </w:p>
              </w:tc>
              <w:tc>
                <w:tcPr>
                  <w:tcW w:w="480" w:type="pct"/>
                  <w:vMerge w:val="continue"/>
                  <w:vAlign w:val="center"/>
                </w:tcPr>
                <w:p w14:paraId="520ABBE3">
                  <w:pPr>
                    <w:adjustRightInd w:val="0"/>
                    <w:snapToGrid w:val="0"/>
                    <w:jc w:val="center"/>
                    <w:rPr>
                      <w:kern w:val="0"/>
                      <w:szCs w:val="21"/>
                    </w:rPr>
                  </w:pPr>
                </w:p>
              </w:tc>
              <w:tc>
                <w:tcPr>
                  <w:tcW w:w="786" w:type="pct"/>
                  <w:vAlign w:val="center"/>
                </w:tcPr>
                <w:p w14:paraId="520ABBE4">
                  <w:pPr>
                    <w:widowControl/>
                    <w:adjustRightInd w:val="0"/>
                    <w:snapToGrid w:val="0"/>
                    <w:jc w:val="center"/>
                    <w:rPr>
                      <w:kern w:val="0"/>
                      <w:szCs w:val="21"/>
                    </w:rPr>
                  </w:pPr>
                  <w:r>
                    <w:rPr>
                      <w:kern w:val="0"/>
                      <w:szCs w:val="21"/>
                    </w:rPr>
                    <w:t>4.8</w:t>
                  </w:r>
                </w:p>
              </w:tc>
              <w:tc>
                <w:tcPr>
                  <w:tcW w:w="689" w:type="pct"/>
                  <w:vAlign w:val="center"/>
                </w:tcPr>
                <w:p w14:paraId="520ABBE5">
                  <w:pPr>
                    <w:widowControl/>
                    <w:adjustRightInd w:val="0"/>
                    <w:snapToGrid w:val="0"/>
                    <w:jc w:val="center"/>
                    <w:rPr>
                      <w:kern w:val="0"/>
                      <w:szCs w:val="21"/>
                    </w:rPr>
                  </w:pPr>
                  <w:r>
                    <w:rPr>
                      <w:kern w:val="0"/>
                      <w:szCs w:val="21"/>
                    </w:rPr>
                    <w:t>0.052</w:t>
                  </w:r>
                </w:p>
              </w:tc>
              <w:tc>
                <w:tcPr>
                  <w:tcW w:w="771" w:type="pct"/>
                  <w:vMerge w:val="continue"/>
                  <w:vAlign w:val="center"/>
                </w:tcPr>
                <w:p w14:paraId="520ABBE6">
                  <w:pPr>
                    <w:widowControl/>
                    <w:adjustRightInd w:val="0"/>
                    <w:snapToGrid w:val="0"/>
                    <w:jc w:val="center"/>
                    <w:rPr>
                      <w:kern w:val="0"/>
                      <w:szCs w:val="21"/>
                    </w:rPr>
                  </w:pPr>
                </w:p>
              </w:tc>
              <w:tc>
                <w:tcPr>
                  <w:tcW w:w="770" w:type="pct"/>
                  <w:vAlign w:val="center"/>
                </w:tcPr>
                <w:p w14:paraId="520ABBE7">
                  <w:pPr>
                    <w:widowControl/>
                    <w:adjustRightInd w:val="0"/>
                    <w:snapToGrid w:val="0"/>
                    <w:jc w:val="center"/>
                    <w:rPr>
                      <w:kern w:val="0"/>
                      <w:szCs w:val="21"/>
                    </w:rPr>
                  </w:pPr>
                  <w:r>
                    <w:rPr>
                      <w:rFonts w:eastAsia="等线"/>
                      <w:szCs w:val="21"/>
                    </w:rPr>
                    <w:t>0.26</w:t>
                  </w:r>
                </w:p>
              </w:tc>
            </w:tr>
            <w:tr w14:paraId="520ABBF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BE9">
                  <w:pPr>
                    <w:widowControl/>
                    <w:adjustRightInd w:val="0"/>
                    <w:snapToGrid w:val="0"/>
                    <w:jc w:val="center"/>
                    <w:rPr>
                      <w:kern w:val="0"/>
                      <w:szCs w:val="21"/>
                    </w:rPr>
                  </w:pPr>
                </w:p>
              </w:tc>
              <w:tc>
                <w:tcPr>
                  <w:tcW w:w="294" w:type="pct"/>
                  <w:vMerge w:val="continue"/>
                  <w:vAlign w:val="center"/>
                </w:tcPr>
                <w:p w14:paraId="520ABBEA">
                  <w:pPr>
                    <w:widowControl/>
                    <w:adjustRightInd w:val="0"/>
                    <w:snapToGrid w:val="0"/>
                    <w:jc w:val="center"/>
                    <w:rPr>
                      <w:kern w:val="0"/>
                      <w:szCs w:val="21"/>
                    </w:rPr>
                  </w:pPr>
                </w:p>
              </w:tc>
              <w:tc>
                <w:tcPr>
                  <w:tcW w:w="440" w:type="pct"/>
                  <w:vAlign w:val="center"/>
                </w:tcPr>
                <w:p w14:paraId="520ABBEB">
                  <w:pPr>
                    <w:widowControl/>
                    <w:adjustRightInd w:val="0"/>
                    <w:snapToGrid w:val="0"/>
                    <w:jc w:val="center"/>
                    <w:rPr>
                      <w:kern w:val="0"/>
                      <w:szCs w:val="21"/>
                    </w:rPr>
                  </w:pPr>
                  <w:r>
                    <w:rPr>
                      <w:szCs w:val="21"/>
                    </w:rPr>
                    <w:t>氮氧化物</w:t>
                  </w:r>
                </w:p>
              </w:tc>
              <w:tc>
                <w:tcPr>
                  <w:tcW w:w="402" w:type="pct"/>
                  <w:vMerge w:val="continue"/>
                  <w:vAlign w:val="center"/>
                </w:tcPr>
                <w:p w14:paraId="520ABBEC">
                  <w:pPr>
                    <w:widowControl/>
                    <w:adjustRightInd w:val="0"/>
                    <w:snapToGrid w:val="0"/>
                    <w:jc w:val="center"/>
                    <w:rPr>
                      <w:kern w:val="0"/>
                      <w:szCs w:val="21"/>
                    </w:rPr>
                  </w:pPr>
                </w:p>
              </w:tc>
              <w:tc>
                <w:tcPr>
                  <w:tcW w:w="480" w:type="pct"/>
                  <w:vMerge w:val="continue"/>
                  <w:vAlign w:val="center"/>
                </w:tcPr>
                <w:p w14:paraId="520ABBED">
                  <w:pPr>
                    <w:widowControl/>
                    <w:adjustRightInd w:val="0"/>
                    <w:snapToGrid w:val="0"/>
                    <w:jc w:val="center"/>
                    <w:rPr>
                      <w:kern w:val="0"/>
                      <w:szCs w:val="21"/>
                    </w:rPr>
                  </w:pPr>
                </w:p>
              </w:tc>
              <w:tc>
                <w:tcPr>
                  <w:tcW w:w="786" w:type="pct"/>
                  <w:vAlign w:val="center"/>
                </w:tcPr>
                <w:p w14:paraId="520ABBEE">
                  <w:pPr>
                    <w:widowControl/>
                    <w:adjustRightInd w:val="0"/>
                    <w:snapToGrid w:val="0"/>
                    <w:jc w:val="center"/>
                    <w:rPr>
                      <w:kern w:val="0"/>
                      <w:szCs w:val="21"/>
                    </w:rPr>
                  </w:pPr>
                  <w:r>
                    <w:rPr>
                      <w:kern w:val="0"/>
                      <w:szCs w:val="21"/>
                    </w:rPr>
                    <w:t>6</w:t>
                  </w:r>
                </w:p>
              </w:tc>
              <w:tc>
                <w:tcPr>
                  <w:tcW w:w="689" w:type="pct"/>
                  <w:vAlign w:val="center"/>
                </w:tcPr>
                <w:p w14:paraId="520ABBEF">
                  <w:pPr>
                    <w:widowControl/>
                    <w:adjustRightInd w:val="0"/>
                    <w:snapToGrid w:val="0"/>
                    <w:jc w:val="center"/>
                    <w:rPr>
                      <w:kern w:val="0"/>
                      <w:szCs w:val="21"/>
                    </w:rPr>
                  </w:pPr>
                  <w:r>
                    <w:rPr>
                      <w:kern w:val="0"/>
                      <w:szCs w:val="21"/>
                    </w:rPr>
                    <w:t>0.065</w:t>
                  </w:r>
                </w:p>
              </w:tc>
              <w:tc>
                <w:tcPr>
                  <w:tcW w:w="771" w:type="pct"/>
                  <w:vMerge w:val="continue"/>
                  <w:vAlign w:val="center"/>
                </w:tcPr>
                <w:p w14:paraId="520ABBF0">
                  <w:pPr>
                    <w:widowControl/>
                    <w:adjustRightInd w:val="0"/>
                    <w:snapToGrid w:val="0"/>
                    <w:jc w:val="center"/>
                    <w:rPr>
                      <w:kern w:val="0"/>
                      <w:szCs w:val="21"/>
                    </w:rPr>
                  </w:pPr>
                </w:p>
              </w:tc>
              <w:tc>
                <w:tcPr>
                  <w:tcW w:w="770" w:type="pct"/>
                  <w:vAlign w:val="center"/>
                </w:tcPr>
                <w:p w14:paraId="520ABBF1">
                  <w:pPr>
                    <w:widowControl/>
                    <w:adjustRightInd w:val="0"/>
                    <w:snapToGrid w:val="0"/>
                    <w:jc w:val="center"/>
                    <w:rPr>
                      <w:kern w:val="0"/>
                      <w:szCs w:val="21"/>
                    </w:rPr>
                  </w:pPr>
                  <w:r>
                    <w:rPr>
                      <w:rFonts w:eastAsia="等线"/>
                      <w:szCs w:val="21"/>
                    </w:rPr>
                    <w:t>0.325</w:t>
                  </w:r>
                </w:p>
              </w:tc>
            </w:tr>
            <w:tr w14:paraId="520ABBF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restart"/>
                  <w:vAlign w:val="center"/>
                </w:tcPr>
                <w:p w14:paraId="520ABBF3">
                  <w:pPr>
                    <w:widowControl/>
                    <w:adjustRightInd w:val="0"/>
                    <w:snapToGrid w:val="0"/>
                    <w:jc w:val="center"/>
                    <w:rPr>
                      <w:kern w:val="0"/>
                      <w:szCs w:val="21"/>
                    </w:rPr>
                  </w:pPr>
                  <w:r>
                    <w:rPr>
                      <w:kern w:val="0"/>
                      <w:szCs w:val="21"/>
                    </w:rPr>
                    <w:t>2025.4.24</w:t>
                  </w:r>
                </w:p>
              </w:tc>
              <w:tc>
                <w:tcPr>
                  <w:tcW w:w="294" w:type="pct"/>
                  <w:vMerge w:val="restart"/>
                  <w:vAlign w:val="center"/>
                </w:tcPr>
                <w:p w14:paraId="520ABBF4">
                  <w:pPr>
                    <w:widowControl/>
                    <w:adjustRightInd w:val="0"/>
                    <w:snapToGrid w:val="0"/>
                    <w:jc w:val="center"/>
                    <w:rPr>
                      <w:kern w:val="0"/>
                      <w:szCs w:val="21"/>
                    </w:rPr>
                  </w:pPr>
                  <w:r>
                    <w:rPr>
                      <w:kern w:val="0"/>
                      <w:szCs w:val="21"/>
                    </w:rPr>
                    <w:t>DA003</w:t>
                  </w:r>
                </w:p>
              </w:tc>
              <w:tc>
                <w:tcPr>
                  <w:tcW w:w="440" w:type="pct"/>
                  <w:vAlign w:val="center"/>
                </w:tcPr>
                <w:p w14:paraId="520ABBF5">
                  <w:pPr>
                    <w:widowControl/>
                    <w:adjustRightInd w:val="0"/>
                    <w:snapToGrid w:val="0"/>
                    <w:jc w:val="center"/>
                    <w:rPr>
                      <w:kern w:val="0"/>
                      <w:szCs w:val="21"/>
                    </w:rPr>
                  </w:pPr>
                  <w:r>
                    <w:rPr>
                      <w:kern w:val="0"/>
                      <w:szCs w:val="21"/>
                    </w:rPr>
                    <w:t>铬酸雾</w:t>
                  </w:r>
                </w:p>
              </w:tc>
              <w:tc>
                <w:tcPr>
                  <w:tcW w:w="402" w:type="pct"/>
                  <w:vMerge w:val="continue"/>
                  <w:vAlign w:val="center"/>
                </w:tcPr>
                <w:p w14:paraId="520ABBF6">
                  <w:pPr>
                    <w:widowControl/>
                    <w:adjustRightInd w:val="0"/>
                    <w:snapToGrid w:val="0"/>
                    <w:jc w:val="center"/>
                    <w:rPr>
                      <w:kern w:val="0"/>
                      <w:szCs w:val="21"/>
                    </w:rPr>
                  </w:pPr>
                </w:p>
              </w:tc>
              <w:tc>
                <w:tcPr>
                  <w:tcW w:w="480" w:type="pct"/>
                  <w:vMerge w:val="restart"/>
                  <w:vAlign w:val="center"/>
                </w:tcPr>
                <w:p w14:paraId="520ABBF7">
                  <w:pPr>
                    <w:adjustRightInd w:val="0"/>
                    <w:snapToGrid w:val="0"/>
                    <w:jc w:val="center"/>
                    <w:rPr>
                      <w:kern w:val="0"/>
                      <w:szCs w:val="21"/>
                    </w:rPr>
                  </w:pPr>
                  <w:r>
                    <w:rPr>
                      <w:kern w:val="0"/>
                      <w:szCs w:val="21"/>
                    </w:rPr>
                    <w:t>10500</w:t>
                  </w:r>
                </w:p>
              </w:tc>
              <w:tc>
                <w:tcPr>
                  <w:tcW w:w="786" w:type="pct"/>
                  <w:vAlign w:val="center"/>
                </w:tcPr>
                <w:p w14:paraId="520ABBF8">
                  <w:pPr>
                    <w:widowControl/>
                    <w:adjustRightInd w:val="0"/>
                    <w:snapToGrid w:val="0"/>
                    <w:jc w:val="center"/>
                    <w:rPr>
                      <w:kern w:val="0"/>
                      <w:szCs w:val="21"/>
                    </w:rPr>
                  </w:pPr>
                  <w:r>
                    <w:rPr>
                      <w:kern w:val="0"/>
                      <w:szCs w:val="21"/>
                    </w:rPr>
                    <w:t>0.030</w:t>
                  </w:r>
                </w:p>
              </w:tc>
              <w:tc>
                <w:tcPr>
                  <w:tcW w:w="689" w:type="pct"/>
                  <w:vAlign w:val="center"/>
                </w:tcPr>
                <w:p w14:paraId="520ABBF9">
                  <w:pPr>
                    <w:widowControl/>
                    <w:adjustRightInd w:val="0"/>
                    <w:snapToGrid w:val="0"/>
                    <w:jc w:val="center"/>
                    <w:rPr>
                      <w:kern w:val="0"/>
                      <w:szCs w:val="21"/>
                    </w:rPr>
                  </w:pPr>
                  <w:r>
                    <w:rPr>
                      <w:kern w:val="0"/>
                      <w:szCs w:val="21"/>
                    </w:rPr>
                    <w:t>0.000314</w:t>
                  </w:r>
                </w:p>
              </w:tc>
              <w:tc>
                <w:tcPr>
                  <w:tcW w:w="771" w:type="pct"/>
                  <w:vMerge w:val="continue"/>
                  <w:vAlign w:val="center"/>
                </w:tcPr>
                <w:p w14:paraId="520ABBFA">
                  <w:pPr>
                    <w:widowControl/>
                    <w:adjustRightInd w:val="0"/>
                    <w:snapToGrid w:val="0"/>
                    <w:jc w:val="center"/>
                    <w:rPr>
                      <w:kern w:val="0"/>
                      <w:szCs w:val="21"/>
                    </w:rPr>
                  </w:pPr>
                </w:p>
              </w:tc>
              <w:tc>
                <w:tcPr>
                  <w:tcW w:w="770" w:type="pct"/>
                  <w:vAlign w:val="center"/>
                </w:tcPr>
                <w:p w14:paraId="520ABBFB">
                  <w:pPr>
                    <w:widowControl/>
                    <w:adjustRightInd w:val="0"/>
                    <w:snapToGrid w:val="0"/>
                    <w:jc w:val="center"/>
                    <w:rPr>
                      <w:kern w:val="0"/>
                      <w:szCs w:val="21"/>
                    </w:rPr>
                  </w:pPr>
                  <w:r>
                    <w:rPr>
                      <w:rFonts w:eastAsia="等线"/>
                      <w:szCs w:val="21"/>
                    </w:rPr>
                    <w:t>0.0016</w:t>
                  </w:r>
                </w:p>
              </w:tc>
            </w:tr>
            <w:tr w14:paraId="520ABC0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BFD">
                  <w:pPr>
                    <w:widowControl/>
                    <w:adjustRightInd w:val="0"/>
                    <w:snapToGrid w:val="0"/>
                    <w:jc w:val="center"/>
                    <w:rPr>
                      <w:kern w:val="0"/>
                      <w:szCs w:val="21"/>
                    </w:rPr>
                  </w:pPr>
                </w:p>
              </w:tc>
              <w:tc>
                <w:tcPr>
                  <w:tcW w:w="294" w:type="pct"/>
                  <w:vMerge w:val="continue"/>
                  <w:vAlign w:val="center"/>
                </w:tcPr>
                <w:p w14:paraId="520ABBFE">
                  <w:pPr>
                    <w:widowControl/>
                    <w:adjustRightInd w:val="0"/>
                    <w:snapToGrid w:val="0"/>
                    <w:jc w:val="center"/>
                    <w:rPr>
                      <w:kern w:val="0"/>
                      <w:szCs w:val="21"/>
                    </w:rPr>
                  </w:pPr>
                </w:p>
              </w:tc>
              <w:tc>
                <w:tcPr>
                  <w:tcW w:w="440" w:type="pct"/>
                  <w:vAlign w:val="center"/>
                </w:tcPr>
                <w:p w14:paraId="520ABBFF">
                  <w:pPr>
                    <w:widowControl/>
                    <w:adjustRightInd w:val="0"/>
                    <w:snapToGrid w:val="0"/>
                    <w:jc w:val="center"/>
                    <w:rPr>
                      <w:kern w:val="0"/>
                      <w:szCs w:val="21"/>
                    </w:rPr>
                  </w:pPr>
                  <w:r>
                    <w:rPr>
                      <w:szCs w:val="21"/>
                    </w:rPr>
                    <w:t>硫酸雾</w:t>
                  </w:r>
                </w:p>
              </w:tc>
              <w:tc>
                <w:tcPr>
                  <w:tcW w:w="402" w:type="pct"/>
                  <w:vMerge w:val="continue"/>
                  <w:vAlign w:val="center"/>
                </w:tcPr>
                <w:p w14:paraId="520ABC00">
                  <w:pPr>
                    <w:widowControl/>
                    <w:adjustRightInd w:val="0"/>
                    <w:snapToGrid w:val="0"/>
                    <w:jc w:val="center"/>
                    <w:rPr>
                      <w:kern w:val="0"/>
                      <w:szCs w:val="21"/>
                    </w:rPr>
                  </w:pPr>
                </w:p>
              </w:tc>
              <w:tc>
                <w:tcPr>
                  <w:tcW w:w="480" w:type="pct"/>
                  <w:vMerge w:val="continue"/>
                  <w:vAlign w:val="center"/>
                </w:tcPr>
                <w:p w14:paraId="520ABC01">
                  <w:pPr>
                    <w:widowControl/>
                    <w:adjustRightInd w:val="0"/>
                    <w:snapToGrid w:val="0"/>
                    <w:jc w:val="center"/>
                    <w:rPr>
                      <w:kern w:val="0"/>
                      <w:szCs w:val="21"/>
                    </w:rPr>
                  </w:pPr>
                </w:p>
              </w:tc>
              <w:tc>
                <w:tcPr>
                  <w:tcW w:w="786" w:type="pct"/>
                  <w:vAlign w:val="center"/>
                </w:tcPr>
                <w:p w14:paraId="520ABC02">
                  <w:pPr>
                    <w:widowControl/>
                    <w:adjustRightInd w:val="0"/>
                    <w:snapToGrid w:val="0"/>
                    <w:jc w:val="center"/>
                    <w:rPr>
                      <w:kern w:val="0"/>
                      <w:szCs w:val="21"/>
                    </w:rPr>
                  </w:pPr>
                  <w:r>
                    <w:rPr>
                      <w:kern w:val="0"/>
                      <w:szCs w:val="21"/>
                    </w:rPr>
                    <w:t>5.25</w:t>
                  </w:r>
                </w:p>
              </w:tc>
              <w:tc>
                <w:tcPr>
                  <w:tcW w:w="689" w:type="pct"/>
                  <w:vAlign w:val="center"/>
                </w:tcPr>
                <w:p w14:paraId="520ABC03">
                  <w:pPr>
                    <w:widowControl/>
                    <w:adjustRightInd w:val="0"/>
                    <w:snapToGrid w:val="0"/>
                    <w:jc w:val="center"/>
                    <w:rPr>
                      <w:kern w:val="0"/>
                      <w:szCs w:val="21"/>
                    </w:rPr>
                  </w:pPr>
                  <w:r>
                    <w:rPr>
                      <w:kern w:val="0"/>
                      <w:szCs w:val="21"/>
                    </w:rPr>
                    <w:t>0.056</w:t>
                  </w:r>
                </w:p>
              </w:tc>
              <w:tc>
                <w:tcPr>
                  <w:tcW w:w="771" w:type="pct"/>
                  <w:vMerge w:val="continue"/>
                  <w:vAlign w:val="center"/>
                </w:tcPr>
                <w:p w14:paraId="520ABC04">
                  <w:pPr>
                    <w:widowControl/>
                    <w:adjustRightInd w:val="0"/>
                    <w:snapToGrid w:val="0"/>
                    <w:jc w:val="center"/>
                    <w:rPr>
                      <w:kern w:val="0"/>
                      <w:szCs w:val="21"/>
                    </w:rPr>
                  </w:pPr>
                </w:p>
              </w:tc>
              <w:tc>
                <w:tcPr>
                  <w:tcW w:w="770" w:type="pct"/>
                  <w:vAlign w:val="center"/>
                </w:tcPr>
                <w:p w14:paraId="520ABC05">
                  <w:pPr>
                    <w:widowControl/>
                    <w:adjustRightInd w:val="0"/>
                    <w:snapToGrid w:val="0"/>
                    <w:jc w:val="center"/>
                    <w:rPr>
                      <w:kern w:val="0"/>
                      <w:szCs w:val="21"/>
                    </w:rPr>
                  </w:pPr>
                  <w:r>
                    <w:rPr>
                      <w:rFonts w:eastAsia="等线"/>
                      <w:szCs w:val="21"/>
                    </w:rPr>
                    <w:t>0.28</w:t>
                  </w:r>
                </w:p>
              </w:tc>
            </w:tr>
            <w:tr w14:paraId="520ABC1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07">
                  <w:pPr>
                    <w:widowControl/>
                    <w:adjustRightInd w:val="0"/>
                    <w:snapToGrid w:val="0"/>
                    <w:jc w:val="center"/>
                    <w:rPr>
                      <w:kern w:val="0"/>
                      <w:szCs w:val="21"/>
                    </w:rPr>
                  </w:pPr>
                </w:p>
              </w:tc>
              <w:tc>
                <w:tcPr>
                  <w:tcW w:w="294" w:type="pct"/>
                  <w:vMerge w:val="restart"/>
                  <w:vAlign w:val="center"/>
                </w:tcPr>
                <w:p w14:paraId="520ABC08">
                  <w:pPr>
                    <w:widowControl/>
                    <w:adjustRightInd w:val="0"/>
                    <w:snapToGrid w:val="0"/>
                    <w:jc w:val="center"/>
                    <w:rPr>
                      <w:kern w:val="0"/>
                      <w:szCs w:val="21"/>
                    </w:rPr>
                  </w:pPr>
                  <w:r>
                    <w:rPr>
                      <w:kern w:val="0"/>
                      <w:szCs w:val="21"/>
                    </w:rPr>
                    <w:t>DA004</w:t>
                  </w:r>
                </w:p>
              </w:tc>
              <w:tc>
                <w:tcPr>
                  <w:tcW w:w="440" w:type="pct"/>
                  <w:vAlign w:val="center"/>
                </w:tcPr>
                <w:p w14:paraId="520ABC09">
                  <w:pPr>
                    <w:widowControl/>
                    <w:adjustRightInd w:val="0"/>
                    <w:snapToGrid w:val="0"/>
                    <w:jc w:val="center"/>
                    <w:rPr>
                      <w:kern w:val="0"/>
                      <w:szCs w:val="21"/>
                    </w:rPr>
                  </w:pPr>
                  <w:r>
                    <w:rPr>
                      <w:szCs w:val="21"/>
                    </w:rPr>
                    <w:t>氯化氢</w:t>
                  </w:r>
                </w:p>
              </w:tc>
              <w:tc>
                <w:tcPr>
                  <w:tcW w:w="402" w:type="pct"/>
                  <w:vMerge w:val="continue"/>
                  <w:vAlign w:val="center"/>
                </w:tcPr>
                <w:p w14:paraId="520ABC0A">
                  <w:pPr>
                    <w:widowControl/>
                    <w:adjustRightInd w:val="0"/>
                    <w:snapToGrid w:val="0"/>
                    <w:jc w:val="center"/>
                    <w:rPr>
                      <w:kern w:val="0"/>
                      <w:szCs w:val="21"/>
                    </w:rPr>
                  </w:pPr>
                </w:p>
              </w:tc>
              <w:tc>
                <w:tcPr>
                  <w:tcW w:w="480" w:type="pct"/>
                  <w:vMerge w:val="restart"/>
                  <w:vAlign w:val="center"/>
                </w:tcPr>
                <w:p w14:paraId="520ABC0B">
                  <w:pPr>
                    <w:adjustRightInd w:val="0"/>
                    <w:snapToGrid w:val="0"/>
                    <w:jc w:val="center"/>
                    <w:rPr>
                      <w:kern w:val="0"/>
                      <w:szCs w:val="21"/>
                    </w:rPr>
                  </w:pPr>
                  <w:r>
                    <w:rPr>
                      <w:kern w:val="0"/>
                      <w:szCs w:val="21"/>
                    </w:rPr>
                    <w:t>17300</w:t>
                  </w:r>
                </w:p>
              </w:tc>
              <w:tc>
                <w:tcPr>
                  <w:tcW w:w="786" w:type="pct"/>
                  <w:vAlign w:val="center"/>
                </w:tcPr>
                <w:p w14:paraId="520ABC0C">
                  <w:pPr>
                    <w:widowControl/>
                    <w:adjustRightInd w:val="0"/>
                    <w:snapToGrid w:val="0"/>
                    <w:jc w:val="center"/>
                    <w:rPr>
                      <w:kern w:val="0"/>
                      <w:szCs w:val="21"/>
                    </w:rPr>
                  </w:pPr>
                  <w:r>
                    <w:rPr>
                      <w:kern w:val="0"/>
                      <w:szCs w:val="21"/>
                    </w:rPr>
                    <w:t>3.6</w:t>
                  </w:r>
                </w:p>
              </w:tc>
              <w:tc>
                <w:tcPr>
                  <w:tcW w:w="689" w:type="pct"/>
                  <w:vAlign w:val="center"/>
                </w:tcPr>
                <w:p w14:paraId="520ABC0D">
                  <w:pPr>
                    <w:widowControl/>
                    <w:adjustRightInd w:val="0"/>
                    <w:snapToGrid w:val="0"/>
                    <w:jc w:val="center"/>
                    <w:rPr>
                      <w:kern w:val="0"/>
                      <w:szCs w:val="21"/>
                    </w:rPr>
                  </w:pPr>
                  <w:r>
                    <w:rPr>
                      <w:kern w:val="0"/>
                      <w:szCs w:val="21"/>
                    </w:rPr>
                    <w:t>0.062</w:t>
                  </w:r>
                </w:p>
              </w:tc>
              <w:tc>
                <w:tcPr>
                  <w:tcW w:w="771" w:type="pct"/>
                  <w:vMerge w:val="continue"/>
                  <w:vAlign w:val="center"/>
                </w:tcPr>
                <w:p w14:paraId="520ABC0E">
                  <w:pPr>
                    <w:widowControl/>
                    <w:adjustRightInd w:val="0"/>
                    <w:snapToGrid w:val="0"/>
                    <w:jc w:val="center"/>
                    <w:rPr>
                      <w:kern w:val="0"/>
                      <w:szCs w:val="21"/>
                    </w:rPr>
                  </w:pPr>
                </w:p>
              </w:tc>
              <w:tc>
                <w:tcPr>
                  <w:tcW w:w="770" w:type="pct"/>
                  <w:vAlign w:val="center"/>
                </w:tcPr>
                <w:p w14:paraId="520ABC0F">
                  <w:pPr>
                    <w:widowControl/>
                    <w:adjustRightInd w:val="0"/>
                    <w:snapToGrid w:val="0"/>
                    <w:jc w:val="center"/>
                    <w:rPr>
                      <w:kern w:val="0"/>
                      <w:szCs w:val="21"/>
                    </w:rPr>
                  </w:pPr>
                  <w:r>
                    <w:rPr>
                      <w:rFonts w:eastAsia="等线"/>
                      <w:szCs w:val="21"/>
                    </w:rPr>
                    <w:t>0.31</w:t>
                  </w:r>
                </w:p>
              </w:tc>
            </w:tr>
            <w:tr w14:paraId="520ABC1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11">
                  <w:pPr>
                    <w:widowControl/>
                    <w:adjustRightInd w:val="0"/>
                    <w:snapToGrid w:val="0"/>
                    <w:jc w:val="center"/>
                    <w:rPr>
                      <w:kern w:val="0"/>
                      <w:szCs w:val="21"/>
                    </w:rPr>
                  </w:pPr>
                </w:p>
              </w:tc>
              <w:tc>
                <w:tcPr>
                  <w:tcW w:w="294" w:type="pct"/>
                  <w:vMerge w:val="continue"/>
                  <w:vAlign w:val="center"/>
                </w:tcPr>
                <w:p w14:paraId="520ABC12">
                  <w:pPr>
                    <w:widowControl/>
                    <w:adjustRightInd w:val="0"/>
                    <w:snapToGrid w:val="0"/>
                    <w:jc w:val="center"/>
                    <w:rPr>
                      <w:kern w:val="0"/>
                      <w:szCs w:val="21"/>
                    </w:rPr>
                  </w:pPr>
                </w:p>
              </w:tc>
              <w:tc>
                <w:tcPr>
                  <w:tcW w:w="440" w:type="pct"/>
                  <w:vAlign w:val="center"/>
                </w:tcPr>
                <w:p w14:paraId="520ABC13">
                  <w:pPr>
                    <w:widowControl/>
                    <w:adjustRightInd w:val="0"/>
                    <w:snapToGrid w:val="0"/>
                    <w:jc w:val="center"/>
                    <w:rPr>
                      <w:kern w:val="0"/>
                      <w:szCs w:val="21"/>
                    </w:rPr>
                  </w:pPr>
                  <w:r>
                    <w:rPr>
                      <w:szCs w:val="21"/>
                    </w:rPr>
                    <w:t>硫酸雾</w:t>
                  </w:r>
                </w:p>
              </w:tc>
              <w:tc>
                <w:tcPr>
                  <w:tcW w:w="402" w:type="pct"/>
                  <w:vMerge w:val="continue"/>
                  <w:vAlign w:val="center"/>
                </w:tcPr>
                <w:p w14:paraId="520ABC14">
                  <w:pPr>
                    <w:widowControl/>
                    <w:adjustRightInd w:val="0"/>
                    <w:snapToGrid w:val="0"/>
                    <w:jc w:val="center"/>
                    <w:rPr>
                      <w:kern w:val="0"/>
                      <w:szCs w:val="21"/>
                    </w:rPr>
                  </w:pPr>
                </w:p>
              </w:tc>
              <w:tc>
                <w:tcPr>
                  <w:tcW w:w="480" w:type="pct"/>
                  <w:vMerge w:val="continue"/>
                  <w:vAlign w:val="center"/>
                </w:tcPr>
                <w:p w14:paraId="520ABC15">
                  <w:pPr>
                    <w:adjustRightInd w:val="0"/>
                    <w:snapToGrid w:val="0"/>
                    <w:jc w:val="center"/>
                    <w:rPr>
                      <w:kern w:val="0"/>
                      <w:szCs w:val="21"/>
                    </w:rPr>
                  </w:pPr>
                </w:p>
              </w:tc>
              <w:tc>
                <w:tcPr>
                  <w:tcW w:w="786" w:type="pct"/>
                  <w:vAlign w:val="center"/>
                </w:tcPr>
                <w:p w14:paraId="520ABC16">
                  <w:pPr>
                    <w:widowControl/>
                    <w:adjustRightInd w:val="0"/>
                    <w:snapToGrid w:val="0"/>
                    <w:jc w:val="center"/>
                    <w:rPr>
                      <w:kern w:val="0"/>
                      <w:szCs w:val="21"/>
                    </w:rPr>
                  </w:pPr>
                  <w:r>
                    <w:rPr>
                      <w:kern w:val="0"/>
                      <w:szCs w:val="21"/>
                    </w:rPr>
                    <w:t>7.88</w:t>
                  </w:r>
                </w:p>
              </w:tc>
              <w:tc>
                <w:tcPr>
                  <w:tcW w:w="689" w:type="pct"/>
                  <w:vAlign w:val="center"/>
                </w:tcPr>
                <w:p w14:paraId="520ABC17">
                  <w:pPr>
                    <w:widowControl/>
                    <w:adjustRightInd w:val="0"/>
                    <w:snapToGrid w:val="0"/>
                    <w:jc w:val="center"/>
                    <w:rPr>
                      <w:kern w:val="0"/>
                      <w:szCs w:val="21"/>
                    </w:rPr>
                  </w:pPr>
                  <w:r>
                    <w:rPr>
                      <w:kern w:val="0"/>
                      <w:szCs w:val="21"/>
                    </w:rPr>
                    <w:t>0.136</w:t>
                  </w:r>
                </w:p>
              </w:tc>
              <w:tc>
                <w:tcPr>
                  <w:tcW w:w="771" w:type="pct"/>
                  <w:vMerge w:val="continue"/>
                  <w:vAlign w:val="center"/>
                </w:tcPr>
                <w:p w14:paraId="520ABC18">
                  <w:pPr>
                    <w:widowControl/>
                    <w:adjustRightInd w:val="0"/>
                    <w:snapToGrid w:val="0"/>
                    <w:jc w:val="center"/>
                    <w:rPr>
                      <w:kern w:val="0"/>
                      <w:szCs w:val="21"/>
                    </w:rPr>
                  </w:pPr>
                </w:p>
              </w:tc>
              <w:tc>
                <w:tcPr>
                  <w:tcW w:w="770" w:type="pct"/>
                  <w:vAlign w:val="center"/>
                </w:tcPr>
                <w:p w14:paraId="520ABC19">
                  <w:pPr>
                    <w:widowControl/>
                    <w:adjustRightInd w:val="0"/>
                    <w:snapToGrid w:val="0"/>
                    <w:jc w:val="center"/>
                    <w:rPr>
                      <w:kern w:val="0"/>
                      <w:szCs w:val="21"/>
                    </w:rPr>
                  </w:pPr>
                  <w:r>
                    <w:rPr>
                      <w:rFonts w:eastAsia="等线"/>
                      <w:szCs w:val="21"/>
                    </w:rPr>
                    <w:t>0.68</w:t>
                  </w:r>
                </w:p>
              </w:tc>
            </w:tr>
            <w:tr w14:paraId="520ABC2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1B">
                  <w:pPr>
                    <w:widowControl/>
                    <w:adjustRightInd w:val="0"/>
                    <w:snapToGrid w:val="0"/>
                    <w:jc w:val="center"/>
                    <w:rPr>
                      <w:kern w:val="0"/>
                      <w:szCs w:val="21"/>
                    </w:rPr>
                  </w:pPr>
                </w:p>
              </w:tc>
              <w:tc>
                <w:tcPr>
                  <w:tcW w:w="294" w:type="pct"/>
                  <w:vMerge w:val="continue"/>
                  <w:vAlign w:val="center"/>
                </w:tcPr>
                <w:p w14:paraId="520ABC1C">
                  <w:pPr>
                    <w:widowControl/>
                    <w:adjustRightInd w:val="0"/>
                    <w:snapToGrid w:val="0"/>
                    <w:jc w:val="center"/>
                    <w:rPr>
                      <w:kern w:val="0"/>
                      <w:szCs w:val="21"/>
                    </w:rPr>
                  </w:pPr>
                </w:p>
              </w:tc>
              <w:tc>
                <w:tcPr>
                  <w:tcW w:w="440" w:type="pct"/>
                  <w:vAlign w:val="center"/>
                </w:tcPr>
                <w:p w14:paraId="520ABC1D">
                  <w:pPr>
                    <w:widowControl/>
                    <w:adjustRightInd w:val="0"/>
                    <w:snapToGrid w:val="0"/>
                    <w:jc w:val="center"/>
                    <w:rPr>
                      <w:kern w:val="0"/>
                      <w:szCs w:val="21"/>
                    </w:rPr>
                  </w:pPr>
                  <w:r>
                    <w:rPr>
                      <w:szCs w:val="21"/>
                    </w:rPr>
                    <w:t>氮氧化物</w:t>
                  </w:r>
                </w:p>
              </w:tc>
              <w:tc>
                <w:tcPr>
                  <w:tcW w:w="402" w:type="pct"/>
                  <w:vMerge w:val="continue"/>
                  <w:vAlign w:val="center"/>
                </w:tcPr>
                <w:p w14:paraId="520ABC1E">
                  <w:pPr>
                    <w:widowControl/>
                    <w:adjustRightInd w:val="0"/>
                    <w:snapToGrid w:val="0"/>
                    <w:jc w:val="center"/>
                    <w:rPr>
                      <w:kern w:val="0"/>
                      <w:szCs w:val="21"/>
                    </w:rPr>
                  </w:pPr>
                </w:p>
              </w:tc>
              <w:tc>
                <w:tcPr>
                  <w:tcW w:w="480" w:type="pct"/>
                  <w:vMerge w:val="continue"/>
                  <w:vAlign w:val="center"/>
                </w:tcPr>
                <w:p w14:paraId="520ABC1F">
                  <w:pPr>
                    <w:widowControl/>
                    <w:adjustRightInd w:val="0"/>
                    <w:snapToGrid w:val="0"/>
                    <w:jc w:val="center"/>
                    <w:rPr>
                      <w:kern w:val="0"/>
                      <w:szCs w:val="21"/>
                    </w:rPr>
                  </w:pPr>
                </w:p>
              </w:tc>
              <w:tc>
                <w:tcPr>
                  <w:tcW w:w="786" w:type="pct"/>
                  <w:vAlign w:val="center"/>
                </w:tcPr>
                <w:p w14:paraId="520ABC20">
                  <w:pPr>
                    <w:widowControl/>
                    <w:adjustRightInd w:val="0"/>
                    <w:snapToGrid w:val="0"/>
                    <w:jc w:val="center"/>
                    <w:rPr>
                      <w:kern w:val="0"/>
                      <w:szCs w:val="21"/>
                    </w:rPr>
                  </w:pPr>
                  <w:r>
                    <w:rPr>
                      <w:kern w:val="0"/>
                      <w:szCs w:val="21"/>
                    </w:rPr>
                    <w:t>9</w:t>
                  </w:r>
                </w:p>
              </w:tc>
              <w:tc>
                <w:tcPr>
                  <w:tcW w:w="689" w:type="pct"/>
                  <w:vAlign w:val="center"/>
                </w:tcPr>
                <w:p w14:paraId="520ABC21">
                  <w:pPr>
                    <w:widowControl/>
                    <w:adjustRightInd w:val="0"/>
                    <w:snapToGrid w:val="0"/>
                    <w:jc w:val="center"/>
                    <w:rPr>
                      <w:kern w:val="0"/>
                      <w:szCs w:val="21"/>
                    </w:rPr>
                  </w:pPr>
                  <w:r>
                    <w:rPr>
                      <w:kern w:val="0"/>
                      <w:szCs w:val="21"/>
                    </w:rPr>
                    <w:t>0.156</w:t>
                  </w:r>
                </w:p>
              </w:tc>
              <w:tc>
                <w:tcPr>
                  <w:tcW w:w="771" w:type="pct"/>
                  <w:vMerge w:val="continue"/>
                  <w:vAlign w:val="center"/>
                </w:tcPr>
                <w:p w14:paraId="520ABC22">
                  <w:pPr>
                    <w:widowControl/>
                    <w:adjustRightInd w:val="0"/>
                    <w:snapToGrid w:val="0"/>
                    <w:jc w:val="center"/>
                    <w:rPr>
                      <w:kern w:val="0"/>
                      <w:szCs w:val="21"/>
                    </w:rPr>
                  </w:pPr>
                </w:p>
              </w:tc>
              <w:tc>
                <w:tcPr>
                  <w:tcW w:w="770" w:type="pct"/>
                  <w:vAlign w:val="center"/>
                </w:tcPr>
                <w:p w14:paraId="520ABC23">
                  <w:pPr>
                    <w:widowControl/>
                    <w:adjustRightInd w:val="0"/>
                    <w:snapToGrid w:val="0"/>
                    <w:jc w:val="center"/>
                    <w:rPr>
                      <w:kern w:val="0"/>
                      <w:szCs w:val="21"/>
                    </w:rPr>
                  </w:pPr>
                  <w:r>
                    <w:rPr>
                      <w:rFonts w:eastAsia="等线"/>
                      <w:szCs w:val="21"/>
                    </w:rPr>
                    <w:t>0.78</w:t>
                  </w:r>
                </w:p>
              </w:tc>
            </w:tr>
            <w:tr w14:paraId="520ABC2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Align w:val="center"/>
                </w:tcPr>
                <w:p w14:paraId="520ABC25">
                  <w:pPr>
                    <w:widowControl/>
                    <w:adjustRightInd w:val="0"/>
                    <w:snapToGrid w:val="0"/>
                    <w:jc w:val="center"/>
                    <w:rPr>
                      <w:kern w:val="0"/>
                      <w:szCs w:val="21"/>
                    </w:rPr>
                  </w:pPr>
                  <w:r>
                    <w:rPr>
                      <w:rFonts w:hint="eastAsia"/>
                      <w:kern w:val="0"/>
                      <w:szCs w:val="21"/>
                    </w:rPr>
                    <w:t>2025.4.28</w:t>
                  </w:r>
                </w:p>
              </w:tc>
              <w:tc>
                <w:tcPr>
                  <w:tcW w:w="294" w:type="pct"/>
                  <w:vAlign w:val="center"/>
                </w:tcPr>
                <w:p w14:paraId="520ABC26">
                  <w:pPr>
                    <w:widowControl/>
                    <w:adjustRightInd w:val="0"/>
                    <w:snapToGrid w:val="0"/>
                    <w:jc w:val="center"/>
                    <w:rPr>
                      <w:kern w:val="0"/>
                      <w:szCs w:val="21"/>
                    </w:rPr>
                  </w:pPr>
                  <w:r>
                    <w:rPr>
                      <w:kern w:val="0"/>
                      <w:szCs w:val="21"/>
                    </w:rPr>
                    <w:t>DA005</w:t>
                  </w:r>
                </w:p>
              </w:tc>
              <w:tc>
                <w:tcPr>
                  <w:tcW w:w="440" w:type="pct"/>
                  <w:vAlign w:val="center"/>
                </w:tcPr>
                <w:p w14:paraId="520ABC27">
                  <w:pPr>
                    <w:widowControl/>
                    <w:adjustRightInd w:val="0"/>
                    <w:snapToGrid w:val="0"/>
                    <w:jc w:val="center"/>
                    <w:rPr>
                      <w:kern w:val="0"/>
                      <w:szCs w:val="21"/>
                    </w:rPr>
                  </w:pPr>
                  <w:r>
                    <w:rPr>
                      <w:kern w:val="0"/>
                      <w:szCs w:val="21"/>
                    </w:rPr>
                    <w:t>氰化氢</w:t>
                  </w:r>
                </w:p>
              </w:tc>
              <w:tc>
                <w:tcPr>
                  <w:tcW w:w="402" w:type="pct"/>
                  <w:vMerge w:val="continue"/>
                  <w:vAlign w:val="center"/>
                </w:tcPr>
                <w:p w14:paraId="520ABC28">
                  <w:pPr>
                    <w:widowControl/>
                    <w:adjustRightInd w:val="0"/>
                    <w:snapToGrid w:val="0"/>
                    <w:jc w:val="center"/>
                    <w:rPr>
                      <w:kern w:val="0"/>
                      <w:szCs w:val="21"/>
                    </w:rPr>
                  </w:pPr>
                </w:p>
              </w:tc>
              <w:tc>
                <w:tcPr>
                  <w:tcW w:w="480" w:type="pct"/>
                  <w:vAlign w:val="center"/>
                </w:tcPr>
                <w:p w14:paraId="520ABC29">
                  <w:pPr>
                    <w:widowControl/>
                    <w:adjustRightInd w:val="0"/>
                    <w:snapToGrid w:val="0"/>
                    <w:jc w:val="center"/>
                    <w:rPr>
                      <w:kern w:val="0"/>
                      <w:szCs w:val="21"/>
                    </w:rPr>
                  </w:pPr>
                  <w:r>
                    <w:rPr>
                      <w:szCs w:val="21"/>
                    </w:rPr>
                    <w:t>57200</w:t>
                  </w:r>
                </w:p>
              </w:tc>
              <w:tc>
                <w:tcPr>
                  <w:tcW w:w="786" w:type="pct"/>
                  <w:vAlign w:val="center"/>
                </w:tcPr>
                <w:p w14:paraId="520ABC2A">
                  <w:pPr>
                    <w:widowControl/>
                    <w:adjustRightInd w:val="0"/>
                    <w:snapToGrid w:val="0"/>
                    <w:jc w:val="center"/>
                    <w:rPr>
                      <w:kern w:val="0"/>
                      <w:szCs w:val="21"/>
                    </w:rPr>
                  </w:pPr>
                  <w:r>
                    <w:rPr>
                      <w:szCs w:val="21"/>
                    </w:rPr>
                    <w:t>0.29</w:t>
                  </w:r>
                </w:p>
              </w:tc>
              <w:tc>
                <w:tcPr>
                  <w:tcW w:w="689" w:type="pct"/>
                  <w:vAlign w:val="center"/>
                </w:tcPr>
                <w:p w14:paraId="520ABC2B">
                  <w:pPr>
                    <w:widowControl/>
                    <w:adjustRightInd w:val="0"/>
                    <w:snapToGrid w:val="0"/>
                    <w:jc w:val="center"/>
                    <w:rPr>
                      <w:kern w:val="0"/>
                      <w:szCs w:val="21"/>
                    </w:rPr>
                  </w:pPr>
                  <w:r>
                    <w:rPr>
                      <w:kern w:val="0"/>
                      <w:szCs w:val="21"/>
                    </w:rPr>
                    <w:t>0.00164</w:t>
                  </w:r>
                </w:p>
              </w:tc>
              <w:tc>
                <w:tcPr>
                  <w:tcW w:w="771" w:type="pct"/>
                  <w:vAlign w:val="center"/>
                </w:tcPr>
                <w:p w14:paraId="520ABC2C">
                  <w:pPr>
                    <w:widowControl/>
                    <w:adjustRightInd w:val="0"/>
                    <w:snapToGrid w:val="0"/>
                    <w:jc w:val="center"/>
                    <w:rPr>
                      <w:kern w:val="0"/>
                      <w:szCs w:val="21"/>
                    </w:rPr>
                  </w:pPr>
                  <w:r>
                    <w:rPr>
                      <w:rFonts w:hint="eastAsia"/>
                      <w:kern w:val="0"/>
                      <w:szCs w:val="21"/>
                    </w:rPr>
                    <w:t>1000</w:t>
                  </w:r>
                </w:p>
              </w:tc>
              <w:tc>
                <w:tcPr>
                  <w:tcW w:w="770" w:type="pct"/>
                  <w:vAlign w:val="center"/>
                </w:tcPr>
                <w:p w14:paraId="520ABC2D">
                  <w:pPr>
                    <w:widowControl/>
                    <w:adjustRightInd w:val="0"/>
                    <w:snapToGrid w:val="0"/>
                    <w:jc w:val="center"/>
                    <w:rPr>
                      <w:kern w:val="0"/>
                      <w:szCs w:val="21"/>
                    </w:rPr>
                  </w:pPr>
                  <w:r>
                    <w:rPr>
                      <w:rFonts w:eastAsia="等线"/>
                      <w:szCs w:val="21"/>
                    </w:rPr>
                    <w:t>0.0041</w:t>
                  </w:r>
                </w:p>
              </w:tc>
            </w:tr>
            <w:tr w14:paraId="520ABC3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restart"/>
                  <w:vAlign w:val="center"/>
                </w:tcPr>
                <w:p w14:paraId="520ABC2F">
                  <w:pPr>
                    <w:widowControl/>
                    <w:adjustRightInd w:val="0"/>
                    <w:snapToGrid w:val="0"/>
                    <w:jc w:val="center"/>
                    <w:rPr>
                      <w:kern w:val="0"/>
                      <w:szCs w:val="21"/>
                    </w:rPr>
                  </w:pPr>
                  <w:r>
                    <w:rPr>
                      <w:kern w:val="0"/>
                      <w:szCs w:val="21"/>
                    </w:rPr>
                    <w:t>2025.4.24</w:t>
                  </w:r>
                </w:p>
              </w:tc>
              <w:tc>
                <w:tcPr>
                  <w:tcW w:w="294" w:type="pct"/>
                  <w:vMerge w:val="restart"/>
                  <w:vAlign w:val="center"/>
                </w:tcPr>
                <w:p w14:paraId="520ABC30">
                  <w:pPr>
                    <w:widowControl/>
                    <w:adjustRightInd w:val="0"/>
                    <w:snapToGrid w:val="0"/>
                    <w:jc w:val="center"/>
                    <w:rPr>
                      <w:kern w:val="0"/>
                      <w:szCs w:val="21"/>
                    </w:rPr>
                  </w:pPr>
                  <w:r>
                    <w:rPr>
                      <w:kern w:val="0"/>
                      <w:szCs w:val="21"/>
                    </w:rPr>
                    <w:t>DA006</w:t>
                  </w:r>
                </w:p>
              </w:tc>
              <w:tc>
                <w:tcPr>
                  <w:tcW w:w="440" w:type="pct"/>
                  <w:vAlign w:val="center"/>
                </w:tcPr>
                <w:p w14:paraId="520ABC31">
                  <w:pPr>
                    <w:widowControl/>
                    <w:adjustRightInd w:val="0"/>
                    <w:snapToGrid w:val="0"/>
                    <w:jc w:val="center"/>
                    <w:rPr>
                      <w:kern w:val="0"/>
                      <w:szCs w:val="21"/>
                    </w:rPr>
                  </w:pPr>
                  <w:r>
                    <w:rPr>
                      <w:szCs w:val="21"/>
                    </w:rPr>
                    <w:t>氯化氢</w:t>
                  </w:r>
                </w:p>
              </w:tc>
              <w:tc>
                <w:tcPr>
                  <w:tcW w:w="402" w:type="pct"/>
                  <w:vMerge w:val="continue"/>
                  <w:vAlign w:val="center"/>
                </w:tcPr>
                <w:p w14:paraId="520ABC32">
                  <w:pPr>
                    <w:widowControl/>
                    <w:adjustRightInd w:val="0"/>
                    <w:snapToGrid w:val="0"/>
                    <w:jc w:val="center"/>
                    <w:rPr>
                      <w:kern w:val="0"/>
                      <w:szCs w:val="21"/>
                    </w:rPr>
                  </w:pPr>
                </w:p>
              </w:tc>
              <w:tc>
                <w:tcPr>
                  <w:tcW w:w="480" w:type="pct"/>
                  <w:vMerge w:val="restart"/>
                  <w:vAlign w:val="center"/>
                </w:tcPr>
                <w:p w14:paraId="520ABC33">
                  <w:pPr>
                    <w:adjustRightInd w:val="0"/>
                    <w:snapToGrid w:val="0"/>
                    <w:jc w:val="center"/>
                    <w:rPr>
                      <w:kern w:val="0"/>
                      <w:szCs w:val="21"/>
                    </w:rPr>
                  </w:pPr>
                  <w:r>
                    <w:rPr>
                      <w:kern w:val="0"/>
                      <w:szCs w:val="21"/>
                    </w:rPr>
                    <w:t>4010</w:t>
                  </w:r>
                </w:p>
              </w:tc>
              <w:tc>
                <w:tcPr>
                  <w:tcW w:w="786" w:type="pct"/>
                  <w:vAlign w:val="center"/>
                </w:tcPr>
                <w:p w14:paraId="520ABC34">
                  <w:pPr>
                    <w:widowControl/>
                    <w:adjustRightInd w:val="0"/>
                    <w:snapToGrid w:val="0"/>
                    <w:jc w:val="center"/>
                    <w:rPr>
                      <w:kern w:val="0"/>
                      <w:szCs w:val="21"/>
                    </w:rPr>
                  </w:pPr>
                  <w:r>
                    <w:rPr>
                      <w:kern w:val="0"/>
                      <w:szCs w:val="21"/>
                    </w:rPr>
                    <w:t>5.1</w:t>
                  </w:r>
                </w:p>
              </w:tc>
              <w:tc>
                <w:tcPr>
                  <w:tcW w:w="689" w:type="pct"/>
                  <w:vAlign w:val="center"/>
                </w:tcPr>
                <w:p w14:paraId="520ABC35">
                  <w:pPr>
                    <w:widowControl/>
                    <w:adjustRightInd w:val="0"/>
                    <w:snapToGrid w:val="0"/>
                    <w:jc w:val="center"/>
                    <w:rPr>
                      <w:kern w:val="0"/>
                      <w:szCs w:val="21"/>
                    </w:rPr>
                  </w:pPr>
                  <w:r>
                    <w:rPr>
                      <w:kern w:val="0"/>
                      <w:szCs w:val="21"/>
                    </w:rPr>
                    <w:t>0.020</w:t>
                  </w:r>
                </w:p>
              </w:tc>
              <w:tc>
                <w:tcPr>
                  <w:tcW w:w="771" w:type="pct"/>
                  <w:vMerge w:val="restart"/>
                  <w:vAlign w:val="center"/>
                </w:tcPr>
                <w:p w14:paraId="520ABC36">
                  <w:pPr>
                    <w:widowControl/>
                    <w:adjustRightInd w:val="0"/>
                    <w:snapToGrid w:val="0"/>
                    <w:jc w:val="center"/>
                    <w:rPr>
                      <w:kern w:val="0"/>
                      <w:szCs w:val="21"/>
                    </w:rPr>
                  </w:pPr>
                  <w:r>
                    <w:rPr>
                      <w:rFonts w:hint="eastAsia"/>
                      <w:kern w:val="0"/>
                      <w:szCs w:val="21"/>
                    </w:rPr>
                    <w:t>2000</w:t>
                  </w:r>
                </w:p>
              </w:tc>
              <w:tc>
                <w:tcPr>
                  <w:tcW w:w="770" w:type="pct"/>
                  <w:vAlign w:val="center"/>
                </w:tcPr>
                <w:p w14:paraId="520ABC37">
                  <w:pPr>
                    <w:widowControl/>
                    <w:adjustRightInd w:val="0"/>
                    <w:snapToGrid w:val="0"/>
                    <w:jc w:val="center"/>
                    <w:rPr>
                      <w:kern w:val="0"/>
                      <w:szCs w:val="21"/>
                    </w:rPr>
                  </w:pPr>
                  <w:r>
                    <w:rPr>
                      <w:rFonts w:eastAsia="等线"/>
                      <w:szCs w:val="21"/>
                    </w:rPr>
                    <w:t>0.1</w:t>
                  </w:r>
                </w:p>
              </w:tc>
            </w:tr>
            <w:tr w14:paraId="520ABC4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39">
                  <w:pPr>
                    <w:widowControl/>
                    <w:adjustRightInd w:val="0"/>
                    <w:snapToGrid w:val="0"/>
                    <w:jc w:val="center"/>
                    <w:rPr>
                      <w:kern w:val="0"/>
                      <w:szCs w:val="21"/>
                    </w:rPr>
                  </w:pPr>
                </w:p>
              </w:tc>
              <w:tc>
                <w:tcPr>
                  <w:tcW w:w="294" w:type="pct"/>
                  <w:vMerge w:val="continue"/>
                  <w:vAlign w:val="center"/>
                </w:tcPr>
                <w:p w14:paraId="520ABC3A">
                  <w:pPr>
                    <w:widowControl/>
                    <w:adjustRightInd w:val="0"/>
                    <w:snapToGrid w:val="0"/>
                    <w:jc w:val="center"/>
                    <w:rPr>
                      <w:kern w:val="0"/>
                      <w:szCs w:val="21"/>
                    </w:rPr>
                  </w:pPr>
                </w:p>
              </w:tc>
              <w:tc>
                <w:tcPr>
                  <w:tcW w:w="440" w:type="pct"/>
                  <w:vAlign w:val="center"/>
                </w:tcPr>
                <w:p w14:paraId="520ABC3B">
                  <w:pPr>
                    <w:widowControl/>
                    <w:adjustRightInd w:val="0"/>
                    <w:snapToGrid w:val="0"/>
                    <w:jc w:val="center"/>
                    <w:rPr>
                      <w:kern w:val="0"/>
                      <w:szCs w:val="21"/>
                    </w:rPr>
                  </w:pPr>
                  <w:r>
                    <w:rPr>
                      <w:szCs w:val="21"/>
                    </w:rPr>
                    <w:t>硫酸雾</w:t>
                  </w:r>
                </w:p>
              </w:tc>
              <w:tc>
                <w:tcPr>
                  <w:tcW w:w="402" w:type="pct"/>
                  <w:vMerge w:val="continue"/>
                  <w:vAlign w:val="center"/>
                </w:tcPr>
                <w:p w14:paraId="520ABC3C">
                  <w:pPr>
                    <w:widowControl/>
                    <w:adjustRightInd w:val="0"/>
                    <w:snapToGrid w:val="0"/>
                    <w:jc w:val="center"/>
                    <w:rPr>
                      <w:kern w:val="0"/>
                      <w:szCs w:val="21"/>
                    </w:rPr>
                  </w:pPr>
                </w:p>
              </w:tc>
              <w:tc>
                <w:tcPr>
                  <w:tcW w:w="480" w:type="pct"/>
                  <w:vMerge w:val="continue"/>
                  <w:vAlign w:val="center"/>
                </w:tcPr>
                <w:p w14:paraId="520ABC3D">
                  <w:pPr>
                    <w:adjustRightInd w:val="0"/>
                    <w:snapToGrid w:val="0"/>
                    <w:jc w:val="center"/>
                    <w:rPr>
                      <w:kern w:val="0"/>
                      <w:szCs w:val="21"/>
                    </w:rPr>
                  </w:pPr>
                </w:p>
              </w:tc>
              <w:tc>
                <w:tcPr>
                  <w:tcW w:w="786" w:type="pct"/>
                  <w:vAlign w:val="center"/>
                </w:tcPr>
                <w:p w14:paraId="520ABC3E">
                  <w:pPr>
                    <w:widowControl/>
                    <w:adjustRightInd w:val="0"/>
                    <w:snapToGrid w:val="0"/>
                    <w:jc w:val="center"/>
                    <w:rPr>
                      <w:kern w:val="0"/>
                      <w:szCs w:val="21"/>
                    </w:rPr>
                  </w:pPr>
                  <w:r>
                    <w:rPr>
                      <w:kern w:val="0"/>
                      <w:szCs w:val="21"/>
                    </w:rPr>
                    <w:t>6.41</w:t>
                  </w:r>
                </w:p>
              </w:tc>
              <w:tc>
                <w:tcPr>
                  <w:tcW w:w="689" w:type="pct"/>
                  <w:vAlign w:val="center"/>
                </w:tcPr>
                <w:p w14:paraId="520ABC3F">
                  <w:pPr>
                    <w:widowControl/>
                    <w:adjustRightInd w:val="0"/>
                    <w:snapToGrid w:val="0"/>
                    <w:jc w:val="center"/>
                    <w:rPr>
                      <w:kern w:val="0"/>
                      <w:szCs w:val="21"/>
                    </w:rPr>
                  </w:pPr>
                  <w:r>
                    <w:rPr>
                      <w:kern w:val="0"/>
                      <w:szCs w:val="21"/>
                    </w:rPr>
                    <w:t>0.026</w:t>
                  </w:r>
                </w:p>
              </w:tc>
              <w:tc>
                <w:tcPr>
                  <w:tcW w:w="771" w:type="pct"/>
                  <w:vMerge w:val="continue"/>
                  <w:vAlign w:val="center"/>
                </w:tcPr>
                <w:p w14:paraId="520ABC40">
                  <w:pPr>
                    <w:widowControl/>
                    <w:adjustRightInd w:val="0"/>
                    <w:snapToGrid w:val="0"/>
                    <w:jc w:val="center"/>
                    <w:rPr>
                      <w:kern w:val="0"/>
                      <w:szCs w:val="21"/>
                    </w:rPr>
                  </w:pPr>
                </w:p>
              </w:tc>
              <w:tc>
                <w:tcPr>
                  <w:tcW w:w="770" w:type="pct"/>
                  <w:vAlign w:val="center"/>
                </w:tcPr>
                <w:p w14:paraId="520ABC41">
                  <w:pPr>
                    <w:widowControl/>
                    <w:adjustRightInd w:val="0"/>
                    <w:snapToGrid w:val="0"/>
                    <w:jc w:val="center"/>
                    <w:rPr>
                      <w:kern w:val="0"/>
                      <w:szCs w:val="21"/>
                    </w:rPr>
                  </w:pPr>
                  <w:r>
                    <w:rPr>
                      <w:rFonts w:eastAsia="等线"/>
                      <w:szCs w:val="21"/>
                    </w:rPr>
                    <w:t>0.13</w:t>
                  </w:r>
                </w:p>
              </w:tc>
            </w:tr>
            <w:tr w14:paraId="520ABC4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43">
                  <w:pPr>
                    <w:widowControl/>
                    <w:adjustRightInd w:val="0"/>
                    <w:snapToGrid w:val="0"/>
                    <w:jc w:val="center"/>
                    <w:rPr>
                      <w:kern w:val="0"/>
                      <w:szCs w:val="21"/>
                    </w:rPr>
                  </w:pPr>
                </w:p>
              </w:tc>
              <w:tc>
                <w:tcPr>
                  <w:tcW w:w="294" w:type="pct"/>
                  <w:vMerge w:val="continue"/>
                  <w:vAlign w:val="center"/>
                </w:tcPr>
                <w:p w14:paraId="520ABC44">
                  <w:pPr>
                    <w:widowControl/>
                    <w:adjustRightInd w:val="0"/>
                    <w:snapToGrid w:val="0"/>
                    <w:jc w:val="center"/>
                    <w:rPr>
                      <w:kern w:val="0"/>
                      <w:szCs w:val="21"/>
                    </w:rPr>
                  </w:pPr>
                </w:p>
              </w:tc>
              <w:tc>
                <w:tcPr>
                  <w:tcW w:w="440" w:type="pct"/>
                  <w:vAlign w:val="center"/>
                </w:tcPr>
                <w:p w14:paraId="520ABC45">
                  <w:pPr>
                    <w:widowControl/>
                    <w:adjustRightInd w:val="0"/>
                    <w:snapToGrid w:val="0"/>
                    <w:jc w:val="center"/>
                    <w:rPr>
                      <w:kern w:val="0"/>
                      <w:szCs w:val="21"/>
                    </w:rPr>
                  </w:pPr>
                  <w:r>
                    <w:rPr>
                      <w:szCs w:val="21"/>
                    </w:rPr>
                    <w:t>氮氧化物</w:t>
                  </w:r>
                </w:p>
              </w:tc>
              <w:tc>
                <w:tcPr>
                  <w:tcW w:w="402" w:type="pct"/>
                  <w:vMerge w:val="continue"/>
                  <w:vAlign w:val="center"/>
                </w:tcPr>
                <w:p w14:paraId="520ABC46">
                  <w:pPr>
                    <w:widowControl/>
                    <w:adjustRightInd w:val="0"/>
                    <w:snapToGrid w:val="0"/>
                    <w:jc w:val="center"/>
                    <w:rPr>
                      <w:kern w:val="0"/>
                      <w:szCs w:val="21"/>
                    </w:rPr>
                  </w:pPr>
                </w:p>
              </w:tc>
              <w:tc>
                <w:tcPr>
                  <w:tcW w:w="480" w:type="pct"/>
                  <w:vMerge w:val="continue"/>
                  <w:vAlign w:val="center"/>
                </w:tcPr>
                <w:p w14:paraId="520ABC47">
                  <w:pPr>
                    <w:widowControl/>
                    <w:adjustRightInd w:val="0"/>
                    <w:snapToGrid w:val="0"/>
                    <w:jc w:val="center"/>
                    <w:rPr>
                      <w:kern w:val="0"/>
                      <w:szCs w:val="21"/>
                    </w:rPr>
                  </w:pPr>
                </w:p>
              </w:tc>
              <w:tc>
                <w:tcPr>
                  <w:tcW w:w="786" w:type="pct"/>
                  <w:vAlign w:val="center"/>
                </w:tcPr>
                <w:p w14:paraId="520ABC48">
                  <w:pPr>
                    <w:widowControl/>
                    <w:adjustRightInd w:val="0"/>
                    <w:snapToGrid w:val="0"/>
                    <w:jc w:val="center"/>
                    <w:rPr>
                      <w:kern w:val="0"/>
                      <w:szCs w:val="21"/>
                    </w:rPr>
                  </w:pPr>
                  <w:r>
                    <w:rPr>
                      <w:kern w:val="0"/>
                      <w:szCs w:val="21"/>
                    </w:rPr>
                    <w:t>10</w:t>
                  </w:r>
                </w:p>
              </w:tc>
              <w:tc>
                <w:tcPr>
                  <w:tcW w:w="689" w:type="pct"/>
                  <w:vAlign w:val="center"/>
                </w:tcPr>
                <w:p w14:paraId="520ABC49">
                  <w:pPr>
                    <w:widowControl/>
                    <w:adjustRightInd w:val="0"/>
                    <w:snapToGrid w:val="0"/>
                    <w:jc w:val="center"/>
                    <w:rPr>
                      <w:kern w:val="0"/>
                      <w:szCs w:val="21"/>
                    </w:rPr>
                  </w:pPr>
                  <w:r>
                    <w:rPr>
                      <w:kern w:val="0"/>
                      <w:szCs w:val="21"/>
                    </w:rPr>
                    <w:t>0.040</w:t>
                  </w:r>
                </w:p>
              </w:tc>
              <w:tc>
                <w:tcPr>
                  <w:tcW w:w="771" w:type="pct"/>
                  <w:vMerge w:val="continue"/>
                  <w:vAlign w:val="center"/>
                </w:tcPr>
                <w:p w14:paraId="520ABC4A">
                  <w:pPr>
                    <w:widowControl/>
                    <w:adjustRightInd w:val="0"/>
                    <w:snapToGrid w:val="0"/>
                    <w:jc w:val="center"/>
                    <w:rPr>
                      <w:kern w:val="0"/>
                      <w:szCs w:val="21"/>
                    </w:rPr>
                  </w:pPr>
                </w:p>
              </w:tc>
              <w:tc>
                <w:tcPr>
                  <w:tcW w:w="770" w:type="pct"/>
                  <w:vAlign w:val="center"/>
                </w:tcPr>
                <w:p w14:paraId="520ABC4B">
                  <w:pPr>
                    <w:widowControl/>
                    <w:adjustRightInd w:val="0"/>
                    <w:snapToGrid w:val="0"/>
                    <w:jc w:val="center"/>
                    <w:rPr>
                      <w:kern w:val="0"/>
                      <w:szCs w:val="21"/>
                    </w:rPr>
                  </w:pPr>
                  <w:r>
                    <w:rPr>
                      <w:rFonts w:eastAsia="等线"/>
                      <w:szCs w:val="21"/>
                    </w:rPr>
                    <w:t>0.2</w:t>
                  </w:r>
                </w:p>
              </w:tc>
            </w:tr>
            <w:tr w14:paraId="520ABC5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4D">
                  <w:pPr>
                    <w:widowControl/>
                    <w:adjustRightInd w:val="0"/>
                    <w:snapToGrid w:val="0"/>
                    <w:jc w:val="center"/>
                    <w:rPr>
                      <w:kern w:val="0"/>
                      <w:szCs w:val="21"/>
                    </w:rPr>
                  </w:pPr>
                </w:p>
              </w:tc>
              <w:tc>
                <w:tcPr>
                  <w:tcW w:w="294" w:type="pct"/>
                  <w:vMerge w:val="restart"/>
                  <w:vAlign w:val="center"/>
                </w:tcPr>
                <w:p w14:paraId="520ABC4E">
                  <w:pPr>
                    <w:widowControl/>
                    <w:adjustRightInd w:val="0"/>
                    <w:snapToGrid w:val="0"/>
                    <w:jc w:val="center"/>
                    <w:rPr>
                      <w:kern w:val="0"/>
                      <w:szCs w:val="21"/>
                    </w:rPr>
                  </w:pPr>
                  <w:r>
                    <w:rPr>
                      <w:kern w:val="0"/>
                      <w:szCs w:val="21"/>
                    </w:rPr>
                    <w:t>DA007</w:t>
                  </w:r>
                </w:p>
              </w:tc>
              <w:tc>
                <w:tcPr>
                  <w:tcW w:w="440" w:type="pct"/>
                  <w:vAlign w:val="center"/>
                </w:tcPr>
                <w:p w14:paraId="520ABC4F">
                  <w:pPr>
                    <w:widowControl/>
                    <w:adjustRightInd w:val="0"/>
                    <w:snapToGrid w:val="0"/>
                    <w:jc w:val="center"/>
                    <w:rPr>
                      <w:kern w:val="0"/>
                      <w:szCs w:val="21"/>
                    </w:rPr>
                  </w:pPr>
                  <w:r>
                    <w:rPr>
                      <w:kern w:val="0"/>
                      <w:szCs w:val="21"/>
                    </w:rPr>
                    <w:t>铬酸雾</w:t>
                  </w:r>
                </w:p>
              </w:tc>
              <w:tc>
                <w:tcPr>
                  <w:tcW w:w="402" w:type="pct"/>
                  <w:vMerge w:val="continue"/>
                  <w:vAlign w:val="center"/>
                </w:tcPr>
                <w:p w14:paraId="520ABC50">
                  <w:pPr>
                    <w:widowControl/>
                    <w:adjustRightInd w:val="0"/>
                    <w:snapToGrid w:val="0"/>
                    <w:jc w:val="center"/>
                    <w:rPr>
                      <w:kern w:val="0"/>
                      <w:szCs w:val="21"/>
                    </w:rPr>
                  </w:pPr>
                </w:p>
              </w:tc>
              <w:tc>
                <w:tcPr>
                  <w:tcW w:w="480" w:type="pct"/>
                  <w:vMerge w:val="restart"/>
                  <w:vAlign w:val="center"/>
                </w:tcPr>
                <w:p w14:paraId="520ABC51">
                  <w:pPr>
                    <w:adjustRightInd w:val="0"/>
                    <w:snapToGrid w:val="0"/>
                    <w:jc w:val="center"/>
                    <w:rPr>
                      <w:kern w:val="0"/>
                      <w:szCs w:val="21"/>
                    </w:rPr>
                  </w:pPr>
                  <w:r>
                    <w:rPr>
                      <w:kern w:val="0"/>
                      <w:szCs w:val="21"/>
                    </w:rPr>
                    <w:t>11400</w:t>
                  </w:r>
                </w:p>
              </w:tc>
              <w:tc>
                <w:tcPr>
                  <w:tcW w:w="786" w:type="pct"/>
                  <w:vAlign w:val="center"/>
                </w:tcPr>
                <w:p w14:paraId="520ABC52">
                  <w:pPr>
                    <w:widowControl/>
                    <w:adjustRightInd w:val="0"/>
                    <w:snapToGrid w:val="0"/>
                    <w:jc w:val="center"/>
                    <w:rPr>
                      <w:kern w:val="0"/>
                      <w:szCs w:val="21"/>
                    </w:rPr>
                  </w:pPr>
                  <w:r>
                    <w:rPr>
                      <w:kern w:val="0"/>
                      <w:szCs w:val="21"/>
                    </w:rPr>
                    <w:t>0.040</w:t>
                  </w:r>
                </w:p>
              </w:tc>
              <w:tc>
                <w:tcPr>
                  <w:tcW w:w="689" w:type="pct"/>
                  <w:vAlign w:val="center"/>
                </w:tcPr>
                <w:p w14:paraId="520ABC53">
                  <w:pPr>
                    <w:widowControl/>
                    <w:adjustRightInd w:val="0"/>
                    <w:snapToGrid w:val="0"/>
                    <w:jc w:val="center"/>
                    <w:rPr>
                      <w:kern w:val="0"/>
                      <w:szCs w:val="21"/>
                    </w:rPr>
                  </w:pPr>
                  <w:r>
                    <w:rPr>
                      <w:kern w:val="0"/>
                      <w:szCs w:val="21"/>
                    </w:rPr>
                    <w:t>0.000454</w:t>
                  </w:r>
                </w:p>
              </w:tc>
              <w:tc>
                <w:tcPr>
                  <w:tcW w:w="771" w:type="pct"/>
                  <w:vMerge w:val="continue"/>
                  <w:vAlign w:val="center"/>
                </w:tcPr>
                <w:p w14:paraId="520ABC54">
                  <w:pPr>
                    <w:widowControl/>
                    <w:adjustRightInd w:val="0"/>
                    <w:snapToGrid w:val="0"/>
                    <w:jc w:val="center"/>
                    <w:rPr>
                      <w:kern w:val="0"/>
                      <w:szCs w:val="21"/>
                    </w:rPr>
                  </w:pPr>
                </w:p>
              </w:tc>
              <w:tc>
                <w:tcPr>
                  <w:tcW w:w="770" w:type="pct"/>
                  <w:vAlign w:val="center"/>
                </w:tcPr>
                <w:p w14:paraId="520ABC55">
                  <w:pPr>
                    <w:widowControl/>
                    <w:adjustRightInd w:val="0"/>
                    <w:snapToGrid w:val="0"/>
                    <w:jc w:val="center"/>
                    <w:rPr>
                      <w:kern w:val="0"/>
                      <w:szCs w:val="21"/>
                    </w:rPr>
                  </w:pPr>
                  <w:r>
                    <w:rPr>
                      <w:rFonts w:eastAsia="等线"/>
                      <w:szCs w:val="21"/>
                    </w:rPr>
                    <w:t>0.0023</w:t>
                  </w:r>
                </w:p>
              </w:tc>
            </w:tr>
            <w:tr w14:paraId="520ABC6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57">
                  <w:pPr>
                    <w:widowControl/>
                    <w:adjustRightInd w:val="0"/>
                    <w:snapToGrid w:val="0"/>
                    <w:jc w:val="center"/>
                    <w:rPr>
                      <w:kern w:val="0"/>
                      <w:szCs w:val="21"/>
                    </w:rPr>
                  </w:pPr>
                </w:p>
              </w:tc>
              <w:tc>
                <w:tcPr>
                  <w:tcW w:w="294" w:type="pct"/>
                  <w:vMerge w:val="continue"/>
                  <w:vAlign w:val="center"/>
                </w:tcPr>
                <w:p w14:paraId="520ABC58">
                  <w:pPr>
                    <w:widowControl/>
                    <w:adjustRightInd w:val="0"/>
                    <w:snapToGrid w:val="0"/>
                    <w:jc w:val="center"/>
                    <w:rPr>
                      <w:kern w:val="0"/>
                      <w:szCs w:val="21"/>
                    </w:rPr>
                  </w:pPr>
                </w:p>
              </w:tc>
              <w:tc>
                <w:tcPr>
                  <w:tcW w:w="440" w:type="pct"/>
                  <w:vAlign w:val="center"/>
                </w:tcPr>
                <w:p w14:paraId="520ABC59">
                  <w:pPr>
                    <w:widowControl/>
                    <w:adjustRightInd w:val="0"/>
                    <w:snapToGrid w:val="0"/>
                    <w:jc w:val="center"/>
                    <w:rPr>
                      <w:kern w:val="0"/>
                      <w:szCs w:val="21"/>
                    </w:rPr>
                  </w:pPr>
                  <w:r>
                    <w:rPr>
                      <w:szCs w:val="21"/>
                    </w:rPr>
                    <w:t>硫酸雾</w:t>
                  </w:r>
                </w:p>
              </w:tc>
              <w:tc>
                <w:tcPr>
                  <w:tcW w:w="402" w:type="pct"/>
                  <w:vMerge w:val="continue"/>
                  <w:vAlign w:val="center"/>
                </w:tcPr>
                <w:p w14:paraId="520ABC5A">
                  <w:pPr>
                    <w:widowControl/>
                    <w:adjustRightInd w:val="0"/>
                    <w:snapToGrid w:val="0"/>
                    <w:jc w:val="center"/>
                    <w:rPr>
                      <w:kern w:val="0"/>
                      <w:szCs w:val="21"/>
                    </w:rPr>
                  </w:pPr>
                </w:p>
              </w:tc>
              <w:tc>
                <w:tcPr>
                  <w:tcW w:w="480" w:type="pct"/>
                  <w:vMerge w:val="continue"/>
                  <w:vAlign w:val="center"/>
                </w:tcPr>
                <w:p w14:paraId="520ABC5B">
                  <w:pPr>
                    <w:widowControl/>
                    <w:adjustRightInd w:val="0"/>
                    <w:snapToGrid w:val="0"/>
                    <w:jc w:val="center"/>
                    <w:rPr>
                      <w:kern w:val="0"/>
                      <w:szCs w:val="21"/>
                    </w:rPr>
                  </w:pPr>
                </w:p>
              </w:tc>
              <w:tc>
                <w:tcPr>
                  <w:tcW w:w="786" w:type="pct"/>
                  <w:vAlign w:val="center"/>
                </w:tcPr>
                <w:p w14:paraId="520ABC5C">
                  <w:pPr>
                    <w:widowControl/>
                    <w:adjustRightInd w:val="0"/>
                    <w:snapToGrid w:val="0"/>
                    <w:jc w:val="center"/>
                    <w:rPr>
                      <w:kern w:val="0"/>
                      <w:szCs w:val="21"/>
                    </w:rPr>
                  </w:pPr>
                  <w:r>
                    <w:rPr>
                      <w:kern w:val="0"/>
                      <w:szCs w:val="21"/>
                    </w:rPr>
                    <w:t>6.18</w:t>
                  </w:r>
                </w:p>
              </w:tc>
              <w:tc>
                <w:tcPr>
                  <w:tcW w:w="689" w:type="pct"/>
                  <w:vAlign w:val="center"/>
                </w:tcPr>
                <w:p w14:paraId="520ABC5D">
                  <w:pPr>
                    <w:widowControl/>
                    <w:adjustRightInd w:val="0"/>
                    <w:snapToGrid w:val="0"/>
                    <w:jc w:val="center"/>
                    <w:rPr>
                      <w:kern w:val="0"/>
                      <w:szCs w:val="21"/>
                    </w:rPr>
                  </w:pPr>
                  <w:r>
                    <w:rPr>
                      <w:kern w:val="0"/>
                      <w:szCs w:val="21"/>
                    </w:rPr>
                    <w:t>0.068</w:t>
                  </w:r>
                </w:p>
              </w:tc>
              <w:tc>
                <w:tcPr>
                  <w:tcW w:w="771" w:type="pct"/>
                  <w:vMerge w:val="continue"/>
                  <w:vAlign w:val="center"/>
                </w:tcPr>
                <w:p w14:paraId="520ABC5E">
                  <w:pPr>
                    <w:widowControl/>
                    <w:adjustRightInd w:val="0"/>
                    <w:snapToGrid w:val="0"/>
                    <w:jc w:val="center"/>
                    <w:rPr>
                      <w:kern w:val="0"/>
                      <w:szCs w:val="21"/>
                    </w:rPr>
                  </w:pPr>
                </w:p>
              </w:tc>
              <w:tc>
                <w:tcPr>
                  <w:tcW w:w="770" w:type="pct"/>
                  <w:vAlign w:val="center"/>
                </w:tcPr>
                <w:p w14:paraId="520ABC5F">
                  <w:pPr>
                    <w:widowControl/>
                    <w:adjustRightInd w:val="0"/>
                    <w:snapToGrid w:val="0"/>
                    <w:jc w:val="center"/>
                    <w:rPr>
                      <w:kern w:val="0"/>
                      <w:szCs w:val="21"/>
                    </w:rPr>
                  </w:pPr>
                  <w:r>
                    <w:rPr>
                      <w:rFonts w:eastAsia="等线"/>
                      <w:szCs w:val="21"/>
                    </w:rPr>
                    <w:t>0.34</w:t>
                  </w:r>
                </w:p>
              </w:tc>
            </w:tr>
            <w:tr w14:paraId="520ABC6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61">
                  <w:pPr>
                    <w:adjustRightInd w:val="0"/>
                    <w:snapToGrid w:val="0"/>
                    <w:jc w:val="center"/>
                    <w:rPr>
                      <w:kern w:val="0"/>
                      <w:szCs w:val="21"/>
                    </w:rPr>
                  </w:pPr>
                </w:p>
              </w:tc>
              <w:tc>
                <w:tcPr>
                  <w:tcW w:w="294" w:type="pct"/>
                  <w:vMerge w:val="restart"/>
                  <w:vAlign w:val="center"/>
                </w:tcPr>
                <w:p w14:paraId="520ABC62">
                  <w:pPr>
                    <w:widowControl/>
                    <w:adjustRightInd w:val="0"/>
                    <w:snapToGrid w:val="0"/>
                    <w:jc w:val="center"/>
                    <w:rPr>
                      <w:kern w:val="0"/>
                      <w:szCs w:val="21"/>
                    </w:rPr>
                  </w:pPr>
                  <w:r>
                    <w:rPr>
                      <w:kern w:val="0"/>
                      <w:szCs w:val="21"/>
                    </w:rPr>
                    <w:t>DA008</w:t>
                  </w:r>
                </w:p>
              </w:tc>
              <w:tc>
                <w:tcPr>
                  <w:tcW w:w="440" w:type="pct"/>
                  <w:vAlign w:val="center"/>
                </w:tcPr>
                <w:p w14:paraId="520ABC63">
                  <w:pPr>
                    <w:widowControl/>
                    <w:adjustRightInd w:val="0"/>
                    <w:snapToGrid w:val="0"/>
                    <w:jc w:val="center"/>
                    <w:rPr>
                      <w:kern w:val="0"/>
                      <w:szCs w:val="21"/>
                    </w:rPr>
                  </w:pPr>
                  <w:r>
                    <w:rPr>
                      <w:kern w:val="0"/>
                      <w:szCs w:val="21"/>
                    </w:rPr>
                    <w:t>颗粒物</w:t>
                  </w:r>
                </w:p>
              </w:tc>
              <w:tc>
                <w:tcPr>
                  <w:tcW w:w="402" w:type="pct"/>
                  <w:vMerge w:val="restart"/>
                  <w:vAlign w:val="center"/>
                </w:tcPr>
                <w:p w14:paraId="520ABC64">
                  <w:pPr>
                    <w:widowControl/>
                    <w:adjustRightInd w:val="0"/>
                    <w:snapToGrid w:val="0"/>
                    <w:jc w:val="center"/>
                    <w:rPr>
                      <w:kern w:val="0"/>
                      <w:szCs w:val="21"/>
                    </w:rPr>
                  </w:pPr>
                  <w:r>
                    <w:rPr>
                      <w:kern w:val="0"/>
                      <w:szCs w:val="21"/>
                    </w:rPr>
                    <w:t>喷涂生产线</w:t>
                  </w:r>
                </w:p>
              </w:tc>
              <w:tc>
                <w:tcPr>
                  <w:tcW w:w="480" w:type="pct"/>
                  <w:vMerge w:val="restart"/>
                  <w:vAlign w:val="center"/>
                </w:tcPr>
                <w:p w14:paraId="520ABC65">
                  <w:pPr>
                    <w:widowControl/>
                    <w:adjustRightInd w:val="0"/>
                    <w:snapToGrid w:val="0"/>
                    <w:jc w:val="center"/>
                    <w:rPr>
                      <w:kern w:val="0"/>
                      <w:szCs w:val="21"/>
                    </w:rPr>
                  </w:pPr>
                  <w:r>
                    <w:rPr>
                      <w:szCs w:val="21"/>
                    </w:rPr>
                    <w:t>11900</w:t>
                  </w:r>
                </w:p>
              </w:tc>
              <w:tc>
                <w:tcPr>
                  <w:tcW w:w="786" w:type="pct"/>
                  <w:vAlign w:val="center"/>
                </w:tcPr>
                <w:p w14:paraId="520ABC66">
                  <w:pPr>
                    <w:widowControl/>
                    <w:adjustRightInd w:val="0"/>
                    <w:snapToGrid w:val="0"/>
                    <w:jc w:val="center"/>
                    <w:rPr>
                      <w:kern w:val="0"/>
                      <w:szCs w:val="21"/>
                    </w:rPr>
                  </w:pPr>
                  <w:r>
                    <w:rPr>
                      <w:szCs w:val="21"/>
                    </w:rPr>
                    <w:t>4.7</w:t>
                  </w:r>
                </w:p>
              </w:tc>
              <w:tc>
                <w:tcPr>
                  <w:tcW w:w="689" w:type="pct"/>
                  <w:vAlign w:val="center"/>
                </w:tcPr>
                <w:p w14:paraId="520ABC67">
                  <w:pPr>
                    <w:widowControl/>
                    <w:adjustRightInd w:val="0"/>
                    <w:snapToGrid w:val="0"/>
                    <w:jc w:val="center"/>
                    <w:rPr>
                      <w:kern w:val="0"/>
                      <w:szCs w:val="21"/>
                    </w:rPr>
                  </w:pPr>
                  <w:r>
                    <w:rPr>
                      <w:szCs w:val="21"/>
                    </w:rPr>
                    <w:t>0.0559</w:t>
                  </w:r>
                </w:p>
              </w:tc>
              <w:tc>
                <w:tcPr>
                  <w:tcW w:w="771" w:type="pct"/>
                  <w:vMerge w:val="restart"/>
                  <w:vAlign w:val="center"/>
                </w:tcPr>
                <w:p w14:paraId="520ABC68">
                  <w:pPr>
                    <w:widowControl/>
                    <w:adjustRightInd w:val="0"/>
                    <w:snapToGrid w:val="0"/>
                    <w:jc w:val="center"/>
                    <w:rPr>
                      <w:szCs w:val="21"/>
                    </w:rPr>
                  </w:pPr>
                  <w:r>
                    <w:rPr>
                      <w:rFonts w:hint="eastAsia"/>
                      <w:szCs w:val="21"/>
                    </w:rPr>
                    <w:t>4000</w:t>
                  </w:r>
                </w:p>
              </w:tc>
              <w:tc>
                <w:tcPr>
                  <w:tcW w:w="770" w:type="pct"/>
                  <w:vAlign w:val="center"/>
                </w:tcPr>
                <w:p w14:paraId="520ABC69">
                  <w:pPr>
                    <w:widowControl/>
                    <w:adjustRightInd w:val="0"/>
                    <w:snapToGrid w:val="0"/>
                    <w:jc w:val="center"/>
                    <w:rPr>
                      <w:szCs w:val="21"/>
                    </w:rPr>
                  </w:pPr>
                  <w:r>
                    <w:rPr>
                      <w:rFonts w:eastAsia="等线"/>
                      <w:szCs w:val="21"/>
                    </w:rPr>
                    <w:t>1.8633</w:t>
                  </w:r>
                </w:p>
              </w:tc>
            </w:tr>
            <w:tr w14:paraId="520ABC7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6B">
                  <w:pPr>
                    <w:adjustRightInd w:val="0"/>
                    <w:snapToGrid w:val="0"/>
                    <w:jc w:val="center"/>
                    <w:rPr>
                      <w:kern w:val="0"/>
                      <w:szCs w:val="21"/>
                    </w:rPr>
                  </w:pPr>
                </w:p>
              </w:tc>
              <w:tc>
                <w:tcPr>
                  <w:tcW w:w="294" w:type="pct"/>
                  <w:vMerge w:val="continue"/>
                  <w:vAlign w:val="center"/>
                </w:tcPr>
                <w:p w14:paraId="520ABC6C">
                  <w:pPr>
                    <w:widowControl/>
                    <w:adjustRightInd w:val="0"/>
                    <w:snapToGrid w:val="0"/>
                    <w:jc w:val="center"/>
                    <w:rPr>
                      <w:kern w:val="0"/>
                      <w:szCs w:val="21"/>
                    </w:rPr>
                  </w:pPr>
                </w:p>
              </w:tc>
              <w:tc>
                <w:tcPr>
                  <w:tcW w:w="440" w:type="pct"/>
                  <w:vAlign w:val="center"/>
                </w:tcPr>
                <w:p w14:paraId="520ABC6D">
                  <w:pPr>
                    <w:widowControl/>
                    <w:adjustRightInd w:val="0"/>
                    <w:snapToGrid w:val="0"/>
                    <w:jc w:val="center"/>
                    <w:rPr>
                      <w:kern w:val="0"/>
                      <w:szCs w:val="21"/>
                    </w:rPr>
                  </w:pPr>
                  <w:r>
                    <w:rPr>
                      <w:kern w:val="0"/>
                      <w:szCs w:val="21"/>
                    </w:rPr>
                    <w:t>非甲烷总烃</w:t>
                  </w:r>
                </w:p>
              </w:tc>
              <w:tc>
                <w:tcPr>
                  <w:tcW w:w="402" w:type="pct"/>
                  <w:vMerge w:val="continue"/>
                  <w:vAlign w:val="center"/>
                </w:tcPr>
                <w:p w14:paraId="520ABC6E">
                  <w:pPr>
                    <w:widowControl/>
                    <w:adjustRightInd w:val="0"/>
                    <w:snapToGrid w:val="0"/>
                    <w:jc w:val="center"/>
                    <w:rPr>
                      <w:kern w:val="0"/>
                      <w:szCs w:val="21"/>
                    </w:rPr>
                  </w:pPr>
                </w:p>
              </w:tc>
              <w:tc>
                <w:tcPr>
                  <w:tcW w:w="480" w:type="pct"/>
                  <w:vMerge w:val="continue"/>
                  <w:vAlign w:val="center"/>
                </w:tcPr>
                <w:p w14:paraId="520ABC6F">
                  <w:pPr>
                    <w:adjustRightInd w:val="0"/>
                    <w:snapToGrid w:val="0"/>
                    <w:jc w:val="center"/>
                    <w:rPr>
                      <w:kern w:val="0"/>
                      <w:szCs w:val="21"/>
                    </w:rPr>
                  </w:pPr>
                </w:p>
              </w:tc>
              <w:tc>
                <w:tcPr>
                  <w:tcW w:w="786" w:type="pct"/>
                  <w:vAlign w:val="center"/>
                </w:tcPr>
                <w:p w14:paraId="520ABC70">
                  <w:pPr>
                    <w:widowControl/>
                    <w:adjustRightInd w:val="0"/>
                    <w:snapToGrid w:val="0"/>
                    <w:jc w:val="center"/>
                    <w:rPr>
                      <w:kern w:val="0"/>
                      <w:szCs w:val="21"/>
                    </w:rPr>
                  </w:pPr>
                  <w:r>
                    <w:rPr>
                      <w:szCs w:val="21"/>
                    </w:rPr>
                    <w:t>4.22</w:t>
                  </w:r>
                </w:p>
              </w:tc>
              <w:tc>
                <w:tcPr>
                  <w:tcW w:w="689" w:type="pct"/>
                  <w:vAlign w:val="center"/>
                </w:tcPr>
                <w:p w14:paraId="520ABC71">
                  <w:pPr>
                    <w:widowControl/>
                    <w:adjustRightInd w:val="0"/>
                    <w:snapToGrid w:val="0"/>
                    <w:jc w:val="center"/>
                    <w:rPr>
                      <w:kern w:val="0"/>
                      <w:szCs w:val="21"/>
                    </w:rPr>
                  </w:pPr>
                  <w:r>
                    <w:rPr>
                      <w:szCs w:val="21"/>
                    </w:rPr>
                    <w:t>0.0498</w:t>
                  </w:r>
                </w:p>
              </w:tc>
              <w:tc>
                <w:tcPr>
                  <w:tcW w:w="771" w:type="pct"/>
                  <w:vMerge w:val="continue"/>
                  <w:vAlign w:val="center"/>
                </w:tcPr>
                <w:p w14:paraId="520ABC72">
                  <w:pPr>
                    <w:widowControl/>
                    <w:adjustRightInd w:val="0"/>
                    <w:snapToGrid w:val="0"/>
                    <w:jc w:val="center"/>
                    <w:rPr>
                      <w:szCs w:val="21"/>
                    </w:rPr>
                  </w:pPr>
                </w:p>
              </w:tc>
              <w:tc>
                <w:tcPr>
                  <w:tcW w:w="770" w:type="pct"/>
                  <w:vAlign w:val="center"/>
                </w:tcPr>
                <w:p w14:paraId="520ABC73">
                  <w:pPr>
                    <w:widowControl/>
                    <w:adjustRightInd w:val="0"/>
                    <w:snapToGrid w:val="0"/>
                    <w:jc w:val="center"/>
                    <w:rPr>
                      <w:szCs w:val="21"/>
                    </w:rPr>
                  </w:pPr>
                  <w:r>
                    <w:rPr>
                      <w:rFonts w:eastAsia="等线"/>
                      <w:szCs w:val="21"/>
                    </w:rPr>
                    <w:t>1.66</w:t>
                  </w:r>
                </w:p>
              </w:tc>
            </w:tr>
            <w:tr w14:paraId="520ABC7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75">
                  <w:pPr>
                    <w:adjustRightInd w:val="0"/>
                    <w:snapToGrid w:val="0"/>
                    <w:jc w:val="center"/>
                    <w:rPr>
                      <w:kern w:val="0"/>
                      <w:szCs w:val="21"/>
                    </w:rPr>
                  </w:pPr>
                </w:p>
              </w:tc>
              <w:tc>
                <w:tcPr>
                  <w:tcW w:w="294" w:type="pct"/>
                  <w:vMerge w:val="continue"/>
                  <w:vAlign w:val="center"/>
                </w:tcPr>
                <w:p w14:paraId="520ABC76">
                  <w:pPr>
                    <w:widowControl/>
                    <w:adjustRightInd w:val="0"/>
                    <w:snapToGrid w:val="0"/>
                    <w:jc w:val="center"/>
                    <w:rPr>
                      <w:kern w:val="0"/>
                      <w:szCs w:val="21"/>
                    </w:rPr>
                  </w:pPr>
                </w:p>
              </w:tc>
              <w:tc>
                <w:tcPr>
                  <w:tcW w:w="440" w:type="pct"/>
                  <w:vAlign w:val="center"/>
                </w:tcPr>
                <w:p w14:paraId="520ABC77">
                  <w:pPr>
                    <w:widowControl/>
                    <w:adjustRightInd w:val="0"/>
                    <w:snapToGrid w:val="0"/>
                    <w:jc w:val="center"/>
                    <w:rPr>
                      <w:kern w:val="0"/>
                      <w:szCs w:val="21"/>
                    </w:rPr>
                  </w:pPr>
                  <w:r>
                    <w:rPr>
                      <w:kern w:val="0"/>
                      <w:szCs w:val="21"/>
                    </w:rPr>
                    <w:t>苯</w:t>
                  </w:r>
                </w:p>
              </w:tc>
              <w:tc>
                <w:tcPr>
                  <w:tcW w:w="402" w:type="pct"/>
                  <w:vMerge w:val="continue"/>
                  <w:vAlign w:val="center"/>
                </w:tcPr>
                <w:p w14:paraId="520ABC78">
                  <w:pPr>
                    <w:widowControl/>
                    <w:adjustRightInd w:val="0"/>
                    <w:snapToGrid w:val="0"/>
                    <w:jc w:val="center"/>
                    <w:rPr>
                      <w:kern w:val="0"/>
                      <w:szCs w:val="21"/>
                    </w:rPr>
                  </w:pPr>
                </w:p>
              </w:tc>
              <w:tc>
                <w:tcPr>
                  <w:tcW w:w="480" w:type="pct"/>
                  <w:vMerge w:val="continue"/>
                  <w:vAlign w:val="center"/>
                </w:tcPr>
                <w:p w14:paraId="520ABC79">
                  <w:pPr>
                    <w:widowControl/>
                    <w:adjustRightInd w:val="0"/>
                    <w:snapToGrid w:val="0"/>
                    <w:jc w:val="center"/>
                    <w:rPr>
                      <w:kern w:val="0"/>
                      <w:szCs w:val="21"/>
                    </w:rPr>
                  </w:pPr>
                </w:p>
              </w:tc>
              <w:tc>
                <w:tcPr>
                  <w:tcW w:w="786" w:type="pct"/>
                  <w:vAlign w:val="center"/>
                </w:tcPr>
                <w:p w14:paraId="520ABC7A">
                  <w:pPr>
                    <w:widowControl/>
                    <w:adjustRightInd w:val="0"/>
                    <w:snapToGrid w:val="0"/>
                    <w:jc w:val="center"/>
                    <w:rPr>
                      <w:kern w:val="0"/>
                      <w:szCs w:val="21"/>
                    </w:rPr>
                  </w:pPr>
                  <w:r>
                    <w:rPr>
                      <w:szCs w:val="21"/>
                    </w:rPr>
                    <w:t>ND</w:t>
                  </w:r>
                </w:p>
              </w:tc>
              <w:tc>
                <w:tcPr>
                  <w:tcW w:w="689" w:type="pct"/>
                  <w:vAlign w:val="center"/>
                </w:tcPr>
                <w:p w14:paraId="520ABC7B">
                  <w:pPr>
                    <w:widowControl/>
                    <w:adjustRightInd w:val="0"/>
                    <w:snapToGrid w:val="0"/>
                    <w:jc w:val="center"/>
                    <w:rPr>
                      <w:kern w:val="0"/>
                      <w:szCs w:val="21"/>
                    </w:rPr>
                  </w:pPr>
                  <w:r>
                    <w:rPr>
                      <w:szCs w:val="21"/>
                    </w:rPr>
                    <w:t>/</w:t>
                  </w:r>
                </w:p>
              </w:tc>
              <w:tc>
                <w:tcPr>
                  <w:tcW w:w="771" w:type="pct"/>
                  <w:vMerge w:val="continue"/>
                  <w:vAlign w:val="center"/>
                </w:tcPr>
                <w:p w14:paraId="520ABC7C">
                  <w:pPr>
                    <w:widowControl/>
                    <w:adjustRightInd w:val="0"/>
                    <w:snapToGrid w:val="0"/>
                    <w:jc w:val="center"/>
                    <w:rPr>
                      <w:szCs w:val="21"/>
                    </w:rPr>
                  </w:pPr>
                </w:p>
              </w:tc>
              <w:tc>
                <w:tcPr>
                  <w:tcW w:w="770" w:type="pct"/>
                  <w:vAlign w:val="center"/>
                </w:tcPr>
                <w:p w14:paraId="520ABC7D">
                  <w:pPr>
                    <w:widowControl/>
                    <w:adjustRightInd w:val="0"/>
                    <w:snapToGrid w:val="0"/>
                    <w:jc w:val="center"/>
                    <w:rPr>
                      <w:szCs w:val="21"/>
                    </w:rPr>
                  </w:pPr>
                  <w:r>
                    <w:rPr>
                      <w:rFonts w:eastAsia="等线"/>
                      <w:szCs w:val="21"/>
                    </w:rPr>
                    <w:t>0.0006</w:t>
                  </w:r>
                </w:p>
              </w:tc>
            </w:tr>
            <w:tr w14:paraId="520ABC8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7F">
                  <w:pPr>
                    <w:adjustRightInd w:val="0"/>
                    <w:snapToGrid w:val="0"/>
                    <w:jc w:val="center"/>
                    <w:rPr>
                      <w:kern w:val="0"/>
                      <w:szCs w:val="21"/>
                    </w:rPr>
                  </w:pPr>
                </w:p>
              </w:tc>
              <w:tc>
                <w:tcPr>
                  <w:tcW w:w="294" w:type="pct"/>
                  <w:vMerge w:val="continue"/>
                  <w:vAlign w:val="center"/>
                </w:tcPr>
                <w:p w14:paraId="520ABC80">
                  <w:pPr>
                    <w:widowControl/>
                    <w:adjustRightInd w:val="0"/>
                    <w:snapToGrid w:val="0"/>
                    <w:jc w:val="center"/>
                    <w:rPr>
                      <w:kern w:val="0"/>
                      <w:szCs w:val="21"/>
                    </w:rPr>
                  </w:pPr>
                </w:p>
              </w:tc>
              <w:tc>
                <w:tcPr>
                  <w:tcW w:w="440" w:type="pct"/>
                  <w:vAlign w:val="center"/>
                </w:tcPr>
                <w:p w14:paraId="520ABC81">
                  <w:pPr>
                    <w:widowControl/>
                    <w:adjustRightInd w:val="0"/>
                    <w:snapToGrid w:val="0"/>
                    <w:jc w:val="center"/>
                    <w:rPr>
                      <w:kern w:val="0"/>
                      <w:szCs w:val="21"/>
                    </w:rPr>
                  </w:pPr>
                  <w:r>
                    <w:rPr>
                      <w:kern w:val="0"/>
                      <w:szCs w:val="21"/>
                    </w:rPr>
                    <w:t>甲苯</w:t>
                  </w:r>
                </w:p>
              </w:tc>
              <w:tc>
                <w:tcPr>
                  <w:tcW w:w="402" w:type="pct"/>
                  <w:vMerge w:val="continue"/>
                  <w:vAlign w:val="center"/>
                </w:tcPr>
                <w:p w14:paraId="520ABC82">
                  <w:pPr>
                    <w:widowControl/>
                    <w:adjustRightInd w:val="0"/>
                    <w:snapToGrid w:val="0"/>
                    <w:jc w:val="center"/>
                    <w:rPr>
                      <w:kern w:val="0"/>
                      <w:szCs w:val="21"/>
                    </w:rPr>
                  </w:pPr>
                </w:p>
              </w:tc>
              <w:tc>
                <w:tcPr>
                  <w:tcW w:w="480" w:type="pct"/>
                  <w:vMerge w:val="continue"/>
                  <w:vAlign w:val="center"/>
                </w:tcPr>
                <w:p w14:paraId="520ABC83">
                  <w:pPr>
                    <w:widowControl/>
                    <w:adjustRightInd w:val="0"/>
                    <w:snapToGrid w:val="0"/>
                    <w:jc w:val="center"/>
                    <w:rPr>
                      <w:kern w:val="0"/>
                      <w:szCs w:val="21"/>
                    </w:rPr>
                  </w:pPr>
                </w:p>
              </w:tc>
              <w:tc>
                <w:tcPr>
                  <w:tcW w:w="786" w:type="pct"/>
                  <w:vAlign w:val="center"/>
                </w:tcPr>
                <w:p w14:paraId="520ABC84">
                  <w:pPr>
                    <w:widowControl/>
                    <w:adjustRightInd w:val="0"/>
                    <w:snapToGrid w:val="0"/>
                    <w:jc w:val="center"/>
                    <w:rPr>
                      <w:kern w:val="0"/>
                      <w:szCs w:val="21"/>
                    </w:rPr>
                  </w:pPr>
                  <w:r>
                    <w:rPr>
                      <w:szCs w:val="21"/>
                    </w:rPr>
                    <w:t>0.547</w:t>
                  </w:r>
                </w:p>
              </w:tc>
              <w:tc>
                <w:tcPr>
                  <w:tcW w:w="689" w:type="pct"/>
                  <w:vAlign w:val="center"/>
                </w:tcPr>
                <w:p w14:paraId="520ABC85">
                  <w:pPr>
                    <w:widowControl/>
                    <w:adjustRightInd w:val="0"/>
                    <w:snapToGrid w:val="0"/>
                    <w:jc w:val="center"/>
                    <w:rPr>
                      <w:kern w:val="0"/>
                      <w:szCs w:val="21"/>
                    </w:rPr>
                  </w:pPr>
                  <w:r>
                    <w:rPr>
                      <w:szCs w:val="21"/>
                    </w:rPr>
                    <w:t>0.00645</w:t>
                  </w:r>
                </w:p>
              </w:tc>
              <w:tc>
                <w:tcPr>
                  <w:tcW w:w="771" w:type="pct"/>
                  <w:vMerge w:val="continue"/>
                  <w:vAlign w:val="center"/>
                </w:tcPr>
                <w:p w14:paraId="520ABC86">
                  <w:pPr>
                    <w:widowControl/>
                    <w:adjustRightInd w:val="0"/>
                    <w:snapToGrid w:val="0"/>
                    <w:jc w:val="center"/>
                    <w:rPr>
                      <w:szCs w:val="21"/>
                    </w:rPr>
                  </w:pPr>
                </w:p>
              </w:tc>
              <w:tc>
                <w:tcPr>
                  <w:tcW w:w="770" w:type="pct"/>
                  <w:vAlign w:val="center"/>
                </w:tcPr>
                <w:p w14:paraId="520ABC87">
                  <w:pPr>
                    <w:widowControl/>
                    <w:adjustRightInd w:val="0"/>
                    <w:snapToGrid w:val="0"/>
                    <w:jc w:val="center"/>
                    <w:rPr>
                      <w:szCs w:val="21"/>
                    </w:rPr>
                  </w:pPr>
                  <w:r>
                    <w:rPr>
                      <w:rFonts w:eastAsia="等线"/>
                      <w:szCs w:val="21"/>
                    </w:rPr>
                    <w:t>0.215</w:t>
                  </w:r>
                </w:p>
              </w:tc>
            </w:tr>
            <w:tr w14:paraId="520ABC9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89">
                  <w:pPr>
                    <w:adjustRightInd w:val="0"/>
                    <w:snapToGrid w:val="0"/>
                    <w:jc w:val="center"/>
                    <w:rPr>
                      <w:kern w:val="0"/>
                      <w:szCs w:val="21"/>
                    </w:rPr>
                  </w:pPr>
                </w:p>
              </w:tc>
              <w:tc>
                <w:tcPr>
                  <w:tcW w:w="294" w:type="pct"/>
                  <w:vMerge w:val="continue"/>
                  <w:vAlign w:val="center"/>
                </w:tcPr>
                <w:p w14:paraId="520ABC8A">
                  <w:pPr>
                    <w:widowControl/>
                    <w:adjustRightInd w:val="0"/>
                    <w:snapToGrid w:val="0"/>
                    <w:jc w:val="center"/>
                    <w:rPr>
                      <w:kern w:val="0"/>
                      <w:szCs w:val="21"/>
                    </w:rPr>
                  </w:pPr>
                </w:p>
              </w:tc>
              <w:tc>
                <w:tcPr>
                  <w:tcW w:w="440" w:type="pct"/>
                  <w:vAlign w:val="center"/>
                </w:tcPr>
                <w:p w14:paraId="520ABC8B">
                  <w:pPr>
                    <w:widowControl/>
                    <w:adjustRightInd w:val="0"/>
                    <w:snapToGrid w:val="0"/>
                    <w:jc w:val="center"/>
                    <w:rPr>
                      <w:kern w:val="0"/>
                      <w:szCs w:val="21"/>
                    </w:rPr>
                  </w:pPr>
                  <w:r>
                    <w:rPr>
                      <w:kern w:val="0"/>
                      <w:szCs w:val="21"/>
                    </w:rPr>
                    <w:t>二甲苯</w:t>
                  </w:r>
                </w:p>
              </w:tc>
              <w:tc>
                <w:tcPr>
                  <w:tcW w:w="402" w:type="pct"/>
                  <w:vMerge w:val="continue"/>
                  <w:vAlign w:val="center"/>
                </w:tcPr>
                <w:p w14:paraId="520ABC8C">
                  <w:pPr>
                    <w:widowControl/>
                    <w:adjustRightInd w:val="0"/>
                    <w:snapToGrid w:val="0"/>
                    <w:jc w:val="center"/>
                    <w:rPr>
                      <w:kern w:val="0"/>
                      <w:szCs w:val="21"/>
                    </w:rPr>
                  </w:pPr>
                </w:p>
              </w:tc>
              <w:tc>
                <w:tcPr>
                  <w:tcW w:w="480" w:type="pct"/>
                  <w:vMerge w:val="continue"/>
                  <w:vAlign w:val="center"/>
                </w:tcPr>
                <w:p w14:paraId="520ABC8D">
                  <w:pPr>
                    <w:widowControl/>
                    <w:adjustRightInd w:val="0"/>
                    <w:snapToGrid w:val="0"/>
                    <w:jc w:val="center"/>
                    <w:rPr>
                      <w:kern w:val="0"/>
                      <w:szCs w:val="21"/>
                    </w:rPr>
                  </w:pPr>
                </w:p>
              </w:tc>
              <w:tc>
                <w:tcPr>
                  <w:tcW w:w="786" w:type="pct"/>
                  <w:vAlign w:val="center"/>
                </w:tcPr>
                <w:p w14:paraId="520ABC8E">
                  <w:pPr>
                    <w:widowControl/>
                    <w:adjustRightInd w:val="0"/>
                    <w:snapToGrid w:val="0"/>
                    <w:jc w:val="center"/>
                    <w:rPr>
                      <w:kern w:val="0"/>
                      <w:szCs w:val="21"/>
                    </w:rPr>
                  </w:pPr>
                  <w:r>
                    <w:rPr>
                      <w:szCs w:val="21"/>
                    </w:rPr>
                    <w:t>0.706</w:t>
                  </w:r>
                </w:p>
              </w:tc>
              <w:tc>
                <w:tcPr>
                  <w:tcW w:w="689" w:type="pct"/>
                  <w:vAlign w:val="center"/>
                </w:tcPr>
                <w:p w14:paraId="520ABC8F">
                  <w:pPr>
                    <w:widowControl/>
                    <w:adjustRightInd w:val="0"/>
                    <w:snapToGrid w:val="0"/>
                    <w:jc w:val="center"/>
                    <w:rPr>
                      <w:kern w:val="0"/>
                      <w:szCs w:val="21"/>
                    </w:rPr>
                  </w:pPr>
                  <w:r>
                    <w:rPr>
                      <w:szCs w:val="21"/>
                    </w:rPr>
                    <w:t>0.00833</w:t>
                  </w:r>
                </w:p>
              </w:tc>
              <w:tc>
                <w:tcPr>
                  <w:tcW w:w="771" w:type="pct"/>
                  <w:vMerge w:val="continue"/>
                  <w:vAlign w:val="center"/>
                </w:tcPr>
                <w:p w14:paraId="520ABC90">
                  <w:pPr>
                    <w:widowControl/>
                    <w:adjustRightInd w:val="0"/>
                    <w:snapToGrid w:val="0"/>
                    <w:jc w:val="center"/>
                    <w:rPr>
                      <w:szCs w:val="21"/>
                    </w:rPr>
                  </w:pPr>
                </w:p>
              </w:tc>
              <w:tc>
                <w:tcPr>
                  <w:tcW w:w="770" w:type="pct"/>
                  <w:vAlign w:val="center"/>
                </w:tcPr>
                <w:p w14:paraId="520ABC91">
                  <w:pPr>
                    <w:widowControl/>
                    <w:adjustRightInd w:val="0"/>
                    <w:snapToGrid w:val="0"/>
                    <w:jc w:val="center"/>
                    <w:rPr>
                      <w:szCs w:val="21"/>
                    </w:rPr>
                  </w:pPr>
                  <w:r>
                    <w:rPr>
                      <w:rFonts w:eastAsia="等线"/>
                      <w:szCs w:val="21"/>
                    </w:rPr>
                    <w:t>0.2777</w:t>
                  </w:r>
                </w:p>
              </w:tc>
            </w:tr>
            <w:tr w14:paraId="520ABC9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93">
                  <w:pPr>
                    <w:adjustRightInd w:val="0"/>
                    <w:snapToGrid w:val="0"/>
                    <w:jc w:val="center"/>
                    <w:rPr>
                      <w:kern w:val="0"/>
                      <w:szCs w:val="21"/>
                    </w:rPr>
                  </w:pPr>
                </w:p>
              </w:tc>
              <w:tc>
                <w:tcPr>
                  <w:tcW w:w="294" w:type="pct"/>
                  <w:vMerge w:val="continue"/>
                  <w:vAlign w:val="center"/>
                </w:tcPr>
                <w:p w14:paraId="520ABC94">
                  <w:pPr>
                    <w:widowControl/>
                    <w:adjustRightInd w:val="0"/>
                    <w:snapToGrid w:val="0"/>
                    <w:jc w:val="center"/>
                    <w:rPr>
                      <w:kern w:val="0"/>
                      <w:szCs w:val="21"/>
                    </w:rPr>
                  </w:pPr>
                </w:p>
              </w:tc>
              <w:tc>
                <w:tcPr>
                  <w:tcW w:w="440" w:type="pct"/>
                  <w:vAlign w:val="center"/>
                </w:tcPr>
                <w:p w14:paraId="520ABC95">
                  <w:pPr>
                    <w:widowControl/>
                    <w:adjustRightInd w:val="0"/>
                    <w:snapToGrid w:val="0"/>
                    <w:jc w:val="center"/>
                    <w:rPr>
                      <w:kern w:val="0"/>
                      <w:szCs w:val="21"/>
                    </w:rPr>
                  </w:pPr>
                  <w:r>
                    <w:rPr>
                      <w:kern w:val="0"/>
                      <w:szCs w:val="21"/>
                    </w:rPr>
                    <w:t>甲苯与二甲苯合计</w:t>
                  </w:r>
                </w:p>
              </w:tc>
              <w:tc>
                <w:tcPr>
                  <w:tcW w:w="402" w:type="pct"/>
                  <w:vMerge w:val="continue"/>
                  <w:vAlign w:val="center"/>
                </w:tcPr>
                <w:p w14:paraId="520ABC96">
                  <w:pPr>
                    <w:widowControl/>
                    <w:adjustRightInd w:val="0"/>
                    <w:snapToGrid w:val="0"/>
                    <w:jc w:val="center"/>
                    <w:rPr>
                      <w:kern w:val="0"/>
                      <w:szCs w:val="21"/>
                    </w:rPr>
                  </w:pPr>
                </w:p>
              </w:tc>
              <w:tc>
                <w:tcPr>
                  <w:tcW w:w="480" w:type="pct"/>
                  <w:vMerge w:val="continue"/>
                  <w:vAlign w:val="center"/>
                </w:tcPr>
                <w:p w14:paraId="520ABC97">
                  <w:pPr>
                    <w:widowControl/>
                    <w:adjustRightInd w:val="0"/>
                    <w:snapToGrid w:val="0"/>
                    <w:jc w:val="center"/>
                    <w:rPr>
                      <w:kern w:val="0"/>
                      <w:szCs w:val="21"/>
                    </w:rPr>
                  </w:pPr>
                </w:p>
              </w:tc>
              <w:tc>
                <w:tcPr>
                  <w:tcW w:w="786" w:type="pct"/>
                  <w:vAlign w:val="center"/>
                </w:tcPr>
                <w:p w14:paraId="520ABC98">
                  <w:pPr>
                    <w:widowControl/>
                    <w:adjustRightInd w:val="0"/>
                    <w:snapToGrid w:val="0"/>
                    <w:jc w:val="center"/>
                    <w:rPr>
                      <w:kern w:val="0"/>
                      <w:szCs w:val="21"/>
                    </w:rPr>
                  </w:pPr>
                  <w:r>
                    <w:rPr>
                      <w:szCs w:val="21"/>
                    </w:rPr>
                    <w:t>1.25</w:t>
                  </w:r>
                </w:p>
              </w:tc>
              <w:tc>
                <w:tcPr>
                  <w:tcW w:w="689" w:type="pct"/>
                  <w:vAlign w:val="center"/>
                </w:tcPr>
                <w:p w14:paraId="520ABC99">
                  <w:pPr>
                    <w:widowControl/>
                    <w:adjustRightInd w:val="0"/>
                    <w:snapToGrid w:val="0"/>
                    <w:jc w:val="center"/>
                    <w:rPr>
                      <w:kern w:val="0"/>
                      <w:szCs w:val="21"/>
                    </w:rPr>
                  </w:pPr>
                  <w:r>
                    <w:rPr>
                      <w:szCs w:val="21"/>
                    </w:rPr>
                    <w:t>/</w:t>
                  </w:r>
                </w:p>
              </w:tc>
              <w:tc>
                <w:tcPr>
                  <w:tcW w:w="771" w:type="pct"/>
                  <w:vMerge w:val="continue"/>
                  <w:vAlign w:val="center"/>
                </w:tcPr>
                <w:p w14:paraId="520ABC9A">
                  <w:pPr>
                    <w:widowControl/>
                    <w:adjustRightInd w:val="0"/>
                    <w:snapToGrid w:val="0"/>
                    <w:jc w:val="center"/>
                    <w:rPr>
                      <w:szCs w:val="21"/>
                    </w:rPr>
                  </w:pPr>
                </w:p>
              </w:tc>
              <w:tc>
                <w:tcPr>
                  <w:tcW w:w="770" w:type="pct"/>
                  <w:vAlign w:val="center"/>
                </w:tcPr>
                <w:p w14:paraId="520ABC9B">
                  <w:pPr>
                    <w:widowControl/>
                    <w:adjustRightInd w:val="0"/>
                    <w:snapToGrid w:val="0"/>
                    <w:jc w:val="center"/>
                    <w:rPr>
                      <w:szCs w:val="21"/>
                    </w:rPr>
                  </w:pPr>
                  <w:r>
                    <w:rPr>
                      <w:rFonts w:hint="eastAsia"/>
                      <w:szCs w:val="21"/>
                    </w:rPr>
                    <w:t>/</w:t>
                  </w:r>
                </w:p>
              </w:tc>
            </w:tr>
            <w:tr w14:paraId="520ABCA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Align w:val="center"/>
                </w:tcPr>
                <w:p w14:paraId="520ABC9D">
                  <w:pPr>
                    <w:adjustRightInd w:val="0"/>
                    <w:snapToGrid w:val="0"/>
                    <w:jc w:val="center"/>
                    <w:rPr>
                      <w:kern w:val="0"/>
                      <w:szCs w:val="21"/>
                    </w:rPr>
                  </w:pPr>
                  <w:r>
                    <w:rPr>
                      <w:rFonts w:hint="eastAsia"/>
                      <w:kern w:val="0"/>
                      <w:szCs w:val="21"/>
                    </w:rPr>
                    <w:t>2025.4.29</w:t>
                  </w:r>
                </w:p>
              </w:tc>
              <w:tc>
                <w:tcPr>
                  <w:tcW w:w="294" w:type="pct"/>
                  <w:vAlign w:val="center"/>
                </w:tcPr>
                <w:p w14:paraId="520ABC9E">
                  <w:pPr>
                    <w:widowControl/>
                    <w:adjustRightInd w:val="0"/>
                    <w:snapToGrid w:val="0"/>
                    <w:jc w:val="center"/>
                    <w:rPr>
                      <w:kern w:val="0"/>
                      <w:szCs w:val="21"/>
                    </w:rPr>
                  </w:pPr>
                  <w:r>
                    <w:rPr>
                      <w:kern w:val="0"/>
                      <w:szCs w:val="21"/>
                    </w:rPr>
                    <w:t>DA009</w:t>
                  </w:r>
                </w:p>
              </w:tc>
              <w:tc>
                <w:tcPr>
                  <w:tcW w:w="440" w:type="pct"/>
                  <w:vAlign w:val="center"/>
                </w:tcPr>
                <w:p w14:paraId="520ABC9F">
                  <w:pPr>
                    <w:widowControl/>
                    <w:adjustRightInd w:val="0"/>
                    <w:snapToGrid w:val="0"/>
                    <w:jc w:val="center"/>
                    <w:rPr>
                      <w:kern w:val="0"/>
                      <w:szCs w:val="21"/>
                    </w:rPr>
                  </w:pPr>
                  <w:r>
                    <w:rPr>
                      <w:kern w:val="0"/>
                      <w:szCs w:val="21"/>
                    </w:rPr>
                    <w:t>非甲烷总烃</w:t>
                  </w:r>
                </w:p>
              </w:tc>
              <w:tc>
                <w:tcPr>
                  <w:tcW w:w="402" w:type="pct"/>
                  <w:vAlign w:val="center"/>
                </w:tcPr>
                <w:p w14:paraId="520ABCA0">
                  <w:pPr>
                    <w:widowControl/>
                    <w:adjustRightInd w:val="0"/>
                    <w:snapToGrid w:val="0"/>
                    <w:jc w:val="center"/>
                    <w:rPr>
                      <w:kern w:val="0"/>
                      <w:szCs w:val="21"/>
                    </w:rPr>
                  </w:pPr>
                  <w:r>
                    <w:rPr>
                      <w:kern w:val="0"/>
                      <w:szCs w:val="21"/>
                    </w:rPr>
                    <w:t>热处理</w:t>
                  </w:r>
                </w:p>
              </w:tc>
              <w:tc>
                <w:tcPr>
                  <w:tcW w:w="480" w:type="pct"/>
                  <w:vAlign w:val="center"/>
                </w:tcPr>
                <w:p w14:paraId="520ABCA1">
                  <w:pPr>
                    <w:widowControl/>
                    <w:adjustRightInd w:val="0"/>
                    <w:snapToGrid w:val="0"/>
                    <w:jc w:val="center"/>
                    <w:rPr>
                      <w:kern w:val="0"/>
                      <w:szCs w:val="21"/>
                    </w:rPr>
                  </w:pPr>
                  <w:r>
                    <w:rPr>
                      <w:szCs w:val="21"/>
                    </w:rPr>
                    <w:t>2420</w:t>
                  </w:r>
                </w:p>
              </w:tc>
              <w:tc>
                <w:tcPr>
                  <w:tcW w:w="786" w:type="pct"/>
                  <w:vAlign w:val="center"/>
                </w:tcPr>
                <w:p w14:paraId="520ABCA2">
                  <w:pPr>
                    <w:widowControl/>
                    <w:adjustRightInd w:val="0"/>
                    <w:snapToGrid w:val="0"/>
                    <w:jc w:val="center"/>
                    <w:rPr>
                      <w:kern w:val="0"/>
                      <w:szCs w:val="21"/>
                    </w:rPr>
                  </w:pPr>
                  <w:r>
                    <w:rPr>
                      <w:szCs w:val="21"/>
                    </w:rPr>
                    <w:t>3.08</w:t>
                  </w:r>
                </w:p>
              </w:tc>
              <w:tc>
                <w:tcPr>
                  <w:tcW w:w="689" w:type="pct"/>
                  <w:vAlign w:val="center"/>
                </w:tcPr>
                <w:p w14:paraId="520ABCA3">
                  <w:pPr>
                    <w:widowControl/>
                    <w:adjustRightInd w:val="0"/>
                    <w:snapToGrid w:val="0"/>
                    <w:jc w:val="center"/>
                    <w:rPr>
                      <w:kern w:val="0"/>
                      <w:szCs w:val="21"/>
                    </w:rPr>
                  </w:pPr>
                  <w:r>
                    <w:rPr>
                      <w:szCs w:val="21"/>
                    </w:rPr>
                    <w:t>0.00743</w:t>
                  </w:r>
                </w:p>
              </w:tc>
              <w:tc>
                <w:tcPr>
                  <w:tcW w:w="771" w:type="pct"/>
                  <w:vAlign w:val="center"/>
                </w:tcPr>
                <w:p w14:paraId="520ABCA4">
                  <w:pPr>
                    <w:widowControl/>
                    <w:adjustRightInd w:val="0"/>
                    <w:snapToGrid w:val="0"/>
                    <w:jc w:val="center"/>
                    <w:rPr>
                      <w:szCs w:val="21"/>
                    </w:rPr>
                  </w:pPr>
                  <w:r>
                    <w:rPr>
                      <w:rFonts w:hint="eastAsia"/>
                      <w:szCs w:val="21"/>
                    </w:rPr>
                    <w:t>4000</w:t>
                  </w:r>
                </w:p>
              </w:tc>
              <w:tc>
                <w:tcPr>
                  <w:tcW w:w="770" w:type="pct"/>
                  <w:vAlign w:val="center"/>
                </w:tcPr>
                <w:p w14:paraId="520ABCA5">
                  <w:pPr>
                    <w:widowControl/>
                    <w:adjustRightInd w:val="0"/>
                    <w:snapToGrid w:val="0"/>
                    <w:jc w:val="center"/>
                    <w:rPr>
                      <w:szCs w:val="21"/>
                    </w:rPr>
                  </w:pPr>
                  <w:r>
                    <w:rPr>
                      <w:rFonts w:eastAsia="等线"/>
                      <w:szCs w:val="21"/>
                    </w:rPr>
                    <w:t>0.2477</w:t>
                  </w:r>
                </w:p>
              </w:tc>
            </w:tr>
            <w:tr w14:paraId="520ABCB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Align w:val="center"/>
                </w:tcPr>
                <w:p w14:paraId="520ABCA7">
                  <w:pPr>
                    <w:adjustRightInd w:val="0"/>
                    <w:snapToGrid w:val="0"/>
                    <w:jc w:val="center"/>
                    <w:rPr>
                      <w:kern w:val="0"/>
                      <w:szCs w:val="21"/>
                    </w:rPr>
                  </w:pPr>
                  <w:r>
                    <w:rPr>
                      <w:rFonts w:hint="eastAsia"/>
                      <w:kern w:val="0"/>
                      <w:szCs w:val="21"/>
                    </w:rPr>
                    <w:t>2025.4.25</w:t>
                  </w:r>
                </w:p>
              </w:tc>
              <w:tc>
                <w:tcPr>
                  <w:tcW w:w="294" w:type="pct"/>
                  <w:vAlign w:val="center"/>
                </w:tcPr>
                <w:p w14:paraId="520ABCA8">
                  <w:pPr>
                    <w:widowControl/>
                    <w:adjustRightInd w:val="0"/>
                    <w:snapToGrid w:val="0"/>
                    <w:jc w:val="center"/>
                    <w:rPr>
                      <w:kern w:val="0"/>
                      <w:szCs w:val="21"/>
                    </w:rPr>
                  </w:pPr>
                  <w:r>
                    <w:rPr>
                      <w:kern w:val="0"/>
                      <w:szCs w:val="21"/>
                    </w:rPr>
                    <w:t>DA010</w:t>
                  </w:r>
                </w:p>
              </w:tc>
              <w:tc>
                <w:tcPr>
                  <w:tcW w:w="440" w:type="pct"/>
                  <w:vAlign w:val="center"/>
                </w:tcPr>
                <w:p w14:paraId="520ABCA9">
                  <w:pPr>
                    <w:widowControl/>
                    <w:adjustRightInd w:val="0"/>
                    <w:snapToGrid w:val="0"/>
                    <w:jc w:val="center"/>
                    <w:rPr>
                      <w:kern w:val="0"/>
                      <w:szCs w:val="21"/>
                    </w:rPr>
                  </w:pPr>
                  <w:r>
                    <w:rPr>
                      <w:kern w:val="0"/>
                      <w:szCs w:val="21"/>
                    </w:rPr>
                    <w:t>颗粒物</w:t>
                  </w:r>
                </w:p>
              </w:tc>
              <w:tc>
                <w:tcPr>
                  <w:tcW w:w="402" w:type="pct"/>
                  <w:vAlign w:val="center"/>
                </w:tcPr>
                <w:p w14:paraId="520ABCAA">
                  <w:pPr>
                    <w:widowControl/>
                    <w:adjustRightInd w:val="0"/>
                    <w:snapToGrid w:val="0"/>
                    <w:jc w:val="center"/>
                    <w:rPr>
                      <w:kern w:val="0"/>
                      <w:szCs w:val="21"/>
                    </w:rPr>
                  </w:pPr>
                  <w:r>
                    <w:rPr>
                      <w:kern w:val="0"/>
                      <w:szCs w:val="21"/>
                    </w:rPr>
                    <w:t>干式吹砂机</w:t>
                  </w:r>
                </w:p>
              </w:tc>
              <w:tc>
                <w:tcPr>
                  <w:tcW w:w="480" w:type="pct"/>
                  <w:vAlign w:val="center"/>
                </w:tcPr>
                <w:p w14:paraId="520ABCAB">
                  <w:pPr>
                    <w:widowControl/>
                    <w:adjustRightInd w:val="0"/>
                    <w:snapToGrid w:val="0"/>
                    <w:jc w:val="center"/>
                    <w:rPr>
                      <w:kern w:val="0"/>
                      <w:szCs w:val="21"/>
                    </w:rPr>
                  </w:pPr>
                  <w:r>
                    <w:rPr>
                      <w:kern w:val="0"/>
                      <w:szCs w:val="21"/>
                    </w:rPr>
                    <w:t>1390</w:t>
                  </w:r>
                </w:p>
              </w:tc>
              <w:tc>
                <w:tcPr>
                  <w:tcW w:w="786" w:type="pct"/>
                  <w:vAlign w:val="center"/>
                </w:tcPr>
                <w:p w14:paraId="520ABCAC">
                  <w:pPr>
                    <w:widowControl/>
                    <w:adjustRightInd w:val="0"/>
                    <w:snapToGrid w:val="0"/>
                    <w:jc w:val="center"/>
                    <w:rPr>
                      <w:kern w:val="0"/>
                      <w:szCs w:val="21"/>
                    </w:rPr>
                  </w:pPr>
                  <w:r>
                    <w:rPr>
                      <w:kern w:val="0"/>
                      <w:szCs w:val="21"/>
                    </w:rPr>
                    <w:t>3.8</w:t>
                  </w:r>
                </w:p>
              </w:tc>
              <w:tc>
                <w:tcPr>
                  <w:tcW w:w="689" w:type="pct"/>
                  <w:vAlign w:val="center"/>
                </w:tcPr>
                <w:p w14:paraId="520ABCAD">
                  <w:pPr>
                    <w:widowControl/>
                    <w:adjustRightInd w:val="0"/>
                    <w:snapToGrid w:val="0"/>
                    <w:jc w:val="center"/>
                    <w:rPr>
                      <w:kern w:val="0"/>
                      <w:szCs w:val="21"/>
                    </w:rPr>
                  </w:pPr>
                  <w:r>
                    <w:rPr>
                      <w:kern w:val="0"/>
                      <w:szCs w:val="21"/>
                    </w:rPr>
                    <w:t>0.00522</w:t>
                  </w:r>
                </w:p>
              </w:tc>
              <w:tc>
                <w:tcPr>
                  <w:tcW w:w="771" w:type="pct"/>
                  <w:vAlign w:val="center"/>
                </w:tcPr>
                <w:p w14:paraId="520ABCAE">
                  <w:pPr>
                    <w:widowControl/>
                    <w:adjustRightInd w:val="0"/>
                    <w:snapToGrid w:val="0"/>
                    <w:jc w:val="center"/>
                    <w:rPr>
                      <w:kern w:val="0"/>
                      <w:szCs w:val="21"/>
                    </w:rPr>
                  </w:pPr>
                  <w:r>
                    <w:rPr>
                      <w:rFonts w:hint="eastAsia"/>
                      <w:kern w:val="0"/>
                      <w:szCs w:val="21"/>
                    </w:rPr>
                    <w:t>1500</w:t>
                  </w:r>
                </w:p>
              </w:tc>
              <w:tc>
                <w:tcPr>
                  <w:tcW w:w="770" w:type="pct"/>
                  <w:vAlign w:val="center"/>
                </w:tcPr>
                <w:p w14:paraId="520ABCAF">
                  <w:pPr>
                    <w:widowControl/>
                    <w:adjustRightInd w:val="0"/>
                    <w:snapToGrid w:val="0"/>
                    <w:jc w:val="center"/>
                    <w:rPr>
                      <w:kern w:val="0"/>
                      <w:szCs w:val="21"/>
                    </w:rPr>
                  </w:pPr>
                  <w:r>
                    <w:rPr>
                      <w:rFonts w:eastAsia="等线"/>
                      <w:szCs w:val="21"/>
                    </w:rPr>
                    <w:t>0.0261</w:t>
                  </w:r>
                </w:p>
              </w:tc>
            </w:tr>
            <w:tr w14:paraId="520ABCB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Align w:val="center"/>
                </w:tcPr>
                <w:p w14:paraId="520ABCB1">
                  <w:pPr>
                    <w:adjustRightInd w:val="0"/>
                    <w:snapToGrid w:val="0"/>
                    <w:jc w:val="center"/>
                    <w:rPr>
                      <w:kern w:val="0"/>
                      <w:szCs w:val="21"/>
                    </w:rPr>
                  </w:pPr>
                  <w:r>
                    <w:rPr>
                      <w:rFonts w:hint="eastAsia"/>
                      <w:kern w:val="0"/>
                      <w:szCs w:val="21"/>
                    </w:rPr>
                    <w:t>2023.6.20</w:t>
                  </w:r>
                </w:p>
              </w:tc>
              <w:tc>
                <w:tcPr>
                  <w:tcW w:w="294" w:type="pct"/>
                  <w:vAlign w:val="center"/>
                </w:tcPr>
                <w:p w14:paraId="520ABCB2">
                  <w:pPr>
                    <w:widowControl/>
                    <w:adjustRightInd w:val="0"/>
                    <w:snapToGrid w:val="0"/>
                    <w:jc w:val="center"/>
                    <w:rPr>
                      <w:kern w:val="0"/>
                      <w:szCs w:val="21"/>
                    </w:rPr>
                  </w:pPr>
                  <w:r>
                    <w:rPr>
                      <w:kern w:val="0"/>
                      <w:szCs w:val="21"/>
                    </w:rPr>
                    <w:t>DA011</w:t>
                  </w:r>
                </w:p>
              </w:tc>
              <w:tc>
                <w:tcPr>
                  <w:tcW w:w="440" w:type="pct"/>
                  <w:vAlign w:val="center"/>
                </w:tcPr>
                <w:p w14:paraId="520ABCB3">
                  <w:pPr>
                    <w:widowControl/>
                    <w:adjustRightInd w:val="0"/>
                    <w:snapToGrid w:val="0"/>
                    <w:jc w:val="center"/>
                    <w:rPr>
                      <w:kern w:val="0"/>
                      <w:szCs w:val="21"/>
                    </w:rPr>
                  </w:pPr>
                  <w:r>
                    <w:rPr>
                      <w:kern w:val="0"/>
                      <w:szCs w:val="21"/>
                    </w:rPr>
                    <w:t>颗粒物</w:t>
                  </w:r>
                </w:p>
              </w:tc>
              <w:tc>
                <w:tcPr>
                  <w:tcW w:w="402" w:type="pct"/>
                  <w:vAlign w:val="center"/>
                </w:tcPr>
                <w:p w14:paraId="520ABCB4">
                  <w:pPr>
                    <w:widowControl/>
                    <w:adjustRightInd w:val="0"/>
                    <w:snapToGrid w:val="0"/>
                    <w:jc w:val="center"/>
                    <w:rPr>
                      <w:kern w:val="0"/>
                      <w:szCs w:val="21"/>
                    </w:rPr>
                  </w:pPr>
                  <w:r>
                    <w:rPr>
                      <w:kern w:val="0"/>
                      <w:szCs w:val="21"/>
                    </w:rPr>
                    <w:t>抛丸机</w:t>
                  </w:r>
                </w:p>
              </w:tc>
              <w:tc>
                <w:tcPr>
                  <w:tcW w:w="480" w:type="pct"/>
                  <w:vAlign w:val="center"/>
                </w:tcPr>
                <w:p w14:paraId="520ABCB5">
                  <w:pPr>
                    <w:widowControl/>
                    <w:adjustRightInd w:val="0"/>
                    <w:snapToGrid w:val="0"/>
                    <w:jc w:val="center"/>
                    <w:rPr>
                      <w:kern w:val="0"/>
                      <w:szCs w:val="21"/>
                    </w:rPr>
                  </w:pPr>
                  <w:r>
                    <w:rPr>
                      <w:rFonts w:hint="eastAsia"/>
                      <w:kern w:val="0"/>
                      <w:szCs w:val="21"/>
                    </w:rPr>
                    <w:t>2350</w:t>
                  </w:r>
                </w:p>
              </w:tc>
              <w:tc>
                <w:tcPr>
                  <w:tcW w:w="786" w:type="pct"/>
                  <w:vAlign w:val="center"/>
                </w:tcPr>
                <w:p w14:paraId="520ABCB6">
                  <w:pPr>
                    <w:widowControl/>
                    <w:adjustRightInd w:val="0"/>
                    <w:snapToGrid w:val="0"/>
                    <w:jc w:val="center"/>
                    <w:rPr>
                      <w:kern w:val="0"/>
                      <w:szCs w:val="21"/>
                    </w:rPr>
                  </w:pPr>
                  <w:r>
                    <w:rPr>
                      <w:rFonts w:hint="eastAsia"/>
                      <w:kern w:val="0"/>
                      <w:szCs w:val="21"/>
                    </w:rPr>
                    <w:t>5.6</w:t>
                  </w:r>
                </w:p>
              </w:tc>
              <w:tc>
                <w:tcPr>
                  <w:tcW w:w="689" w:type="pct"/>
                  <w:vAlign w:val="center"/>
                </w:tcPr>
                <w:p w14:paraId="520ABCB7">
                  <w:pPr>
                    <w:widowControl/>
                    <w:adjustRightInd w:val="0"/>
                    <w:snapToGrid w:val="0"/>
                    <w:jc w:val="center"/>
                    <w:rPr>
                      <w:kern w:val="0"/>
                      <w:szCs w:val="21"/>
                    </w:rPr>
                  </w:pPr>
                  <w:r>
                    <w:rPr>
                      <w:rFonts w:hint="eastAsia"/>
                      <w:kern w:val="0"/>
                      <w:szCs w:val="21"/>
                    </w:rPr>
                    <w:t>0.0132</w:t>
                  </w:r>
                </w:p>
              </w:tc>
              <w:tc>
                <w:tcPr>
                  <w:tcW w:w="771" w:type="pct"/>
                  <w:vAlign w:val="center"/>
                </w:tcPr>
                <w:p w14:paraId="520ABCB8">
                  <w:pPr>
                    <w:widowControl/>
                    <w:adjustRightInd w:val="0"/>
                    <w:snapToGrid w:val="0"/>
                    <w:jc w:val="center"/>
                    <w:rPr>
                      <w:szCs w:val="21"/>
                    </w:rPr>
                  </w:pPr>
                  <w:r>
                    <w:rPr>
                      <w:rFonts w:hint="eastAsia"/>
                      <w:szCs w:val="21"/>
                    </w:rPr>
                    <w:t>1500</w:t>
                  </w:r>
                </w:p>
              </w:tc>
              <w:tc>
                <w:tcPr>
                  <w:tcW w:w="770" w:type="pct"/>
                  <w:vAlign w:val="center"/>
                </w:tcPr>
                <w:p w14:paraId="520ABCB9">
                  <w:pPr>
                    <w:widowControl/>
                    <w:adjustRightInd w:val="0"/>
                    <w:snapToGrid w:val="0"/>
                    <w:jc w:val="center"/>
                    <w:rPr>
                      <w:szCs w:val="21"/>
                    </w:rPr>
                  </w:pPr>
                  <w:r>
                    <w:rPr>
                      <w:rFonts w:eastAsia="等线"/>
                      <w:szCs w:val="21"/>
                    </w:rPr>
                    <w:t>0.0066</w:t>
                  </w:r>
                </w:p>
              </w:tc>
            </w:tr>
            <w:tr w14:paraId="520ABCC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Align w:val="center"/>
                </w:tcPr>
                <w:p w14:paraId="520ABCBB">
                  <w:pPr>
                    <w:adjustRightInd w:val="0"/>
                    <w:snapToGrid w:val="0"/>
                    <w:jc w:val="center"/>
                    <w:rPr>
                      <w:kern w:val="0"/>
                      <w:szCs w:val="21"/>
                    </w:rPr>
                  </w:pPr>
                  <w:r>
                    <w:rPr>
                      <w:rFonts w:hint="eastAsia"/>
                      <w:kern w:val="0"/>
                      <w:szCs w:val="21"/>
                    </w:rPr>
                    <w:t>2025.1在线</w:t>
                  </w:r>
                </w:p>
              </w:tc>
              <w:tc>
                <w:tcPr>
                  <w:tcW w:w="294" w:type="pct"/>
                  <w:vMerge w:val="restart"/>
                  <w:vAlign w:val="center"/>
                </w:tcPr>
                <w:p w14:paraId="520ABCBC">
                  <w:pPr>
                    <w:widowControl/>
                    <w:adjustRightInd w:val="0"/>
                    <w:snapToGrid w:val="0"/>
                    <w:jc w:val="center"/>
                    <w:rPr>
                      <w:kern w:val="0"/>
                      <w:szCs w:val="21"/>
                    </w:rPr>
                  </w:pPr>
                  <w:r>
                    <w:rPr>
                      <w:rFonts w:hint="eastAsia"/>
                      <w:kern w:val="0"/>
                      <w:szCs w:val="21"/>
                    </w:rPr>
                    <w:t>DA025</w:t>
                  </w:r>
                </w:p>
              </w:tc>
              <w:tc>
                <w:tcPr>
                  <w:tcW w:w="440" w:type="pct"/>
                  <w:vAlign w:val="center"/>
                </w:tcPr>
                <w:p w14:paraId="520ABCBD">
                  <w:pPr>
                    <w:widowControl/>
                    <w:adjustRightInd w:val="0"/>
                    <w:snapToGrid w:val="0"/>
                    <w:jc w:val="center"/>
                    <w:rPr>
                      <w:kern w:val="0"/>
                      <w:szCs w:val="21"/>
                    </w:rPr>
                  </w:pPr>
                  <w:r>
                    <w:rPr>
                      <w:kern w:val="0"/>
                      <w:szCs w:val="21"/>
                    </w:rPr>
                    <w:t>非甲烷总烃</w:t>
                  </w:r>
                </w:p>
              </w:tc>
              <w:tc>
                <w:tcPr>
                  <w:tcW w:w="402" w:type="pct"/>
                  <w:vMerge w:val="restart"/>
                  <w:vAlign w:val="center"/>
                </w:tcPr>
                <w:p w14:paraId="520ABCBE">
                  <w:pPr>
                    <w:widowControl/>
                    <w:adjustRightInd w:val="0"/>
                    <w:snapToGrid w:val="0"/>
                    <w:jc w:val="center"/>
                    <w:rPr>
                      <w:kern w:val="0"/>
                      <w:szCs w:val="21"/>
                    </w:rPr>
                  </w:pPr>
                  <w:r>
                    <w:rPr>
                      <w:kern w:val="0"/>
                      <w:szCs w:val="21"/>
                    </w:rPr>
                    <w:t>硫化</w:t>
                  </w:r>
                </w:p>
              </w:tc>
              <w:tc>
                <w:tcPr>
                  <w:tcW w:w="480" w:type="pct"/>
                  <w:vAlign w:val="center"/>
                </w:tcPr>
                <w:p w14:paraId="520ABCBF">
                  <w:pPr>
                    <w:adjustRightInd w:val="0"/>
                    <w:snapToGrid w:val="0"/>
                    <w:jc w:val="center"/>
                    <w:rPr>
                      <w:kern w:val="0"/>
                      <w:szCs w:val="21"/>
                    </w:rPr>
                  </w:pPr>
                  <w:r>
                    <w:rPr>
                      <w:rFonts w:hint="eastAsia"/>
                      <w:kern w:val="0"/>
                      <w:szCs w:val="21"/>
                    </w:rPr>
                    <w:t>14358.33</w:t>
                  </w:r>
                </w:p>
              </w:tc>
              <w:tc>
                <w:tcPr>
                  <w:tcW w:w="786" w:type="pct"/>
                  <w:vAlign w:val="center"/>
                </w:tcPr>
                <w:p w14:paraId="520ABCC0">
                  <w:pPr>
                    <w:widowControl/>
                    <w:adjustRightInd w:val="0"/>
                    <w:snapToGrid w:val="0"/>
                    <w:jc w:val="center"/>
                    <w:rPr>
                      <w:kern w:val="0"/>
                      <w:szCs w:val="21"/>
                    </w:rPr>
                  </w:pPr>
                  <w:r>
                    <w:rPr>
                      <w:rFonts w:hint="eastAsia"/>
                      <w:szCs w:val="21"/>
                    </w:rPr>
                    <w:t>0.74</w:t>
                  </w:r>
                </w:p>
              </w:tc>
              <w:tc>
                <w:tcPr>
                  <w:tcW w:w="689" w:type="pct"/>
                  <w:vAlign w:val="center"/>
                </w:tcPr>
                <w:p w14:paraId="520ABCC1">
                  <w:pPr>
                    <w:widowControl/>
                    <w:adjustRightInd w:val="0"/>
                    <w:snapToGrid w:val="0"/>
                    <w:jc w:val="center"/>
                    <w:rPr>
                      <w:kern w:val="0"/>
                      <w:szCs w:val="21"/>
                    </w:rPr>
                  </w:pPr>
                  <w:r>
                    <w:rPr>
                      <w:szCs w:val="21"/>
                    </w:rPr>
                    <w:t>0.</w:t>
                  </w:r>
                  <w:r>
                    <w:rPr>
                      <w:rFonts w:hint="eastAsia"/>
                      <w:szCs w:val="21"/>
                    </w:rPr>
                    <w:t>0125</w:t>
                  </w:r>
                </w:p>
              </w:tc>
              <w:tc>
                <w:tcPr>
                  <w:tcW w:w="771" w:type="pct"/>
                  <w:vMerge w:val="restart"/>
                  <w:vAlign w:val="center"/>
                </w:tcPr>
                <w:p w14:paraId="520ABCC2">
                  <w:pPr>
                    <w:widowControl/>
                    <w:adjustRightInd w:val="0"/>
                    <w:snapToGrid w:val="0"/>
                    <w:jc w:val="center"/>
                    <w:rPr>
                      <w:szCs w:val="21"/>
                    </w:rPr>
                  </w:pPr>
                  <w:r>
                    <w:rPr>
                      <w:rFonts w:hint="eastAsia"/>
                      <w:szCs w:val="21"/>
                    </w:rPr>
                    <w:t>250</w:t>
                  </w:r>
                </w:p>
              </w:tc>
              <w:tc>
                <w:tcPr>
                  <w:tcW w:w="770" w:type="pct"/>
                  <w:vAlign w:val="center"/>
                </w:tcPr>
                <w:p w14:paraId="520ABCC3">
                  <w:pPr>
                    <w:widowControl/>
                    <w:adjustRightInd w:val="0"/>
                    <w:snapToGrid w:val="0"/>
                    <w:jc w:val="center"/>
                    <w:rPr>
                      <w:szCs w:val="21"/>
                    </w:rPr>
                  </w:pPr>
                  <w:r>
                    <w:rPr>
                      <w:rFonts w:eastAsia="等线"/>
                      <w:szCs w:val="21"/>
                    </w:rPr>
                    <w:t>0.0</w:t>
                  </w:r>
                  <w:r>
                    <w:rPr>
                      <w:rFonts w:hint="eastAsia" w:eastAsia="等线"/>
                      <w:szCs w:val="21"/>
                    </w:rPr>
                    <w:t>031</w:t>
                  </w:r>
                </w:p>
              </w:tc>
            </w:tr>
            <w:tr w14:paraId="520ABCC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restart"/>
                  <w:vAlign w:val="center"/>
                </w:tcPr>
                <w:p w14:paraId="520ABCC5">
                  <w:pPr>
                    <w:adjustRightInd w:val="0"/>
                    <w:snapToGrid w:val="0"/>
                    <w:jc w:val="center"/>
                    <w:rPr>
                      <w:kern w:val="0"/>
                      <w:szCs w:val="21"/>
                    </w:rPr>
                  </w:pPr>
                  <w:r>
                    <w:rPr>
                      <w:rFonts w:hint="eastAsia"/>
                      <w:kern w:val="0"/>
                      <w:szCs w:val="21"/>
                    </w:rPr>
                    <w:t>2023.6.20</w:t>
                  </w:r>
                </w:p>
              </w:tc>
              <w:tc>
                <w:tcPr>
                  <w:tcW w:w="294" w:type="pct"/>
                  <w:vMerge w:val="continue"/>
                  <w:vAlign w:val="center"/>
                </w:tcPr>
                <w:p w14:paraId="520ABCC6">
                  <w:pPr>
                    <w:widowControl/>
                    <w:adjustRightInd w:val="0"/>
                    <w:snapToGrid w:val="0"/>
                    <w:jc w:val="center"/>
                    <w:rPr>
                      <w:kern w:val="0"/>
                      <w:szCs w:val="21"/>
                    </w:rPr>
                  </w:pPr>
                </w:p>
              </w:tc>
              <w:tc>
                <w:tcPr>
                  <w:tcW w:w="440" w:type="pct"/>
                  <w:vAlign w:val="center"/>
                </w:tcPr>
                <w:p w14:paraId="520ABCC7">
                  <w:pPr>
                    <w:widowControl/>
                    <w:adjustRightInd w:val="0"/>
                    <w:snapToGrid w:val="0"/>
                    <w:jc w:val="center"/>
                    <w:rPr>
                      <w:kern w:val="0"/>
                      <w:szCs w:val="21"/>
                    </w:rPr>
                  </w:pPr>
                  <w:r>
                    <w:rPr>
                      <w:kern w:val="0"/>
                      <w:szCs w:val="21"/>
                    </w:rPr>
                    <w:t>臭气浓度</w:t>
                  </w:r>
                </w:p>
              </w:tc>
              <w:tc>
                <w:tcPr>
                  <w:tcW w:w="402" w:type="pct"/>
                  <w:vMerge w:val="continue"/>
                  <w:vAlign w:val="center"/>
                </w:tcPr>
                <w:p w14:paraId="520ABCC8">
                  <w:pPr>
                    <w:widowControl/>
                    <w:adjustRightInd w:val="0"/>
                    <w:snapToGrid w:val="0"/>
                    <w:jc w:val="center"/>
                    <w:rPr>
                      <w:kern w:val="0"/>
                      <w:szCs w:val="21"/>
                    </w:rPr>
                  </w:pPr>
                </w:p>
              </w:tc>
              <w:tc>
                <w:tcPr>
                  <w:tcW w:w="480" w:type="pct"/>
                  <w:vMerge w:val="restart"/>
                  <w:vAlign w:val="center"/>
                </w:tcPr>
                <w:p w14:paraId="520ABCC9">
                  <w:pPr>
                    <w:widowControl/>
                    <w:adjustRightInd w:val="0"/>
                    <w:snapToGrid w:val="0"/>
                    <w:jc w:val="center"/>
                    <w:rPr>
                      <w:kern w:val="0"/>
                      <w:szCs w:val="21"/>
                    </w:rPr>
                  </w:pPr>
                  <w:r>
                    <w:rPr>
                      <w:szCs w:val="21"/>
                    </w:rPr>
                    <w:t>21700</w:t>
                  </w:r>
                </w:p>
              </w:tc>
              <w:tc>
                <w:tcPr>
                  <w:tcW w:w="786" w:type="pct"/>
                  <w:vAlign w:val="center"/>
                </w:tcPr>
                <w:p w14:paraId="520ABCCA">
                  <w:pPr>
                    <w:widowControl/>
                    <w:adjustRightInd w:val="0"/>
                    <w:snapToGrid w:val="0"/>
                    <w:jc w:val="center"/>
                    <w:rPr>
                      <w:kern w:val="0"/>
                      <w:szCs w:val="21"/>
                    </w:rPr>
                  </w:pPr>
                  <w:r>
                    <w:rPr>
                      <w:szCs w:val="21"/>
                    </w:rPr>
                    <w:t>467（无量纲）</w:t>
                  </w:r>
                </w:p>
              </w:tc>
              <w:tc>
                <w:tcPr>
                  <w:tcW w:w="689" w:type="pct"/>
                  <w:vAlign w:val="center"/>
                </w:tcPr>
                <w:p w14:paraId="520ABCCB">
                  <w:pPr>
                    <w:widowControl/>
                    <w:adjustRightInd w:val="0"/>
                    <w:snapToGrid w:val="0"/>
                    <w:jc w:val="center"/>
                    <w:rPr>
                      <w:kern w:val="0"/>
                      <w:szCs w:val="21"/>
                    </w:rPr>
                  </w:pPr>
                  <w:r>
                    <w:rPr>
                      <w:szCs w:val="21"/>
                    </w:rPr>
                    <w:t>/</w:t>
                  </w:r>
                </w:p>
              </w:tc>
              <w:tc>
                <w:tcPr>
                  <w:tcW w:w="771" w:type="pct"/>
                  <w:vMerge w:val="continue"/>
                  <w:vAlign w:val="center"/>
                </w:tcPr>
                <w:p w14:paraId="520ABCCC">
                  <w:pPr>
                    <w:widowControl/>
                    <w:adjustRightInd w:val="0"/>
                    <w:snapToGrid w:val="0"/>
                    <w:jc w:val="center"/>
                    <w:rPr>
                      <w:szCs w:val="21"/>
                    </w:rPr>
                  </w:pPr>
                </w:p>
              </w:tc>
              <w:tc>
                <w:tcPr>
                  <w:tcW w:w="770" w:type="pct"/>
                  <w:vAlign w:val="center"/>
                </w:tcPr>
                <w:p w14:paraId="520ABCCD">
                  <w:pPr>
                    <w:widowControl/>
                    <w:adjustRightInd w:val="0"/>
                    <w:snapToGrid w:val="0"/>
                    <w:jc w:val="center"/>
                    <w:rPr>
                      <w:szCs w:val="21"/>
                    </w:rPr>
                  </w:pPr>
                  <w:r>
                    <w:rPr>
                      <w:rFonts w:hint="eastAsia"/>
                      <w:szCs w:val="21"/>
                    </w:rPr>
                    <w:t>/</w:t>
                  </w:r>
                </w:p>
              </w:tc>
            </w:tr>
            <w:tr w14:paraId="520ABCD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CF">
                  <w:pPr>
                    <w:adjustRightInd w:val="0"/>
                    <w:snapToGrid w:val="0"/>
                    <w:jc w:val="center"/>
                    <w:rPr>
                      <w:kern w:val="0"/>
                      <w:szCs w:val="21"/>
                    </w:rPr>
                  </w:pPr>
                </w:p>
              </w:tc>
              <w:tc>
                <w:tcPr>
                  <w:tcW w:w="294" w:type="pct"/>
                  <w:vMerge w:val="continue"/>
                  <w:vAlign w:val="center"/>
                </w:tcPr>
                <w:p w14:paraId="520ABCD0">
                  <w:pPr>
                    <w:widowControl/>
                    <w:adjustRightInd w:val="0"/>
                    <w:snapToGrid w:val="0"/>
                    <w:jc w:val="center"/>
                    <w:rPr>
                      <w:kern w:val="0"/>
                      <w:szCs w:val="21"/>
                    </w:rPr>
                  </w:pPr>
                </w:p>
              </w:tc>
              <w:tc>
                <w:tcPr>
                  <w:tcW w:w="440" w:type="pct"/>
                  <w:vAlign w:val="center"/>
                </w:tcPr>
                <w:p w14:paraId="520ABCD1">
                  <w:pPr>
                    <w:widowControl/>
                    <w:adjustRightInd w:val="0"/>
                    <w:snapToGrid w:val="0"/>
                    <w:jc w:val="center"/>
                    <w:rPr>
                      <w:kern w:val="0"/>
                      <w:szCs w:val="21"/>
                    </w:rPr>
                  </w:pPr>
                  <w:r>
                    <w:rPr>
                      <w:kern w:val="0"/>
                      <w:szCs w:val="21"/>
                    </w:rPr>
                    <w:t>硫化氢</w:t>
                  </w:r>
                </w:p>
              </w:tc>
              <w:tc>
                <w:tcPr>
                  <w:tcW w:w="402" w:type="pct"/>
                  <w:vMerge w:val="continue"/>
                  <w:vAlign w:val="center"/>
                </w:tcPr>
                <w:p w14:paraId="520ABCD2">
                  <w:pPr>
                    <w:widowControl/>
                    <w:adjustRightInd w:val="0"/>
                    <w:snapToGrid w:val="0"/>
                    <w:jc w:val="center"/>
                    <w:rPr>
                      <w:kern w:val="0"/>
                      <w:szCs w:val="21"/>
                    </w:rPr>
                  </w:pPr>
                </w:p>
              </w:tc>
              <w:tc>
                <w:tcPr>
                  <w:tcW w:w="480" w:type="pct"/>
                  <w:vMerge w:val="continue"/>
                  <w:vAlign w:val="center"/>
                </w:tcPr>
                <w:p w14:paraId="520ABCD3">
                  <w:pPr>
                    <w:widowControl/>
                    <w:adjustRightInd w:val="0"/>
                    <w:snapToGrid w:val="0"/>
                    <w:jc w:val="center"/>
                    <w:rPr>
                      <w:kern w:val="0"/>
                      <w:szCs w:val="21"/>
                    </w:rPr>
                  </w:pPr>
                </w:p>
              </w:tc>
              <w:tc>
                <w:tcPr>
                  <w:tcW w:w="786" w:type="pct"/>
                  <w:vAlign w:val="center"/>
                </w:tcPr>
                <w:p w14:paraId="520ABCD4">
                  <w:pPr>
                    <w:widowControl/>
                    <w:adjustRightInd w:val="0"/>
                    <w:snapToGrid w:val="0"/>
                    <w:jc w:val="center"/>
                    <w:rPr>
                      <w:kern w:val="0"/>
                      <w:szCs w:val="21"/>
                    </w:rPr>
                  </w:pPr>
                  <w:r>
                    <w:rPr>
                      <w:szCs w:val="21"/>
                    </w:rPr>
                    <w:t>0.079</w:t>
                  </w:r>
                </w:p>
              </w:tc>
              <w:tc>
                <w:tcPr>
                  <w:tcW w:w="689" w:type="pct"/>
                  <w:vAlign w:val="center"/>
                </w:tcPr>
                <w:p w14:paraId="520ABCD5">
                  <w:pPr>
                    <w:widowControl/>
                    <w:adjustRightInd w:val="0"/>
                    <w:snapToGrid w:val="0"/>
                    <w:jc w:val="center"/>
                    <w:rPr>
                      <w:kern w:val="0"/>
                      <w:szCs w:val="21"/>
                    </w:rPr>
                  </w:pPr>
                  <w:r>
                    <w:rPr>
                      <w:szCs w:val="21"/>
                    </w:rPr>
                    <w:t>0.00171</w:t>
                  </w:r>
                </w:p>
              </w:tc>
              <w:tc>
                <w:tcPr>
                  <w:tcW w:w="771" w:type="pct"/>
                  <w:vMerge w:val="continue"/>
                  <w:vAlign w:val="center"/>
                </w:tcPr>
                <w:p w14:paraId="520ABCD6">
                  <w:pPr>
                    <w:widowControl/>
                    <w:adjustRightInd w:val="0"/>
                    <w:snapToGrid w:val="0"/>
                    <w:jc w:val="center"/>
                    <w:rPr>
                      <w:szCs w:val="21"/>
                    </w:rPr>
                  </w:pPr>
                </w:p>
              </w:tc>
              <w:tc>
                <w:tcPr>
                  <w:tcW w:w="770" w:type="pct"/>
                  <w:vAlign w:val="center"/>
                </w:tcPr>
                <w:p w14:paraId="520ABCD7">
                  <w:pPr>
                    <w:widowControl/>
                    <w:adjustRightInd w:val="0"/>
                    <w:snapToGrid w:val="0"/>
                    <w:jc w:val="center"/>
                    <w:rPr>
                      <w:szCs w:val="21"/>
                    </w:rPr>
                  </w:pPr>
                  <w:r>
                    <w:rPr>
                      <w:rFonts w:eastAsia="等线"/>
                      <w:szCs w:val="21"/>
                    </w:rPr>
                    <w:t>0.000</w:t>
                  </w:r>
                  <w:r>
                    <w:rPr>
                      <w:rFonts w:hint="eastAsia" w:eastAsia="等线"/>
                      <w:szCs w:val="21"/>
                    </w:rPr>
                    <w:t>5</w:t>
                  </w:r>
                </w:p>
              </w:tc>
            </w:tr>
            <w:tr w14:paraId="520ABCE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restart"/>
                  <w:vAlign w:val="center"/>
                </w:tcPr>
                <w:p w14:paraId="520ABCD9">
                  <w:pPr>
                    <w:adjustRightInd w:val="0"/>
                    <w:snapToGrid w:val="0"/>
                    <w:jc w:val="center"/>
                    <w:rPr>
                      <w:kern w:val="0"/>
                      <w:szCs w:val="21"/>
                    </w:rPr>
                  </w:pPr>
                  <w:r>
                    <w:rPr>
                      <w:rFonts w:hint="eastAsia"/>
                      <w:kern w:val="0"/>
                      <w:szCs w:val="21"/>
                    </w:rPr>
                    <w:t>2025.4.28</w:t>
                  </w:r>
                </w:p>
              </w:tc>
              <w:tc>
                <w:tcPr>
                  <w:tcW w:w="294" w:type="pct"/>
                  <w:vAlign w:val="center"/>
                </w:tcPr>
                <w:p w14:paraId="520ABCDA">
                  <w:pPr>
                    <w:widowControl/>
                    <w:adjustRightInd w:val="0"/>
                    <w:snapToGrid w:val="0"/>
                    <w:jc w:val="center"/>
                    <w:rPr>
                      <w:kern w:val="0"/>
                      <w:szCs w:val="21"/>
                    </w:rPr>
                  </w:pPr>
                  <w:r>
                    <w:rPr>
                      <w:kern w:val="0"/>
                      <w:szCs w:val="21"/>
                    </w:rPr>
                    <w:t>DA012</w:t>
                  </w:r>
                </w:p>
              </w:tc>
              <w:tc>
                <w:tcPr>
                  <w:tcW w:w="440" w:type="pct"/>
                  <w:vAlign w:val="center"/>
                </w:tcPr>
                <w:p w14:paraId="520ABCDB">
                  <w:pPr>
                    <w:widowControl/>
                    <w:adjustRightInd w:val="0"/>
                    <w:snapToGrid w:val="0"/>
                    <w:jc w:val="center"/>
                    <w:rPr>
                      <w:kern w:val="0"/>
                      <w:szCs w:val="21"/>
                    </w:rPr>
                  </w:pPr>
                  <w:r>
                    <w:rPr>
                      <w:kern w:val="0"/>
                      <w:szCs w:val="21"/>
                    </w:rPr>
                    <w:t>非甲烷总烃</w:t>
                  </w:r>
                </w:p>
              </w:tc>
              <w:tc>
                <w:tcPr>
                  <w:tcW w:w="402" w:type="pct"/>
                  <w:vAlign w:val="center"/>
                </w:tcPr>
                <w:p w14:paraId="520ABCDC">
                  <w:pPr>
                    <w:widowControl/>
                    <w:adjustRightInd w:val="0"/>
                    <w:snapToGrid w:val="0"/>
                    <w:jc w:val="center"/>
                    <w:rPr>
                      <w:kern w:val="0"/>
                      <w:szCs w:val="21"/>
                    </w:rPr>
                  </w:pPr>
                  <w:r>
                    <w:rPr>
                      <w:szCs w:val="21"/>
                    </w:rPr>
                    <w:t>研磨、废乳化液暂存、手工清洗</w:t>
                  </w:r>
                </w:p>
              </w:tc>
              <w:tc>
                <w:tcPr>
                  <w:tcW w:w="480" w:type="pct"/>
                  <w:vAlign w:val="center"/>
                </w:tcPr>
                <w:p w14:paraId="520ABCDD">
                  <w:pPr>
                    <w:widowControl/>
                    <w:adjustRightInd w:val="0"/>
                    <w:snapToGrid w:val="0"/>
                    <w:jc w:val="center"/>
                    <w:rPr>
                      <w:kern w:val="0"/>
                      <w:szCs w:val="21"/>
                    </w:rPr>
                  </w:pPr>
                  <w:r>
                    <w:rPr>
                      <w:szCs w:val="21"/>
                    </w:rPr>
                    <w:t>9130</w:t>
                  </w:r>
                </w:p>
              </w:tc>
              <w:tc>
                <w:tcPr>
                  <w:tcW w:w="786" w:type="pct"/>
                  <w:vAlign w:val="center"/>
                </w:tcPr>
                <w:p w14:paraId="520ABCDE">
                  <w:pPr>
                    <w:widowControl/>
                    <w:adjustRightInd w:val="0"/>
                    <w:snapToGrid w:val="0"/>
                    <w:jc w:val="center"/>
                    <w:rPr>
                      <w:kern w:val="0"/>
                      <w:szCs w:val="21"/>
                    </w:rPr>
                  </w:pPr>
                  <w:r>
                    <w:rPr>
                      <w:szCs w:val="21"/>
                    </w:rPr>
                    <w:t>4.12</w:t>
                  </w:r>
                </w:p>
              </w:tc>
              <w:tc>
                <w:tcPr>
                  <w:tcW w:w="689" w:type="pct"/>
                  <w:vAlign w:val="center"/>
                </w:tcPr>
                <w:p w14:paraId="520ABCDF">
                  <w:pPr>
                    <w:widowControl/>
                    <w:adjustRightInd w:val="0"/>
                    <w:snapToGrid w:val="0"/>
                    <w:jc w:val="center"/>
                    <w:rPr>
                      <w:kern w:val="0"/>
                      <w:szCs w:val="21"/>
                    </w:rPr>
                  </w:pPr>
                  <w:r>
                    <w:rPr>
                      <w:szCs w:val="21"/>
                    </w:rPr>
                    <w:t>0.038</w:t>
                  </w:r>
                </w:p>
              </w:tc>
              <w:tc>
                <w:tcPr>
                  <w:tcW w:w="771" w:type="pct"/>
                  <w:vAlign w:val="center"/>
                </w:tcPr>
                <w:p w14:paraId="520ABCE0">
                  <w:pPr>
                    <w:widowControl/>
                    <w:adjustRightInd w:val="0"/>
                    <w:snapToGrid w:val="0"/>
                    <w:jc w:val="center"/>
                    <w:rPr>
                      <w:szCs w:val="21"/>
                    </w:rPr>
                  </w:pPr>
                  <w:r>
                    <w:rPr>
                      <w:rFonts w:hint="eastAsia"/>
                      <w:szCs w:val="21"/>
                    </w:rPr>
                    <w:t>1000</w:t>
                  </w:r>
                </w:p>
              </w:tc>
              <w:tc>
                <w:tcPr>
                  <w:tcW w:w="770" w:type="pct"/>
                  <w:vAlign w:val="center"/>
                </w:tcPr>
                <w:p w14:paraId="520ABCE1">
                  <w:pPr>
                    <w:widowControl/>
                    <w:adjustRightInd w:val="0"/>
                    <w:snapToGrid w:val="0"/>
                    <w:jc w:val="center"/>
                    <w:rPr>
                      <w:szCs w:val="21"/>
                    </w:rPr>
                  </w:pPr>
                  <w:r>
                    <w:rPr>
                      <w:rFonts w:eastAsia="等线"/>
                      <w:szCs w:val="21"/>
                    </w:rPr>
                    <w:t>0.2533</w:t>
                  </w:r>
                </w:p>
              </w:tc>
            </w:tr>
            <w:tr w14:paraId="520ABCE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E3">
                  <w:pPr>
                    <w:adjustRightInd w:val="0"/>
                    <w:snapToGrid w:val="0"/>
                    <w:jc w:val="center"/>
                    <w:rPr>
                      <w:kern w:val="0"/>
                      <w:szCs w:val="21"/>
                    </w:rPr>
                  </w:pPr>
                </w:p>
              </w:tc>
              <w:tc>
                <w:tcPr>
                  <w:tcW w:w="294" w:type="pct"/>
                  <w:vAlign w:val="center"/>
                </w:tcPr>
                <w:p w14:paraId="520ABCE4">
                  <w:pPr>
                    <w:widowControl/>
                    <w:adjustRightInd w:val="0"/>
                    <w:snapToGrid w:val="0"/>
                    <w:jc w:val="center"/>
                    <w:rPr>
                      <w:kern w:val="0"/>
                      <w:szCs w:val="21"/>
                    </w:rPr>
                  </w:pPr>
                  <w:r>
                    <w:rPr>
                      <w:kern w:val="0"/>
                      <w:szCs w:val="21"/>
                    </w:rPr>
                    <w:t>DA013</w:t>
                  </w:r>
                </w:p>
              </w:tc>
              <w:tc>
                <w:tcPr>
                  <w:tcW w:w="440" w:type="pct"/>
                  <w:vAlign w:val="center"/>
                </w:tcPr>
                <w:p w14:paraId="520ABCE5">
                  <w:pPr>
                    <w:widowControl/>
                    <w:adjustRightInd w:val="0"/>
                    <w:snapToGrid w:val="0"/>
                    <w:jc w:val="center"/>
                    <w:rPr>
                      <w:kern w:val="0"/>
                      <w:szCs w:val="21"/>
                    </w:rPr>
                  </w:pPr>
                  <w:r>
                    <w:rPr>
                      <w:kern w:val="0"/>
                      <w:szCs w:val="21"/>
                    </w:rPr>
                    <w:t>非甲烷总烃</w:t>
                  </w:r>
                </w:p>
              </w:tc>
              <w:tc>
                <w:tcPr>
                  <w:tcW w:w="402" w:type="pct"/>
                  <w:vAlign w:val="center"/>
                </w:tcPr>
                <w:p w14:paraId="520ABCE6">
                  <w:pPr>
                    <w:widowControl/>
                    <w:adjustRightInd w:val="0"/>
                    <w:snapToGrid w:val="0"/>
                    <w:jc w:val="center"/>
                    <w:rPr>
                      <w:kern w:val="0"/>
                      <w:szCs w:val="21"/>
                    </w:rPr>
                  </w:pPr>
                  <w:r>
                    <w:rPr>
                      <w:szCs w:val="21"/>
                    </w:rPr>
                    <w:t>实验间、手工装配、手工清洗</w:t>
                  </w:r>
                </w:p>
              </w:tc>
              <w:tc>
                <w:tcPr>
                  <w:tcW w:w="480" w:type="pct"/>
                  <w:vAlign w:val="center"/>
                </w:tcPr>
                <w:p w14:paraId="520ABCE7">
                  <w:pPr>
                    <w:widowControl/>
                    <w:adjustRightInd w:val="0"/>
                    <w:snapToGrid w:val="0"/>
                    <w:jc w:val="center"/>
                    <w:rPr>
                      <w:kern w:val="0"/>
                      <w:szCs w:val="21"/>
                    </w:rPr>
                  </w:pPr>
                  <w:r>
                    <w:rPr>
                      <w:szCs w:val="21"/>
                    </w:rPr>
                    <w:t>24200</w:t>
                  </w:r>
                </w:p>
              </w:tc>
              <w:tc>
                <w:tcPr>
                  <w:tcW w:w="786" w:type="pct"/>
                  <w:vAlign w:val="center"/>
                </w:tcPr>
                <w:p w14:paraId="520ABCE8">
                  <w:pPr>
                    <w:widowControl/>
                    <w:adjustRightInd w:val="0"/>
                    <w:snapToGrid w:val="0"/>
                    <w:jc w:val="center"/>
                    <w:rPr>
                      <w:kern w:val="0"/>
                      <w:szCs w:val="21"/>
                    </w:rPr>
                  </w:pPr>
                  <w:r>
                    <w:rPr>
                      <w:szCs w:val="21"/>
                    </w:rPr>
                    <w:t>4.28</w:t>
                  </w:r>
                </w:p>
              </w:tc>
              <w:tc>
                <w:tcPr>
                  <w:tcW w:w="689" w:type="pct"/>
                  <w:vAlign w:val="center"/>
                </w:tcPr>
                <w:p w14:paraId="520ABCE9">
                  <w:pPr>
                    <w:widowControl/>
                    <w:adjustRightInd w:val="0"/>
                    <w:snapToGrid w:val="0"/>
                    <w:jc w:val="center"/>
                    <w:rPr>
                      <w:kern w:val="0"/>
                      <w:szCs w:val="21"/>
                    </w:rPr>
                  </w:pPr>
                  <w:r>
                    <w:rPr>
                      <w:szCs w:val="21"/>
                    </w:rPr>
                    <w:t>0.102</w:t>
                  </w:r>
                </w:p>
              </w:tc>
              <w:tc>
                <w:tcPr>
                  <w:tcW w:w="771" w:type="pct"/>
                  <w:vAlign w:val="center"/>
                </w:tcPr>
                <w:p w14:paraId="520ABCEA">
                  <w:pPr>
                    <w:widowControl/>
                    <w:adjustRightInd w:val="0"/>
                    <w:snapToGrid w:val="0"/>
                    <w:jc w:val="center"/>
                    <w:rPr>
                      <w:szCs w:val="21"/>
                    </w:rPr>
                  </w:pPr>
                  <w:r>
                    <w:rPr>
                      <w:rFonts w:hint="eastAsia"/>
                      <w:szCs w:val="21"/>
                    </w:rPr>
                    <w:t>1000</w:t>
                  </w:r>
                </w:p>
              </w:tc>
              <w:tc>
                <w:tcPr>
                  <w:tcW w:w="770" w:type="pct"/>
                  <w:vAlign w:val="center"/>
                </w:tcPr>
                <w:p w14:paraId="520ABCEB">
                  <w:pPr>
                    <w:widowControl/>
                    <w:adjustRightInd w:val="0"/>
                    <w:snapToGrid w:val="0"/>
                    <w:jc w:val="center"/>
                    <w:rPr>
                      <w:szCs w:val="21"/>
                    </w:rPr>
                  </w:pPr>
                  <w:r>
                    <w:rPr>
                      <w:rFonts w:hint="eastAsia"/>
                      <w:szCs w:val="21"/>
                    </w:rPr>
                    <w:t>0.68</w:t>
                  </w:r>
                </w:p>
              </w:tc>
            </w:tr>
            <w:tr w14:paraId="520ABCF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CED">
                  <w:pPr>
                    <w:adjustRightInd w:val="0"/>
                    <w:snapToGrid w:val="0"/>
                    <w:jc w:val="center"/>
                    <w:rPr>
                      <w:kern w:val="0"/>
                      <w:szCs w:val="21"/>
                    </w:rPr>
                  </w:pPr>
                </w:p>
              </w:tc>
              <w:tc>
                <w:tcPr>
                  <w:tcW w:w="294" w:type="pct"/>
                  <w:vAlign w:val="center"/>
                </w:tcPr>
                <w:p w14:paraId="520ABCEE">
                  <w:pPr>
                    <w:widowControl/>
                    <w:adjustRightInd w:val="0"/>
                    <w:snapToGrid w:val="0"/>
                    <w:jc w:val="center"/>
                    <w:rPr>
                      <w:kern w:val="0"/>
                      <w:szCs w:val="21"/>
                    </w:rPr>
                  </w:pPr>
                  <w:r>
                    <w:rPr>
                      <w:kern w:val="0"/>
                      <w:szCs w:val="21"/>
                    </w:rPr>
                    <w:t>DA016</w:t>
                  </w:r>
                </w:p>
              </w:tc>
              <w:tc>
                <w:tcPr>
                  <w:tcW w:w="440" w:type="pct"/>
                  <w:vAlign w:val="center"/>
                </w:tcPr>
                <w:p w14:paraId="520ABCEF">
                  <w:pPr>
                    <w:widowControl/>
                    <w:adjustRightInd w:val="0"/>
                    <w:snapToGrid w:val="0"/>
                    <w:jc w:val="center"/>
                    <w:rPr>
                      <w:kern w:val="0"/>
                      <w:szCs w:val="21"/>
                    </w:rPr>
                  </w:pPr>
                  <w:r>
                    <w:rPr>
                      <w:kern w:val="0"/>
                      <w:szCs w:val="21"/>
                    </w:rPr>
                    <w:t>非甲烷总烃</w:t>
                  </w:r>
                </w:p>
              </w:tc>
              <w:tc>
                <w:tcPr>
                  <w:tcW w:w="402" w:type="pct"/>
                  <w:vAlign w:val="center"/>
                </w:tcPr>
                <w:p w14:paraId="520ABCF0">
                  <w:pPr>
                    <w:widowControl/>
                    <w:adjustRightInd w:val="0"/>
                    <w:snapToGrid w:val="0"/>
                    <w:jc w:val="center"/>
                    <w:rPr>
                      <w:kern w:val="0"/>
                      <w:szCs w:val="21"/>
                    </w:rPr>
                  </w:pPr>
                  <w:r>
                    <w:rPr>
                      <w:szCs w:val="21"/>
                    </w:rPr>
                    <w:t>危废贮存</w:t>
                  </w:r>
                </w:p>
              </w:tc>
              <w:tc>
                <w:tcPr>
                  <w:tcW w:w="480" w:type="pct"/>
                  <w:vAlign w:val="center"/>
                </w:tcPr>
                <w:p w14:paraId="520ABCF1">
                  <w:pPr>
                    <w:widowControl/>
                    <w:adjustRightInd w:val="0"/>
                    <w:snapToGrid w:val="0"/>
                    <w:jc w:val="center"/>
                    <w:rPr>
                      <w:kern w:val="0"/>
                      <w:szCs w:val="21"/>
                    </w:rPr>
                  </w:pPr>
                  <w:r>
                    <w:rPr>
                      <w:szCs w:val="21"/>
                    </w:rPr>
                    <w:t>2470</w:t>
                  </w:r>
                </w:p>
              </w:tc>
              <w:tc>
                <w:tcPr>
                  <w:tcW w:w="786" w:type="pct"/>
                  <w:vAlign w:val="center"/>
                </w:tcPr>
                <w:p w14:paraId="520ABCF2">
                  <w:pPr>
                    <w:widowControl/>
                    <w:adjustRightInd w:val="0"/>
                    <w:snapToGrid w:val="0"/>
                    <w:jc w:val="center"/>
                    <w:rPr>
                      <w:kern w:val="0"/>
                      <w:szCs w:val="21"/>
                    </w:rPr>
                  </w:pPr>
                  <w:r>
                    <w:rPr>
                      <w:szCs w:val="21"/>
                    </w:rPr>
                    <w:t>3.17</w:t>
                  </w:r>
                </w:p>
              </w:tc>
              <w:tc>
                <w:tcPr>
                  <w:tcW w:w="689" w:type="pct"/>
                  <w:vAlign w:val="center"/>
                </w:tcPr>
                <w:p w14:paraId="520ABCF3">
                  <w:pPr>
                    <w:widowControl/>
                    <w:adjustRightInd w:val="0"/>
                    <w:snapToGrid w:val="0"/>
                    <w:jc w:val="center"/>
                    <w:rPr>
                      <w:kern w:val="0"/>
                      <w:szCs w:val="21"/>
                    </w:rPr>
                  </w:pPr>
                  <w:r>
                    <w:rPr>
                      <w:szCs w:val="21"/>
                    </w:rPr>
                    <w:t>0.00766</w:t>
                  </w:r>
                </w:p>
              </w:tc>
              <w:tc>
                <w:tcPr>
                  <w:tcW w:w="771" w:type="pct"/>
                  <w:vAlign w:val="center"/>
                </w:tcPr>
                <w:p w14:paraId="520ABCF4">
                  <w:pPr>
                    <w:widowControl/>
                    <w:adjustRightInd w:val="0"/>
                    <w:snapToGrid w:val="0"/>
                    <w:jc w:val="center"/>
                    <w:rPr>
                      <w:szCs w:val="21"/>
                    </w:rPr>
                  </w:pPr>
                  <w:r>
                    <w:rPr>
                      <w:rFonts w:hint="eastAsia"/>
                      <w:szCs w:val="21"/>
                    </w:rPr>
                    <w:t>6000</w:t>
                  </w:r>
                </w:p>
              </w:tc>
              <w:tc>
                <w:tcPr>
                  <w:tcW w:w="770" w:type="pct"/>
                  <w:vAlign w:val="center"/>
                </w:tcPr>
                <w:p w14:paraId="520ABCF5">
                  <w:pPr>
                    <w:widowControl/>
                    <w:adjustRightInd w:val="0"/>
                    <w:snapToGrid w:val="0"/>
                    <w:jc w:val="center"/>
                    <w:rPr>
                      <w:szCs w:val="21"/>
                    </w:rPr>
                  </w:pPr>
                  <w:r>
                    <w:rPr>
                      <w:rFonts w:eastAsia="等线"/>
                      <w:szCs w:val="21"/>
                    </w:rPr>
                    <w:t>0.046</w:t>
                  </w:r>
                </w:p>
              </w:tc>
            </w:tr>
            <w:tr w14:paraId="520ABD0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restart"/>
                  <w:vAlign w:val="center"/>
                </w:tcPr>
                <w:p w14:paraId="520ABCF7">
                  <w:pPr>
                    <w:adjustRightInd w:val="0"/>
                    <w:snapToGrid w:val="0"/>
                    <w:jc w:val="center"/>
                    <w:rPr>
                      <w:kern w:val="0"/>
                      <w:szCs w:val="21"/>
                    </w:rPr>
                  </w:pPr>
                  <w:r>
                    <w:rPr>
                      <w:rFonts w:hint="eastAsia"/>
                      <w:kern w:val="0"/>
                      <w:szCs w:val="21"/>
                    </w:rPr>
                    <w:t>2025.4.25</w:t>
                  </w:r>
                </w:p>
              </w:tc>
              <w:tc>
                <w:tcPr>
                  <w:tcW w:w="294" w:type="pct"/>
                  <w:vMerge w:val="restart"/>
                  <w:vAlign w:val="center"/>
                </w:tcPr>
                <w:p w14:paraId="520ABCF8">
                  <w:pPr>
                    <w:widowControl/>
                    <w:adjustRightInd w:val="0"/>
                    <w:snapToGrid w:val="0"/>
                    <w:jc w:val="center"/>
                    <w:rPr>
                      <w:kern w:val="0"/>
                      <w:szCs w:val="21"/>
                    </w:rPr>
                  </w:pPr>
                  <w:r>
                    <w:rPr>
                      <w:kern w:val="0"/>
                      <w:szCs w:val="21"/>
                    </w:rPr>
                    <w:t>DA017</w:t>
                  </w:r>
                </w:p>
              </w:tc>
              <w:tc>
                <w:tcPr>
                  <w:tcW w:w="440" w:type="pct"/>
                  <w:vAlign w:val="center"/>
                </w:tcPr>
                <w:p w14:paraId="520ABCF9">
                  <w:pPr>
                    <w:widowControl/>
                    <w:adjustRightInd w:val="0"/>
                    <w:snapToGrid w:val="0"/>
                    <w:jc w:val="center"/>
                    <w:rPr>
                      <w:kern w:val="0"/>
                      <w:szCs w:val="21"/>
                    </w:rPr>
                  </w:pPr>
                  <w:r>
                    <w:rPr>
                      <w:kern w:val="0"/>
                      <w:szCs w:val="21"/>
                    </w:rPr>
                    <w:t>硫酸雾</w:t>
                  </w:r>
                </w:p>
              </w:tc>
              <w:tc>
                <w:tcPr>
                  <w:tcW w:w="402" w:type="pct"/>
                  <w:vMerge w:val="restart"/>
                  <w:vAlign w:val="center"/>
                </w:tcPr>
                <w:p w14:paraId="520ABCFA">
                  <w:pPr>
                    <w:widowControl/>
                    <w:adjustRightInd w:val="0"/>
                    <w:snapToGrid w:val="0"/>
                    <w:jc w:val="center"/>
                    <w:rPr>
                      <w:kern w:val="0"/>
                      <w:szCs w:val="21"/>
                    </w:rPr>
                  </w:pPr>
                  <w:r>
                    <w:rPr>
                      <w:kern w:val="0"/>
                      <w:szCs w:val="21"/>
                    </w:rPr>
                    <w:t>电镀污水处理站废气处理设施</w:t>
                  </w:r>
                </w:p>
              </w:tc>
              <w:tc>
                <w:tcPr>
                  <w:tcW w:w="480" w:type="pct"/>
                  <w:vMerge w:val="restart"/>
                  <w:vAlign w:val="center"/>
                </w:tcPr>
                <w:p w14:paraId="520ABCFB">
                  <w:pPr>
                    <w:widowControl/>
                    <w:adjustRightInd w:val="0"/>
                    <w:snapToGrid w:val="0"/>
                    <w:jc w:val="center"/>
                    <w:rPr>
                      <w:kern w:val="0"/>
                      <w:szCs w:val="21"/>
                    </w:rPr>
                  </w:pPr>
                  <w:r>
                    <w:rPr>
                      <w:szCs w:val="21"/>
                    </w:rPr>
                    <w:t>6030</w:t>
                  </w:r>
                </w:p>
              </w:tc>
              <w:tc>
                <w:tcPr>
                  <w:tcW w:w="786" w:type="pct"/>
                  <w:vAlign w:val="center"/>
                </w:tcPr>
                <w:p w14:paraId="520ABCFC">
                  <w:pPr>
                    <w:widowControl/>
                    <w:adjustRightInd w:val="0"/>
                    <w:snapToGrid w:val="0"/>
                    <w:jc w:val="center"/>
                    <w:rPr>
                      <w:kern w:val="0"/>
                      <w:szCs w:val="21"/>
                    </w:rPr>
                  </w:pPr>
                  <w:r>
                    <w:rPr>
                      <w:kern w:val="0"/>
                      <w:szCs w:val="21"/>
                    </w:rPr>
                    <w:t>6.24</w:t>
                  </w:r>
                </w:p>
              </w:tc>
              <w:tc>
                <w:tcPr>
                  <w:tcW w:w="689" w:type="pct"/>
                  <w:vAlign w:val="center"/>
                </w:tcPr>
                <w:p w14:paraId="520ABCFD">
                  <w:pPr>
                    <w:widowControl/>
                    <w:adjustRightInd w:val="0"/>
                    <w:snapToGrid w:val="0"/>
                    <w:jc w:val="center"/>
                    <w:rPr>
                      <w:kern w:val="0"/>
                      <w:szCs w:val="21"/>
                    </w:rPr>
                  </w:pPr>
                  <w:r>
                    <w:rPr>
                      <w:kern w:val="0"/>
                      <w:szCs w:val="21"/>
                    </w:rPr>
                    <w:t>0.075</w:t>
                  </w:r>
                </w:p>
              </w:tc>
              <w:tc>
                <w:tcPr>
                  <w:tcW w:w="771" w:type="pct"/>
                  <w:vMerge w:val="restart"/>
                  <w:vAlign w:val="center"/>
                </w:tcPr>
                <w:p w14:paraId="520ABCFE">
                  <w:pPr>
                    <w:widowControl/>
                    <w:adjustRightInd w:val="0"/>
                    <w:snapToGrid w:val="0"/>
                    <w:jc w:val="center"/>
                    <w:rPr>
                      <w:kern w:val="0"/>
                      <w:szCs w:val="21"/>
                    </w:rPr>
                  </w:pPr>
                  <w:r>
                    <w:rPr>
                      <w:rFonts w:hint="eastAsia"/>
                      <w:kern w:val="0"/>
                      <w:szCs w:val="21"/>
                    </w:rPr>
                    <w:t>2000</w:t>
                  </w:r>
                </w:p>
              </w:tc>
              <w:tc>
                <w:tcPr>
                  <w:tcW w:w="770" w:type="pct"/>
                  <w:vAlign w:val="center"/>
                </w:tcPr>
                <w:p w14:paraId="520ABCFF">
                  <w:pPr>
                    <w:widowControl/>
                    <w:adjustRightInd w:val="0"/>
                    <w:snapToGrid w:val="0"/>
                    <w:jc w:val="center"/>
                    <w:rPr>
                      <w:kern w:val="0"/>
                      <w:szCs w:val="21"/>
                    </w:rPr>
                  </w:pPr>
                  <w:r>
                    <w:rPr>
                      <w:rFonts w:eastAsia="等线"/>
                      <w:szCs w:val="21"/>
                    </w:rPr>
                    <w:t>0.008</w:t>
                  </w:r>
                </w:p>
              </w:tc>
            </w:tr>
            <w:tr w14:paraId="520ABD0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01">
                  <w:pPr>
                    <w:adjustRightInd w:val="0"/>
                    <w:snapToGrid w:val="0"/>
                    <w:jc w:val="center"/>
                    <w:rPr>
                      <w:kern w:val="0"/>
                      <w:szCs w:val="21"/>
                    </w:rPr>
                  </w:pPr>
                </w:p>
              </w:tc>
              <w:tc>
                <w:tcPr>
                  <w:tcW w:w="294" w:type="pct"/>
                  <w:vMerge w:val="continue"/>
                  <w:vAlign w:val="center"/>
                </w:tcPr>
                <w:p w14:paraId="520ABD02">
                  <w:pPr>
                    <w:widowControl/>
                    <w:adjustRightInd w:val="0"/>
                    <w:snapToGrid w:val="0"/>
                    <w:jc w:val="center"/>
                    <w:rPr>
                      <w:kern w:val="0"/>
                      <w:szCs w:val="21"/>
                    </w:rPr>
                  </w:pPr>
                </w:p>
              </w:tc>
              <w:tc>
                <w:tcPr>
                  <w:tcW w:w="440" w:type="pct"/>
                  <w:vAlign w:val="center"/>
                </w:tcPr>
                <w:p w14:paraId="520ABD03">
                  <w:pPr>
                    <w:widowControl/>
                    <w:adjustRightInd w:val="0"/>
                    <w:snapToGrid w:val="0"/>
                    <w:jc w:val="center"/>
                    <w:rPr>
                      <w:kern w:val="0"/>
                      <w:szCs w:val="21"/>
                    </w:rPr>
                  </w:pPr>
                  <w:r>
                    <w:rPr>
                      <w:kern w:val="0"/>
                      <w:szCs w:val="21"/>
                    </w:rPr>
                    <w:t>氯化氢</w:t>
                  </w:r>
                </w:p>
              </w:tc>
              <w:tc>
                <w:tcPr>
                  <w:tcW w:w="402" w:type="pct"/>
                  <w:vMerge w:val="continue"/>
                  <w:vAlign w:val="center"/>
                </w:tcPr>
                <w:p w14:paraId="520ABD04">
                  <w:pPr>
                    <w:widowControl/>
                    <w:adjustRightInd w:val="0"/>
                    <w:snapToGrid w:val="0"/>
                    <w:jc w:val="center"/>
                    <w:rPr>
                      <w:kern w:val="0"/>
                      <w:szCs w:val="21"/>
                    </w:rPr>
                  </w:pPr>
                </w:p>
              </w:tc>
              <w:tc>
                <w:tcPr>
                  <w:tcW w:w="480" w:type="pct"/>
                  <w:vMerge w:val="continue"/>
                  <w:vAlign w:val="center"/>
                </w:tcPr>
                <w:p w14:paraId="520ABD05">
                  <w:pPr>
                    <w:widowControl/>
                    <w:adjustRightInd w:val="0"/>
                    <w:snapToGrid w:val="0"/>
                    <w:jc w:val="center"/>
                    <w:rPr>
                      <w:kern w:val="0"/>
                      <w:szCs w:val="21"/>
                    </w:rPr>
                  </w:pPr>
                </w:p>
              </w:tc>
              <w:tc>
                <w:tcPr>
                  <w:tcW w:w="786" w:type="pct"/>
                  <w:vAlign w:val="center"/>
                </w:tcPr>
                <w:p w14:paraId="520ABD06">
                  <w:pPr>
                    <w:widowControl/>
                    <w:adjustRightInd w:val="0"/>
                    <w:snapToGrid w:val="0"/>
                    <w:jc w:val="center"/>
                    <w:rPr>
                      <w:kern w:val="0"/>
                      <w:szCs w:val="21"/>
                    </w:rPr>
                  </w:pPr>
                  <w:r>
                    <w:rPr>
                      <w:kern w:val="0"/>
                      <w:szCs w:val="21"/>
                    </w:rPr>
                    <w:t>4.7</w:t>
                  </w:r>
                </w:p>
              </w:tc>
              <w:tc>
                <w:tcPr>
                  <w:tcW w:w="689" w:type="pct"/>
                  <w:vAlign w:val="center"/>
                </w:tcPr>
                <w:p w14:paraId="520ABD07">
                  <w:pPr>
                    <w:widowControl/>
                    <w:adjustRightInd w:val="0"/>
                    <w:snapToGrid w:val="0"/>
                    <w:jc w:val="center"/>
                    <w:rPr>
                      <w:kern w:val="0"/>
                      <w:szCs w:val="21"/>
                    </w:rPr>
                  </w:pPr>
                  <w:r>
                    <w:rPr>
                      <w:kern w:val="0"/>
                      <w:szCs w:val="21"/>
                    </w:rPr>
                    <w:t>0.056</w:t>
                  </w:r>
                </w:p>
              </w:tc>
              <w:tc>
                <w:tcPr>
                  <w:tcW w:w="771" w:type="pct"/>
                  <w:vMerge w:val="continue"/>
                  <w:vAlign w:val="center"/>
                </w:tcPr>
                <w:p w14:paraId="520ABD08">
                  <w:pPr>
                    <w:widowControl/>
                    <w:adjustRightInd w:val="0"/>
                    <w:snapToGrid w:val="0"/>
                    <w:jc w:val="center"/>
                    <w:rPr>
                      <w:kern w:val="0"/>
                      <w:szCs w:val="21"/>
                    </w:rPr>
                  </w:pPr>
                </w:p>
              </w:tc>
              <w:tc>
                <w:tcPr>
                  <w:tcW w:w="770" w:type="pct"/>
                  <w:vAlign w:val="center"/>
                </w:tcPr>
                <w:p w14:paraId="520ABD09">
                  <w:pPr>
                    <w:widowControl/>
                    <w:adjustRightInd w:val="0"/>
                    <w:snapToGrid w:val="0"/>
                    <w:jc w:val="center"/>
                    <w:rPr>
                      <w:kern w:val="0"/>
                      <w:szCs w:val="21"/>
                    </w:rPr>
                  </w:pPr>
                  <w:r>
                    <w:rPr>
                      <w:rFonts w:eastAsia="等线"/>
                      <w:szCs w:val="21"/>
                    </w:rPr>
                    <w:t>0.0069</w:t>
                  </w:r>
                </w:p>
              </w:tc>
            </w:tr>
            <w:tr w14:paraId="520ABD1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0B">
                  <w:pPr>
                    <w:adjustRightInd w:val="0"/>
                    <w:snapToGrid w:val="0"/>
                    <w:jc w:val="center"/>
                    <w:rPr>
                      <w:kern w:val="0"/>
                      <w:szCs w:val="21"/>
                    </w:rPr>
                  </w:pPr>
                </w:p>
              </w:tc>
              <w:tc>
                <w:tcPr>
                  <w:tcW w:w="294" w:type="pct"/>
                  <w:vMerge w:val="continue"/>
                  <w:vAlign w:val="center"/>
                </w:tcPr>
                <w:p w14:paraId="520ABD0C">
                  <w:pPr>
                    <w:widowControl/>
                    <w:adjustRightInd w:val="0"/>
                    <w:snapToGrid w:val="0"/>
                    <w:jc w:val="center"/>
                    <w:rPr>
                      <w:kern w:val="0"/>
                      <w:szCs w:val="21"/>
                    </w:rPr>
                  </w:pPr>
                </w:p>
              </w:tc>
              <w:tc>
                <w:tcPr>
                  <w:tcW w:w="440" w:type="pct"/>
                  <w:vAlign w:val="center"/>
                </w:tcPr>
                <w:p w14:paraId="520ABD0D">
                  <w:pPr>
                    <w:widowControl/>
                    <w:adjustRightInd w:val="0"/>
                    <w:snapToGrid w:val="0"/>
                    <w:jc w:val="center"/>
                    <w:rPr>
                      <w:kern w:val="0"/>
                      <w:szCs w:val="21"/>
                    </w:rPr>
                  </w:pPr>
                  <w:r>
                    <w:rPr>
                      <w:kern w:val="0"/>
                      <w:szCs w:val="21"/>
                    </w:rPr>
                    <w:t>氰化氢</w:t>
                  </w:r>
                </w:p>
              </w:tc>
              <w:tc>
                <w:tcPr>
                  <w:tcW w:w="402" w:type="pct"/>
                  <w:vMerge w:val="continue"/>
                  <w:vAlign w:val="center"/>
                </w:tcPr>
                <w:p w14:paraId="520ABD0E">
                  <w:pPr>
                    <w:widowControl/>
                    <w:adjustRightInd w:val="0"/>
                    <w:snapToGrid w:val="0"/>
                    <w:jc w:val="center"/>
                    <w:rPr>
                      <w:kern w:val="0"/>
                      <w:szCs w:val="21"/>
                    </w:rPr>
                  </w:pPr>
                </w:p>
              </w:tc>
              <w:tc>
                <w:tcPr>
                  <w:tcW w:w="480" w:type="pct"/>
                  <w:vMerge w:val="continue"/>
                  <w:vAlign w:val="center"/>
                </w:tcPr>
                <w:p w14:paraId="520ABD0F">
                  <w:pPr>
                    <w:widowControl/>
                    <w:adjustRightInd w:val="0"/>
                    <w:snapToGrid w:val="0"/>
                    <w:jc w:val="center"/>
                    <w:rPr>
                      <w:kern w:val="0"/>
                      <w:szCs w:val="21"/>
                    </w:rPr>
                  </w:pPr>
                </w:p>
              </w:tc>
              <w:tc>
                <w:tcPr>
                  <w:tcW w:w="786" w:type="pct"/>
                  <w:vAlign w:val="center"/>
                </w:tcPr>
                <w:p w14:paraId="520ABD10">
                  <w:pPr>
                    <w:widowControl/>
                    <w:adjustRightInd w:val="0"/>
                    <w:snapToGrid w:val="0"/>
                    <w:jc w:val="center"/>
                    <w:rPr>
                      <w:kern w:val="0"/>
                      <w:szCs w:val="21"/>
                    </w:rPr>
                  </w:pPr>
                  <w:r>
                    <w:rPr>
                      <w:kern w:val="0"/>
                      <w:szCs w:val="21"/>
                    </w:rPr>
                    <w:t>0.20</w:t>
                  </w:r>
                </w:p>
              </w:tc>
              <w:tc>
                <w:tcPr>
                  <w:tcW w:w="689" w:type="pct"/>
                  <w:vAlign w:val="center"/>
                </w:tcPr>
                <w:p w14:paraId="520ABD11">
                  <w:pPr>
                    <w:widowControl/>
                    <w:adjustRightInd w:val="0"/>
                    <w:snapToGrid w:val="0"/>
                    <w:jc w:val="center"/>
                    <w:rPr>
                      <w:kern w:val="0"/>
                      <w:szCs w:val="21"/>
                    </w:rPr>
                  </w:pPr>
                  <w:r>
                    <w:rPr>
                      <w:kern w:val="0"/>
                      <w:szCs w:val="21"/>
                    </w:rPr>
                    <w:t>0.00298</w:t>
                  </w:r>
                </w:p>
              </w:tc>
              <w:tc>
                <w:tcPr>
                  <w:tcW w:w="771" w:type="pct"/>
                  <w:vMerge w:val="continue"/>
                  <w:vAlign w:val="center"/>
                </w:tcPr>
                <w:p w14:paraId="520ABD12">
                  <w:pPr>
                    <w:widowControl/>
                    <w:adjustRightInd w:val="0"/>
                    <w:snapToGrid w:val="0"/>
                    <w:jc w:val="center"/>
                    <w:rPr>
                      <w:kern w:val="0"/>
                      <w:szCs w:val="21"/>
                    </w:rPr>
                  </w:pPr>
                </w:p>
              </w:tc>
              <w:tc>
                <w:tcPr>
                  <w:tcW w:w="770" w:type="pct"/>
                  <w:vAlign w:val="center"/>
                </w:tcPr>
                <w:p w14:paraId="520ABD13">
                  <w:pPr>
                    <w:widowControl/>
                    <w:adjustRightInd w:val="0"/>
                    <w:snapToGrid w:val="0"/>
                    <w:jc w:val="center"/>
                    <w:rPr>
                      <w:kern w:val="0"/>
                      <w:szCs w:val="21"/>
                    </w:rPr>
                  </w:pPr>
                  <w:r>
                    <w:rPr>
                      <w:rFonts w:eastAsia="等线"/>
                      <w:szCs w:val="21"/>
                    </w:rPr>
                    <w:t>0.00001</w:t>
                  </w:r>
                </w:p>
              </w:tc>
            </w:tr>
            <w:tr w14:paraId="520ABD1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15">
                  <w:pPr>
                    <w:adjustRightInd w:val="0"/>
                    <w:snapToGrid w:val="0"/>
                    <w:jc w:val="center"/>
                    <w:rPr>
                      <w:kern w:val="0"/>
                      <w:szCs w:val="21"/>
                    </w:rPr>
                  </w:pPr>
                </w:p>
              </w:tc>
              <w:tc>
                <w:tcPr>
                  <w:tcW w:w="294" w:type="pct"/>
                  <w:vMerge w:val="continue"/>
                  <w:vAlign w:val="center"/>
                </w:tcPr>
                <w:p w14:paraId="520ABD16">
                  <w:pPr>
                    <w:widowControl/>
                    <w:adjustRightInd w:val="0"/>
                    <w:snapToGrid w:val="0"/>
                    <w:jc w:val="center"/>
                    <w:rPr>
                      <w:kern w:val="0"/>
                      <w:szCs w:val="21"/>
                    </w:rPr>
                  </w:pPr>
                </w:p>
              </w:tc>
              <w:tc>
                <w:tcPr>
                  <w:tcW w:w="440" w:type="pct"/>
                  <w:vAlign w:val="center"/>
                </w:tcPr>
                <w:p w14:paraId="520ABD17">
                  <w:pPr>
                    <w:widowControl/>
                    <w:adjustRightInd w:val="0"/>
                    <w:snapToGrid w:val="0"/>
                    <w:jc w:val="center"/>
                    <w:rPr>
                      <w:kern w:val="0"/>
                      <w:szCs w:val="21"/>
                    </w:rPr>
                  </w:pPr>
                  <w:r>
                    <w:rPr>
                      <w:kern w:val="0"/>
                      <w:szCs w:val="21"/>
                    </w:rPr>
                    <w:t>铬酸雾</w:t>
                  </w:r>
                </w:p>
              </w:tc>
              <w:tc>
                <w:tcPr>
                  <w:tcW w:w="402" w:type="pct"/>
                  <w:vMerge w:val="continue"/>
                  <w:vAlign w:val="center"/>
                </w:tcPr>
                <w:p w14:paraId="520ABD18">
                  <w:pPr>
                    <w:widowControl/>
                    <w:adjustRightInd w:val="0"/>
                    <w:snapToGrid w:val="0"/>
                    <w:jc w:val="center"/>
                    <w:rPr>
                      <w:kern w:val="0"/>
                      <w:szCs w:val="21"/>
                    </w:rPr>
                  </w:pPr>
                </w:p>
              </w:tc>
              <w:tc>
                <w:tcPr>
                  <w:tcW w:w="480" w:type="pct"/>
                  <w:vMerge w:val="continue"/>
                  <w:vAlign w:val="center"/>
                </w:tcPr>
                <w:p w14:paraId="520ABD19">
                  <w:pPr>
                    <w:widowControl/>
                    <w:adjustRightInd w:val="0"/>
                    <w:snapToGrid w:val="0"/>
                    <w:jc w:val="center"/>
                    <w:rPr>
                      <w:kern w:val="0"/>
                      <w:szCs w:val="21"/>
                    </w:rPr>
                  </w:pPr>
                </w:p>
              </w:tc>
              <w:tc>
                <w:tcPr>
                  <w:tcW w:w="786" w:type="pct"/>
                  <w:vAlign w:val="center"/>
                </w:tcPr>
                <w:p w14:paraId="520ABD1A">
                  <w:pPr>
                    <w:widowControl/>
                    <w:adjustRightInd w:val="0"/>
                    <w:snapToGrid w:val="0"/>
                    <w:jc w:val="center"/>
                    <w:rPr>
                      <w:kern w:val="0"/>
                      <w:szCs w:val="21"/>
                    </w:rPr>
                  </w:pPr>
                  <w:r>
                    <w:rPr>
                      <w:kern w:val="0"/>
                      <w:szCs w:val="21"/>
                    </w:rPr>
                    <w:t>0.024</w:t>
                  </w:r>
                </w:p>
              </w:tc>
              <w:tc>
                <w:tcPr>
                  <w:tcW w:w="689" w:type="pct"/>
                  <w:vAlign w:val="center"/>
                </w:tcPr>
                <w:p w14:paraId="520ABD1B">
                  <w:pPr>
                    <w:widowControl/>
                    <w:adjustRightInd w:val="0"/>
                    <w:snapToGrid w:val="0"/>
                    <w:jc w:val="center"/>
                    <w:rPr>
                      <w:kern w:val="0"/>
                      <w:szCs w:val="21"/>
                    </w:rPr>
                  </w:pPr>
                  <w:r>
                    <w:rPr>
                      <w:kern w:val="0"/>
                      <w:szCs w:val="21"/>
                    </w:rPr>
                    <w:t>0.00029</w:t>
                  </w:r>
                </w:p>
              </w:tc>
              <w:tc>
                <w:tcPr>
                  <w:tcW w:w="771" w:type="pct"/>
                  <w:vMerge w:val="continue"/>
                  <w:vAlign w:val="center"/>
                </w:tcPr>
                <w:p w14:paraId="520ABD1C">
                  <w:pPr>
                    <w:widowControl/>
                    <w:adjustRightInd w:val="0"/>
                    <w:snapToGrid w:val="0"/>
                    <w:jc w:val="center"/>
                    <w:rPr>
                      <w:kern w:val="0"/>
                      <w:szCs w:val="21"/>
                    </w:rPr>
                  </w:pPr>
                </w:p>
              </w:tc>
              <w:tc>
                <w:tcPr>
                  <w:tcW w:w="770" w:type="pct"/>
                  <w:vAlign w:val="center"/>
                </w:tcPr>
                <w:p w14:paraId="520ABD1D">
                  <w:pPr>
                    <w:widowControl/>
                    <w:adjustRightInd w:val="0"/>
                    <w:snapToGrid w:val="0"/>
                    <w:jc w:val="center"/>
                    <w:rPr>
                      <w:kern w:val="0"/>
                      <w:szCs w:val="21"/>
                    </w:rPr>
                  </w:pPr>
                  <w:r>
                    <w:rPr>
                      <w:rFonts w:eastAsia="等线"/>
                      <w:szCs w:val="21"/>
                    </w:rPr>
                    <w:t>0.0027</w:t>
                  </w:r>
                </w:p>
              </w:tc>
            </w:tr>
            <w:tr w14:paraId="520ABD2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Align w:val="center"/>
                </w:tcPr>
                <w:p w14:paraId="520ABD1F">
                  <w:pPr>
                    <w:adjustRightInd w:val="0"/>
                    <w:snapToGrid w:val="0"/>
                    <w:jc w:val="center"/>
                    <w:rPr>
                      <w:kern w:val="0"/>
                      <w:szCs w:val="21"/>
                    </w:rPr>
                  </w:pPr>
                  <w:r>
                    <w:rPr>
                      <w:rFonts w:hint="eastAsia"/>
                      <w:kern w:val="0"/>
                      <w:szCs w:val="21"/>
                    </w:rPr>
                    <w:t>2025.4.28</w:t>
                  </w:r>
                </w:p>
              </w:tc>
              <w:tc>
                <w:tcPr>
                  <w:tcW w:w="294" w:type="pct"/>
                  <w:vAlign w:val="center"/>
                </w:tcPr>
                <w:p w14:paraId="520ABD20">
                  <w:pPr>
                    <w:widowControl/>
                    <w:adjustRightInd w:val="0"/>
                    <w:snapToGrid w:val="0"/>
                    <w:jc w:val="center"/>
                    <w:rPr>
                      <w:kern w:val="0"/>
                      <w:szCs w:val="21"/>
                    </w:rPr>
                  </w:pPr>
                  <w:r>
                    <w:rPr>
                      <w:kern w:val="0"/>
                      <w:szCs w:val="21"/>
                    </w:rPr>
                    <w:t>DA024</w:t>
                  </w:r>
                </w:p>
              </w:tc>
              <w:tc>
                <w:tcPr>
                  <w:tcW w:w="440" w:type="pct"/>
                  <w:vAlign w:val="center"/>
                </w:tcPr>
                <w:p w14:paraId="520ABD21">
                  <w:pPr>
                    <w:widowControl/>
                    <w:adjustRightInd w:val="0"/>
                    <w:snapToGrid w:val="0"/>
                    <w:jc w:val="center"/>
                    <w:rPr>
                      <w:kern w:val="0"/>
                      <w:szCs w:val="21"/>
                    </w:rPr>
                  </w:pPr>
                  <w:r>
                    <w:rPr>
                      <w:kern w:val="0"/>
                      <w:szCs w:val="21"/>
                    </w:rPr>
                    <w:t>非甲烷总烃</w:t>
                  </w:r>
                </w:p>
              </w:tc>
              <w:tc>
                <w:tcPr>
                  <w:tcW w:w="402" w:type="pct"/>
                  <w:vAlign w:val="center"/>
                </w:tcPr>
                <w:p w14:paraId="520ABD22">
                  <w:pPr>
                    <w:widowControl/>
                    <w:adjustRightInd w:val="0"/>
                    <w:snapToGrid w:val="0"/>
                    <w:jc w:val="center"/>
                    <w:rPr>
                      <w:kern w:val="0"/>
                      <w:szCs w:val="21"/>
                    </w:rPr>
                  </w:pPr>
                  <w:r>
                    <w:rPr>
                      <w:szCs w:val="21"/>
                    </w:rPr>
                    <w:t>含油铁屑暂存</w:t>
                  </w:r>
                </w:p>
              </w:tc>
              <w:tc>
                <w:tcPr>
                  <w:tcW w:w="480" w:type="pct"/>
                  <w:vAlign w:val="center"/>
                </w:tcPr>
                <w:p w14:paraId="520ABD23">
                  <w:pPr>
                    <w:widowControl/>
                    <w:adjustRightInd w:val="0"/>
                    <w:snapToGrid w:val="0"/>
                    <w:jc w:val="center"/>
                    <w:rPr>
                      <w:kern w:val="0"/>
                      <w:szCs w:val="21"/>
                    </w:rPr>
                  </w:pPr>
                  <w:r>
                    <w:rPr>
                      <w:szCs w:val="21"/>
                    </w:rPr>
                    <w:t>7760</w:t>
                  </w:r>
                </w:p>
              </w:tc>
              <w:tc>
                <w:tcPr>
                  <w:tcW w:w="786" w:type="pct"/>
                  <w:vAlign w:val="center"/>
                </w:tcPr>
                <w:p w14:paraId="520ABD24">
                  <w:pPr>
                    <w:widowControl/>
                    <w:adjustRightInd w:val="0"/>
                    <w:snapToGrid w:val="0"/>
                    <w:jc w:val="center"/>
                    <w:rPr>
                      <w:kern w:val="0"/>
                      <w:szCs w:val="21"/>
                    </w:rPr>
                  </w:pPr>
                  <w:r>
                    <w:rPr>
                      <w:szCs w:val="21"/>
                    </w:rPr>
                    <w:t>3.14</w:t>
                  </w:r>
                </w:p>
              </w:tc>
              <w:tc>
                <w:tcPr>
                  <w:tcW w:w="689" w:type="pct"/>
                  <w:vAlign w:val="center"/>
                </w:tcPr>
                <w:p w14:paraId="520ABD25">
                  <w:pPr>
                    <w:widowControl/>
                    <w:adjustRightInd w:val="0"/>
                    <w:snapToGrid w:val="0"/>
                    <w:jc w:val="center"/>
                    <w:rPr>
                      <w:kern w:val="0"/>
                      <w:szCs w:val="21"/>
                    </w:rPr>
                  </w:pPr>
                  <w:r>
                    <w:rPr>
                      <w:szCs w:val="21"/>
                    </w:rPr>
                    <w:t>0.024</w:t>
                  </w:r>
                </w:p>
              </w:tc>
              <w:tc>
                <w:tcPr>
                  <w:tcW w:w="771" w:type="pct"/>
                  <w:vAlign w:val="center"/>
                </w:tcPr>
                <w:p w14:paraId="520ABD26">
                  <w:pPr>
                    <w:widowControl/>
                    <w:adjustRightInd w:val="0"/>
                    <w:snapToGrid w:val="0"/>
                    <w:jc w:val="center"/>
                    <w:rPr>
                      <w:szCs w:val="21"/>
                    </w:rPr>
                  </w:pPr>
                  <w:r>
                    <w:rPr>
                      <w:rFonts w:hint="eastAsia"/>
                      <w:szCs w:val="21"/>
                    </w:rPr>
                    <w:t>6000</w:t>
                  </w:r>
                </w:p>
              </w:tc>
              <w:tc>
                <w:tcPr>
                  <w:tcW w:w="770" w:type="pct"/>
                  <w:vAlign w:val="center"/>
                </w:tcPr>
                <w:p w14:paraId="520ABD27">
                  <w:pPr>
                    <w:widowControl/>
                    <w:adjustRightInd w:val="0"/>
                    <w:snapToGrid w:val="0"/>
                    <w:jc w:val="center"/>
                    <w:rPr>
                      <w:szCs w:val="21"/>
                    </w:rPr>
                  </w:pPr>
                  <w:r>
                    <w:rPr>
                      <w:rFonts w:eastAsia="等线"/>
                      <w:szCs w:val="21"/>
                    </w:rPr>
                    <w:t>0.144</w:t>
                  </w:r>
                </w:p>
              </w:tc>
            </w:tr>
            <w:tr w14:paraId="520ABD3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restart"/>
                  <w:vAlign w:val="center"/>
                </w:tcPr>
                <w:p w14:paraId="520ABD29">
                  <w:pPr>
                    <w:adjustRightInd w:val="0"/>
                    <w:snapToGrid w:val="0"/>
                    <w:jc w:val="center"/>
                    <w:rPr>
                      <w:kern w:val="0"/>
                      <w:szCs w:val="21"/>
                    </w:rPr>
                  </w:pPr>
                  <w:r>
                    <w:rPr>
                      <w:kern w:val="0"/>
                      <w:szCs w:val="21"/>
                    </w:rPr>
                    <w:t>在建工程（按照环评预测值填写）</w:t>
                  </w:r>
                </w:p>
              </w:tc>
              <w:tc>
                <w:tcPr>
                  <w:tcW w:w="294" w:type="pct"/>
                  <w:vAlign w:val="center"/>
                </w:tcPr>
                <w:p w14:paraId="520ABD2A">
                  <w:pPr>
                    <w:widowControl/>
                    <w:adjustRightInd w:val="0"/>
                    <w:snapToGrid w:val="0"/>
                    <w:jc w:val="center"/>
                    <w:rPr>
                      <w:kern w:val="0"/>
                      <w:szCs w:val="21"/>
                    </w:rPr>
                  </w:pPr>
                  <w:r>
                    <w:rPr>
                      <w:rFonts w:hint="eastAsia"/>
                      <w:kern w:val="0"/>
                      <w:szCs w:val="21"/>
                    </w:rPr>
                    <w:t>DA014</w:t>
                  </w:r>
                </w:p>
              </w:tc>
              <w:tc>
                <w:tcPr>
                  <w:tcW w:w="440" w:type="pct"/>
                  <w:vAlign w:val="center"/>
                </w:tcPr>
                <w:p w14:paraId="520ABD2B">
                  <w:pPr>
                    <w:widowControl/>
                    <w:adjustRightInd w:val="0"/>
                    <w:snapToGrid w:val="0"/>
                    <w:jc w:val="center"/>
                    <w:rPr>
                      <w:kern w:val="0"/>
                      <w:szCs w:val="21"/>
                    </w:rPr>
                  </w:pPr>
                  <w:r>
                    <w:rPr>
                      <w:rFonts w:hint="eastAsia"/>
                      <w:kern w:val="0"/>
                      <w:szCs w:val="21"/>
                    </w:rPr>
                    <w:t>颗粒物</w:t>
                  </w:r>
                </w:p>
              </w:tc>
              <w:tc>
                <w:tcPr>
                  <w:tcW w:w="402" w:type="pct"/>
                  <w:vAlign w:val="center"/>
                </w:tcPr>
                <w:p w14:paraId="520ABD2C">
                  <w:pPr>
                    <w:widowControl/>
                    <w:adjustRightInd w:val="0"/>
                    <w:snapToGrid w:val="0"/>
                    <w:jc w:val="center"/>
                    <w:rPr>
                      <w:szCs w:val="21"/>
                    </w:rPr>
                  </w:pPr>
                  <w:r>
                    <w:rPr>
                      <w:rFonts w:hint="eastAsia"/>
                      <w:szCs w:val="21"/>
                    </w:rPr>
                    <w:t>焊接</w:t>
                  </w:r>
                </w:p>
              </w:tc>
              <w:tc>
                <w:tcPr>
                  <w:tcW w:w="480" w:type="pct"/>
                  <w:vAlign w:val="center"/>
                </w:tcPr>
                <w:p w14:paraId="520ABD2D">
                  <w:pPr>
                    <w:widowControl/>
                    <w:adjustRightInd w:val="0"/>
                    <w:snapToGrid w:val="0"/>
                    <w:jc w:val="center"/>
                    <w:rPr>
                      <w:szCs w:val="21"/>
                    </w:rPr>
                  </w:pPr>
                  <w:r>
                    <w:rPr>
                      <w:rFonts w:hint="eastAsia"/>
                      <w:szCs w:val="21"/>
                    </w:rPr>
                    <w:t>1000</w:t>
                  </w:r>
                </w:p>
              </w:tc>
              <w:tc>
                <w:tcPr>
                  <w:tcW w:w="786" w:type="pct"/>
                  <w:vAlign w:val="center"/>
                </w:tcPr>
                <w:p w14:paraId="520ABD2E">
                  <w:pPr>
                    <w:widowControl/>
                    <w:adjustRightInd w:val="0"/>
                    <w:snapToGrid w:val="0"/>
                    <w:jc w:val="center"/>
                    <w:rPr>
                      <w:szCs w:val="21"/>
                    </w:rPr>
                  </w:pPr>
                  <w:r>
                    <w:rPr>
                      <w:rFonts w:hint="eastAsia"/>
                      <w:szCs w:val="21"/>
                    </w:rPr>
                    <w:t>3.9</w:t>
                  </w:r>
                </w:p>
              </w:tc>
              <w:tc>
                <w:tcPr>
                  <w:tcW w:w="689" w:type="pct"/>
                  <w:vAlign w:val="center"/>
                </w:tcPr>
                <w:p w14:paraId="520ABD2F">
                  <w:pPr>
                    <w:widowControl/>
                    <w:adjustRightInd w:val="0"/>
                    <w:snapToGrid w:val="0"/>
                    <w:jc w:val="center"/>
                    <w:rPr>
                      <w:szCs w:val="21"/>
                    </w:rPr>
                  </w:pPr>
                  <w:r>
                    <w:rPr>
                      <w:rFonts w:hint="eastAsia"/>
                      <w:szCs w:val="21"/>
                    </w:rPr>
                    <w:t>0.039</w:t>
                  </w:r>
                </w:p>
              </w:tc>
              <w:tc>
                <w:tcPr>
                  <w:tcW w:w="771" w:type="pct"/>
                  <w:vAlign w:val="center"/>
                </w:tcPr>
                <w:p w14:paraId="520ABD30">
                  <w:pPr>
                    <w:widowControl/>
                    <w:adjustRightInd w:val="0"/>
                    <w:snapToGrid w:val="0"/>
                    <w:jc w:val="center"/>
                    <w:rPr>
                      <w:szCs w:val="21"/>
                    </w:rPr>
                  </w:pPr>
                  <w:r>
                    <w:rPr>
                      <w:rFonts w:hint="eastAsia"/>
                      <w:szCs w:val="21"/>
                    </w:rPr>
                    <w:t>1000</w:t>
                  </w:r>
                </w:p>
              </w:tc>
              <w:tc>
                <w:tcPr>
                  <w:tcW w:w="770" w:type="pct"/>
                  <w:vAlign w:val="center"/>
                </w:tcPr>
                <w:p w14:paraId="520ABD31">
                  <w:pPr>
                    <w:widowControl/>
                    <w:adjustRightInd w:val="0"/>
                    <w:snapToGrid w:val="0"/>
                    <w:jc w:val="center"/>
                    <w:rPr>
                      <w:szCs w:val="21"/>
                    </w:rPr>
                  </w:pPr>
                  <w:r>
                    <w:rPr>
                      <w:rFonts w:hint="eastAsia"/>
                      <w:szCs w:val="21"/>
                    </w:rPr>
                    <w:t>0.039</w:t>
                  </w:r>
                </w:p>
              </w:tc>
            </w:tr>
            <w:tr w14:paraId="520ABD3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33">
                  <w:pPr>
                    <w:adjustRightInd w:val="0"/>
                    <w:snapToGrid w:val="0"/>
                    <w:jc w:val="center"/>
                    <w:rPr>
                      <w:kern w:val="0"/>
                      <w:szCs w:val="21"/>
                    </w:rPr>
                  </w:pPr>
                </w:p>
              </w:tc>
              <w:tc>
                <w:tcPr>
                  <w:tcW w:w="294" w:type="pct"/>
                  <w:vAlign w:val="center"/>
                </w:tcPr>
                <w:p w14:paraId="520ABD34">
                  <w:pPr>
                    <w:widowControl/>
                    <w:adjustRightInd w:val="0"/>
                    <w:snapToGrid w:val="0"/>
                    <w:jc w:val="center"/>
                    <w:rPr>
                      <w:kern w:val="0"/>
                      <w:szCs w:val="21"/>
                    </w:rPr>
                  </w:pPr>
                  <w:r>
                    <w:rPr>
                      <w:rFonts w:hint="eastAsia"/>
                      <w:kern w:val="0"/>
                      <w:szCs w:val="21"/>
                    </w:rPr>
                    <w:t>DA015</w:t>
                  </w:r>
                </w:p>
              </w:tc>
              <w:tc>
                <w:tcPr>
                  <w:tcW w:w="440" w:type="pct"/>
                  <w:vAlign w:val="center"/>
                </w:tcPr>
                <w:p w14:paraId="520ABD35">
                  <w:pPr>
                    <w:widowControl/>
                    <w:adjustRightInd w:val="0"/>
                    <w:snapToGrid w:val="0"/>
                    <w:jc w:val="center"/>
                    <w:rPr>
                      <w:kern w:val="0"/>
                      <w:szCs w:val="21"/>
                    </w:rPr>
                  </w:pPr>
                  <w:r>
                    <w:rPr>
                      <w:rFonts w:hint="eastAsia"/>
                      <w:szCs w:val="21"/>
                    </w:rPr>
                    <w:t>非甲烷总烃</w:t>
                  </w:r>
                </w:p>
              </w:tc>
              <w:tc>
                <w:tcPr>
                  <w:tcW w:w="402" w:type="pct"/>
                  <w:vAlign w:val="center"/>
                </w:tcPr>
                <w:p w14:paraId="520ABD36">
                  <w:pPr>
                    <w:widowControl/>
                    <w:adjustRightInd w:val="0"/>
                    <w:snapToGrid w:val="0"/>
                    <w:jc w:val="center"/>
                    <w:rPr>
                      <w:szCs w:val="21"/>
                    </w:rPr>
                  </w:pPr>
                  <w:r>
                    <w:rPr>
                      <w:rFonts w:hint="eastAsia"/>
                      <w:szCs w:val="21"/>
                    </w:rPr>
                    <w:t>注胶、烘干、试验、清洗</w:t>
                  </w:r>
                </w:p>
              </w:tc>
              <w:tc>
                <w:tcPr>
                  <w:tcW w:w="480" w:type="pct"/>
                  <w:vAlign w:val="center"/>
                </w:tcPr>
                <w:p w14:paraId="520ABD37">
                  <w:pPr>
                    <w:widowControl/>
                    <w:adjustRightInd w:val="0"/>
                    <w:snapToGrid w:val="0"/>
                    <w:jc w:val="center"/>
                    <w:rPr>
                      <w:szCs w:val="21"/>
                    </w:rPr>
                  </w:pPr>
                  <w:r>
                    <w:rPr>
                      <w:rFonts w:hint="eastAsia"/>
                      <w:szCs w:val="21"/>
                    </w:rPr>
                    <w:t>13000</w:t>
                  </w:r>
                </w:p>
              </w:tc>
              <w:tc>
                <w:tcPr>
                  <w:tcW w:w="786" w:type="pct"/>
                  <w:vAlign w:val="center"/>
                </w:tcPr>
                <w:p w14:paraId="520ABD38">
                  <w:pPr>
                    <w:widowControl/>
                    <w:adjustRightInd w:val="0"/>
                    <w:snapToGrid w:val="0"/>
                    <w:jc w:val="center"/>
                    <w:rPr>
                      <w:szCs w:val="21"/>
                    </w:rPr>
                  </w:pPr>
                  <w:r>
                    <w:rPr>
                      <w:rFonts w:hint="eastAsia"/>
                      <w:szCs w:val="21"/>
                    </w:rPr>
                    <w:t>8.5</w:t>
                  </w:r>
                </w:p>
              </w:tc>
              <w:tc>
                <w:tcPr>
                  <w:tcW w:w="689" w:type="pct"/>
                  <w:vAlign w:val="center"/>
                </w:tcPr>
                <w:p w14:paraId="520ABD39">
                  <w:pPr>
                    <w:widowControl/>
                    <w:adjustRightInd w:val="0"/>
                    <w:snapToGrid w:val="0"/>
                    <w:jc w:val="center"/>
                    <w:rPr>
                      <w:szCs w:val="21"/>
                    </w:rPr>
                  </w:pPr>
                  <w:r>
                    <w:rPr>
                      <w:rFonts w:hint="eastAsia"/>
                      <w:szCs w:val="21"/>
                    </w:rPr>
                    <w:t>0.1105</w:t>
                  </w:r>
                </w:p>
              </w:tc>
              <w:tc>
                <w:tcPr>
                  <w:tcW w:w="771" w:type="pct"/>
                  <w:vAlign w:val="center"/>
                </w:tcPr>
                <w:p w14:paraId="520ABD3A">
                  <w:pPr>
                    <w:widowControl/>
                    <w:adjustRightInd w:val="0"/>
                    <w:snapToGrid w:val="0"/>
                    <w:jc w:val="center"/>
                    <w:rPr>
                      <w:szCs w:val="21"/>
                    </w:rPr>
                  </w:pPr>
                  <w:r>
                    <w:rPr>
                      <w:rFonts w:hint="eastAsia"/>
                      <w:szCs w:val="21"/>
                    </w:rPr>
                    <w:t>2000</w:t>
                  </w:r>
                </w:p>
              </w:tc>
              <w:tc>
                <w:tcPr>
                  <w:tcW w:w="770" w:type="pct"/>
                  <w:vAlign w:val="center"/>
                </w:tcPr>
                <w:p w14:paraId="520ABD3B">
                  <w:pPr>
                    <w:widowControl/>
                    <w:adjustRightInd w:val="0"/>
                    <w:snapToGrid w:val="0"/>
                    <w:jc w:val="center"/>
                    <w:rPr>
                      <w:szCs w:val="21"/>
                    </w:rPr>
                  </w:pPr>
                  <w:r>
                    <w:rPr>
                      <w:rFonts w:hint="eastAsia"/>
                      <w:szCs w:val="21"/>
                    </w:rPr>
                    <w:t>0.1268</w:t>
                  </w:r>
                </w:p>
              </w:tc>
            </w:tr>
            <w:tr w14:paraId="520ABD4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3D">
                  <w:pPr>
                    <w:adjustRightInd w:val="0"/>
                    <w:snapToGrid w:val="0"/>
                    <w:jc w:val="center"/>
                    <w:rPr>
                      <w:kern w:val="0"/>
                      <w:szCs w:val="21"/>
                    </w:rPr>
                  </w:pPr>
                </w:p>
              </w:tc>
              <w:tc>
                <w:tcPr>
                  <w:tcW w:w="294" w:type="pct"/>
                  <w:vAlign w:val="center"/>
                </w:tcPr>
                <w:p w14:paraId="520ABD3E">
                  <w:pPr>
                    <w:widowControl/>
                    <w:adjustRightInd w:val="0"/>
                    <w:snapToGrid w:val="0"/>
                    <w:jc w:val="center"/>
                    <w:rPr>
                      <w:kern w:val="0"/>
                      <w:szCs w:val="21"/>
                    </w:rPr>
                  </w:pPr>
                  <w:r>
                    <w:rPr>
                      <w:rFonts w:hint="eastAsia"/>
                      <w:kern w:val="0"/>
                      <w:szCs w:val="21"/>
                    </w:rPr>
                    <w:t>DA018</w:t>
                  </w:r>
                  <w:r>
                    <w:rPr>
                      <w:rFonts w:hint="eastAsia"/>
                      <w:kern w:val="0"/>
                      <w:szCs w:val="21"/>
                      <w:vertAlign w:val="superscript"/>
                    </w:rPr>
                    <w:t>③</w:t>
                  </w:r>
                </w:p>
              </w:tc>
              <w:tc>
                <w:tcPr>
                  <w:tcW w:w="440" w:type="pct"/>
                  <w:vAlign w:val="center"/>
                </w:tcPr>
                <w:p w14:paraId="520ABD3F">
                  <w:pPr>
                    <w:widowControl/>
                    <w:adjustRightInd w:val="0"/>
                    <w:snapToGrid w:val="0"/>
                    <w:jc w:val="center"/>
                    <w:rPr>
                      <w:kern w:val="0"/>
                      <w:szCs w:val="21"/>
                    </w:rPr>
                  </w:pPr>
                  <w:r>
                    <w:rPr>
                      <w:rFonts w:hint="eastAsia"/>
                      <w:szCs w:val="21"/>
                    </w:rPr>
                    <w:t>碱雾</w:t>
                  </w:r>
                </w:p>
              </w:tc>
              <w:tc>
                <w:tcPr>
                  <w:tcW w:w="402" w:type="pct"/>
                  <w:vAlign w:val="center"/>
                </w:tcPr>
                <w:p w14:paraId="520ABD40">
                  <w:pPr>
                    <w:widowControl/>
                    <w:adjustRightInd w:val="0"/>
                    <w:snapToGrid w:val="0"/>
                    <w:jc w:val="center"/>
                    <w:rPr>
                      <w:szCs w:val="21"/>
                    </w:rPr>
                  </w:pPr>
                  <w:r>
                    <w:rPr>
                      <w:rFonts w:hint="eastAsia"/>
                      <w:szCs w:val="21"/>
                    </w:rPr>
                    <w:t>碱炉</w:t>
                  </w:r>
                </w:p>
              </w:tc>
              <w:tc>
                <w:tcPr>
                  <w:tcW w:w="480" w:type="pct"/>
                  <w:vAlign w:val="center"/>
                </w:tcPr>
                <w:p w14:paraId="520ABD41">
                  <w:pPr>
                    <w:widowControl/>
                    <w:adjustRightInd w:val="0"/>
                    <w:snapToGrid w:val="0"/>
                    <w:jc w:val="center"/>
                    <w:rPr>
                      <w:szCs w:val="21"/>
                    </w:rPr>
                  </w:pPr>
                  <w:r>
                    <w:rPr>
                      <w:rFonts w:hint="eastAsia"/>
                      <w:szCs w:val="21"/>
                    </w:rPr>
                    <w:t>/</w:t>
                  </w:r>
                </w:p>
              </w:tc>
              <w:tc>
                <w:tcPr>
                  <w:tcW w:w="786" w:type="pct"/>
                  <w:vAlign w:val="center"/>
                </w:tcPr>
                <w:p w14:paraId="520ABD42">
                  <w:pPr>
                    <w:widowControl/>
                    <w:adjustRightInd w:val="0"/>
                    <w:snapToGrid w:val="0"/>
                    <w:jc w:val="center"/>
                    <w:rPr>
                      <w:szCs w:val="21"/>
                    </w:rPr>
                  </w:pPr>
                  <w:r>
                    <w:rPr>
                      <w:rFonts w:hint="eastAsia"/>
                      <w:szCs w:val="21"/>
                    </w:rPr>
                    <w:t>/</w:t>
                  </w:r>
                </w:p>
              </w:tc>
              <w:tc>
                <w:tcPr>
                  <w:tcW w:w="689" w:type="pct"/>
                  <w:vAlign w:val="center"/>
                </w:tcPr>
                <w:p w14:paraId="520ABD43">
                  <w:pPr>
                    <w:widowControl/>
                    <w:adjustRightInd w:val="0"/>
                    <w:snapToGrid w:val="0"/>
                    <w:jc w:val="center"/>
                    <w:rPr>
                      <w:szCs w:val="21"/>
                    </w:rPr>
                  </w:pPr>
                  <w:r>
                    <w:rPr>
                      <w:rFonts w:hint="eastAsia"/>
                      <w:szCs w:val="21"/>
                    </w:rPr>
                    <w:t>/</w:t>
                  </w:r>
                </w:p>
              </w:tc>
              <w:tc>
                <w:tcPr>
                  <w:tcW w:w="771" w:type="pct"/>
                  <w:vAlign w:val="center"/>
                </w:tcPr>
                <w:p w14:paraId="520ABD44">
                  <w:pPr>
                    <w:widowControl/>
                    <w:adjustRightInd w:val="0"/>
                    <w:snapToGrid w:val="0"/>
                    <w:jc w:val="center"/>
                    <w:rPr>
                      <w:szCs w:val="21"/>
                    </w:rPr>
                  </w:pPr>
                  <w:r>
                    <w:rPr>
                      <w:rFonts w:hint="eastAsia"/>
                      <w:szCs w:val="21"/>
                    </w:rPr>
                    <w:t>/</w:t>
                  </w:r>
                </w:p>
              </w:tc>
              <w:tc>
                <w:tcPr>
                  <w:tcW w:w="770" w:type="pct"/>
                  <w:vAlign w:val="center"/>
                </w:tcPr>
                <w:p w14:paraId="520ABD45">
                  <w:pPr>
                    <w:widowControl/>
                    <w:adjustRightInd w:val="0"/>
                    <w:snapToGrid w:val="0"/>
                    <w:jc w:val="center"/>
                    <w:rPr>
                      <w:szCs w:val="21"/>
                    </w:rPr>
                  </w:pPr>
                  <w:r>
                    <w:rPr>
                      <w:rFonts w:hint="eastAsia"/>
                      <w:szCs w:val="21"/>
                    </w:rPr>
                    <w:t>/</w:t>
                  </w:r>
                </w:p>
              </w:tc>
            </w:tr>
            <w:tr w14:paraId="520ABD5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47">
                  <w:pPr>
                    <w:adjustRightInd w:val="0"/>
                    <w:snapToGrid w:val="0"/>
                    <w:jc w:val="center"/>
                    <w:rPr>
                      <w:kern w:val="0"/>
                      <w:szCs w:val="21"/>
                    </w:rPr>
                  </w:pPr>
                </w:p>
              </w:tc>
              <w:tc>
                <w:tcPr>
                  <w:tcW w:w="294" w:type="pct"/>
                  <w:vAlign w:val="center"/>
                </w:tcPr>
                <w:p w14:paraId="520ABD48">
                  <w:pPr>
                    <w:widowControl/>
                    <w:adjustRightInd w:val="0"/>
                    <w:snapToGrid w:val="0"/>
                    <w:jc w:val="center"/>
                    <w:rPr>
                      <w:kern w:val="0"/>
                      <w:szCs w:val="21"/>
                    </w:rPr>
                  </w:pPr>
                  <w:r>
                    <w:rPr>
                      <w:rFonts w:hint="eastAsia"/>
                      <w:kern w:val="0"/>
                      <w:szCs w:val="21"/>
                    </w:rPr>
                    <w:t>DA019</w:t>
                  </w:r>
                  <w:r>
                    <w:rPr>
                      <w:rFonts w:hint="eastAsia"/>
                      <w:kern w:val="0"/>
                      <w:szCs w:val="21"/>
                      <w:vertAlign w:val="superscript"/>
                    </w:rPr>
                    <w:t>③</w:t>
                  </w:r>
                </w:p>
              </w:tc>
              <w:tc>
                <w:tcPr>
                  <w:tcW w:w="440" w:type="pct"/>
                  <w:vAlign w:val="center"/>
                </w:tcPr>
                <w:p w14:paraId="520ABD49">
                  <w:pPr>
                    <w:widowControl/>
                    <w:adjustRightInd w:val="0"/>
                    <w:snapToGrid w:val="0"/>
                    <w:jc w:val="center"/>
                    <w:rPr>
                      <w:kern w:val="0"/>
                      <w:szCs w:val="21"/>
                    </w:rPr>
                  </w:pPr>
                  <w:r>
                    <w:rPr>
                      <w:rFonts w:hint="eastAsia"/>
                      <w:szCs w:val="21"/>
                    </w:rPr>
                    <w:t>H</w:t>
                  </w:r>
                  <w:r>
                    <w:rPr>
                      <w:szCs w:val="21"/>
                    </w:rPr>
                    <w:t>C</w:t>
                  </w:r>
                  <w:r>
                    <w:rPr>
                      <w:rFonts w:hint="eastAsia"/>
                      <w:szCs w:val="21"/>
                    </w:rPr>
                    <w:t>l</w:t>
                  </w:r>
                </w:p>
              </w:tc>
              <w:tc>
                <w:tcPr>
                  <w:tcW w:w="402" w:type="pct"/>
                  <w:vAlign w:val="center"/>
                </w:tcPr>
                <w:p w14:paraId="520ABD4A">
                  <w:pPr>
                    <w:widowControl/>
                    <w:adjustRightInd w:val="0"/>
                    <w:snapToGrid w:val="0"/>
                    <w:jc w:val="center"/>
                    <w:rPr>
                      <w:szCs w:val="21"/>
                    </w:rPr>
                  </w:pPr>
                  <w:r>
                    <w:rPr>
                      <w:rFonts w:hint="eastAsia"/>
                      <w:szCs w:val="21"/>
                    </w:rPr>
                    <w:t>盐浴炉</w:t>
                  </w:r>
                </w:p>
              </w:tc>
              <w:tc>
                <w:tcPr>
                  <w:tcW w:w="480" w:type="pct"/>
                  <w:vAlign w:val="center"/>
                </w:tcPr>
                <w:p w14:paraId="520ABD4B">
                  <w:pPr>
                    <w:widowControl/>
                    <w:adjustRightInd w:val="0"/>
                    <w:snapToGrid w:val="0"/>
                    <w:jc w:val="center"/>
                    <w:rPr>
                      <w:szCs w:val="21"/>
                    </w:rPr>
                  </w:pPr>
                  <w:r>
                    <w:rPr>
                      <w:rFonts w:hint="eastAsia"/>
                      <w:szCs w:val="21"/>
                    </w:rPr>
                    <w:t>/</w:t>
                  </w:r>
                </w:p>
              </w:tc>
              <w:tc>
                <w:tcPr>
                  <w:tcW w:w="786" w:type="pct"/>
                  <w:vAlign w:val="center"/>
                </w:tcPr>
                <w:p w14:paraId="520ABD4C">
                  <w:pPr>
                    <w:widowControl/>
                    <w:adjustRightInd w:val="0"/>
                    <w:snapToGrid w:val="0"/>
                    <w:jc w:val="center"/>
                    <w:rPr>
                      <w:szCs w:val="21"/>
                    </w:rPr>
                  </w:pPr>
                  <w:r>
                    <w:rPr>
                      <w:rFonts w:hint="eastAsia"/>
                      <w:szCs w:val="21"/>
                    </w:rPr>
                    <w:t>/</w:t>
                  </w:r>
                </w:p>
              </w:tc>
              <w:tc>
                <w:tcPr>
                  <w:tcW w:w="689" w:type="pct"/>
                  <w:vAlign w:val="center"/>
                </w:tcPr>
                <w:p w14:paraId="520ABD4D">
                  <w:pPr>
                    <w:widowControl/>
                    <w:adjustRightInd w:val="0"/>
                    <w:snapToGrid w:val="0"/>
                    <w:jc w:val="center"/>
                    <w:rPr>
                      <w:szCs w:val="21"/>
                    </w:rPr>
                  </w:pPr>
                  <w:r>
                    <w:rPr>
                      <w:rFonts w:hint="eastAsia"/>
                      <w:szCs w:val="21"/>
                    </w:rPr>
                    <w:t>/</w:t>
                  </w:r>
                </w:p>
              </w:tc>
              <w:tc>
                <w:tcPr>
                  <w:tcW w:w="771" w:type="pct"/>
                  <w:vAlign w:val="center"/>
                </w:tcPr>
                <w:p w14:paraId="520ABD4E">
                  <w:pPr>
                    <w:widowControl/>
                    <w:adjustRightInd w:val="0"/>
                    <w:snapToGrid w:val="0"/>
                    <w:jc w:val="center"/>
                    <w:rPr>
                      <w:szCs w:val="21"/>
                    </w:rPr>
                  </w:pPr>
                  <w:r>
                    <w:rPr>
                      <w:rFonts w:hint="eastAsia"/>
                      <w:szCs w:val="21"/>
                    </w:rPr>
                    <w:t>/</w:t>
                  </w:r>
                </w:p>
              </w:tc>
              <w:tc>
                <w:tcPr>
                  <w:tcW w:w="770" w:type="pct"/>
                  <w:vAlign w:val="center"/>
                </w:tcPr>
                <w:p w14:paraId="520ABD4F">
                  <w:pPr>
                    <w:widowControl/>
                    <w:adjustRightInd w:val="0"/>
                    <w:snapToGrid w:val="0"/>
                    <w:jc w:val="center"/>
                    <w:rPr>
                      <w:szCs w:val="21"/>
                    </w:rPr>
                  </w:pPr>
                  <w:r>
                    <w:rPr>
                      <w:rFonts w:hint="eastAsia"/>
                      <w:szCs w:val="21"/>
                    </w:rPr>
                    <w:t>/</w:t>
                  </w:r>
                </w:p>
              </w:tc>
            </w:tr>
            <w:tr w14:paraId="520ABD5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51">
                  <w:pPr>
                    <w:adjustRightInd w:val="0"/>
                    <w:snapToGrid w:val="0"/>
                    <w:jc w:val="center"/>
                    <w:rPr>
                      <w:kern w:val="0"/>
                      <w:szCs w:val="21"/>
                    </w:rPr>
                  </w:pPr>
                </w:p>
              </w:tc>
              <w:tc>
                <w:tcPr>
                  <w:tcW w:w="294" w:type="pct"/>
                  <w:vAlign w:val="center"/>
                </w:tcPr>
                <w:p w14:paraId="520ABD52">
                  <w:pPr>
                    <w:widowControl/>
                    <w:adjustRightInd w:val="0"/>
                    <w:snapToGrid w:val="0"/>
                    <w:jc w:val="center"/>
                    <w:rPr>
                      <w:kern w:val="0"/>
                      <w:szCs w:val="21"/>
                    </w:rPr>
                  </w:pPr>
                  <w:r>
                    <w:rPr>
                      <w:rFonts w:hint="eastAsia"/>
                      <w:kern w:val="0"/>
                      <w:szCs w:val="21"/>
                    </w:rPr>
                    <w:t>DA020</w:t>
                  </w:r>
                </w:p>
              </w:tc>
              <w:tc>
                <w:tcPr>
                  <w:tcW w:w="440" w:type="pct"/>
                  <w:vAlign w:val="center"/>
                </w:tcPr>
                <w:p w14:paraId="520ABD53">
                  <w:pPr>
                    <w:widowControl/>
                    <w:adjustRightInd w:val="0"/>
                    <w:snapToGrid w:val="0"/>
                    <w:jc w:val="center"/>
                    <w:rPr>
                      <w:kern w:val="0"/>
                      <w:szCs w:val="21"/>
                    </w:rPr>
                  </w:pPr>
                  <w:r>
                    <w:rPr>
                      <w:rFonts w:hint="eastAsia"/>
                      <w:szCs w:val="21"/>
                    </w:rPr>
                    <w:t>非甲烷总烃</w:t>
                  </w:r>
                </w:p>
              </w:tc>
              <w:tc>
                <w:tcPr>
                  <w:tcW w:w="402" w:type="pct"/>
                  <w:vAlign w:val="center"/>
                </w:tcPr>
                <w:p w14:paraId="520ABD54">
                  <w:pPr>
                    <w:widowControl/>
                    <w:adjustRightInd w:val="0"/>
                    <w:snapToGrid w:val="0"/>
                    <w:jc w:val="center"/>
                    <w:rPr>
                      <w:szCs w:val="21"/>
                    </w:rPr>
                  </w:pPr>
                  <w:r>
                    <w:rPr>
                      <w:rFonts w:hint="eastAsia"/>
                      <w:szCs w:val="21"/>
                    </w:rPr>
                    <w:t>弹簧组油浴炉</w:t>
                  </w:r>
                </w:p>
              </w:tc>
              <w:tc>
                <w:tcPr>
                  <w:tcW w:w="480" w:type="pct"/>
                  <w:vAlign w:val="center"/>
                </w:tcPr>
                <w:p w14:paraId="520ABD55">
                  <w:pPr>
                    <w:widowControl/>
                    <w:adjustRightInd w:val="0"/>
                    <w:snapToGrid w:val="0"/>
                    <w:jc w:val="center"/>
                    <w:rPr>
                      <w:szCs w:val="21"/>
                    </w:rPr>
                  </w:pPr>
                  <w:r>
                    <w:rPr>
                      <w:rFonts w:hint="eastAsia"/>
                      <w:szCs w:val="21"/>
                    </w:rPr>
                    <w:t>5000</w:t>
                  </w:r>
                </w:p>
              </w:tc>
              <w:tc>
                <w:tcPr>
                  <w:tcW w:w="786" w:type="pct"/>
                  <w:vAlign w:val="center"/>
                </w:tcPr>
                <w:p w14:paraId="520ABD56">
                  <w:pPr>
                    <w:widowControl/>
                    <w:adjustRightInd w:val="0"/>
                    <w:snapToGrid w:val="0"/>
                    <w:jc w:val="center"/>
                    <w:rPr>
                      <w:szCs w:val="21"/>
                    </w:rPr>
                  </w:pPr>
                  <w:r>
                    <w:rPr>
                      <w:rFonts w:hint="eastAsia"/>
                      <w:szCs w:val="21"/>
                    </w:rPr>
                    <w:t>13.5</w:t>
                  </w:r>
                </w:p>
              </w:tc>
              <w:tc>
                <w:tcPr>
                  <w:tcW w:w="689" w:type="pct"/>
                  <w:vAlign w:val="center"/>
                </w:tcPr>
                <w:p w14:paraId="520ABD57">
                  <w:pPr>
                    <w:widowControl/>
                    <w:adjustRightInd w:val="0"/>
                    <w:snapToGrid w:val="0"/>
                    <w:jc w:val="center"/>
                    <w:rPr>
                      <w:szCs w:val="21"/>
                    </w:rPr>
                  </w:pPr>
                  <w:r>
                    <w:rPr>
                      <w:rFonts w:hint="eastAsia"/>
                      <w:szCs w:val="21"/>
                    </w:rPr>
                    <w:t>0.0675</w:t>
                  </w:r>
                </w:p>
              </w:tc>
              <w:tc>
                <w:tcPr>
                  <w:tcW w:w="771" w:type="pct"/>
                  <w:vAlign w:val="center"/>
                </w:tcPr>
                <w:p w14:paraId="520ABD58">
                  <w:pPr>
                    <w:widowControl/>
                    <w:adjustRightInd w:val="0"/>
                    <w:snapToGrid w:val="0"/>
                    <w:jc w:val="center"/>
                    <w:rPr>
                      <w:szCs w:val="21"/>
                    </w:rPr>
                  </w:pPr>
                  <w:r>
                    <w:rPr>
                      <w:rFonts w:hint="eastAsia"/>
                      <w:szCs w:val="21"/>
                    </w:rPr>
                    <w:t>1000</w:t>
                  </w:r>
                </w:p>
              </w:tc>
              <w:tc>
                <w:tcPr>
                  <w:tcW w:w="770" w:type="pct"/>
                  <w:vAlign w:val="center"/>
                </w:tcPr>
                <w:p w14:paraId="520ABD59">
                  <w:pPr>
                    <w:widowControl/>
                    <w:adjustRightInd w:val="0"/>
                    <w:snapToGrid w:val="0"/>
                    <w:jc w:val="center"/>
                    <w:rPr>
                      <w:szCs w:val="21"/>
                    </w:rPr>
                  </w:pPr>
                  <w:r>
                    <w:rPr>
                      <w:rFonts w:hint="eastAsia"/>
                      <w:szCs w:val="21"/>
                    </w:rPr>
                    <w:t>0.0675</w:t>
                  </w:r>
                </w:p>
              </w:tc>
            </w:tr>
            <w:tr w14:paraId="520ABD6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5B">
                  <w:pPr>
                    <w:adjustRightInd w:val="0"/>
                    <w:snapToGrid w:val="0"/>
                    <w:jc w:val="center"/>
                    <w:rPr>
                      <w:kern w:val="0"/>
                      <w:szCs w:val="21"/>
                    </w:rPr>
                  </w:pPr>
                </w:p>
              </w:tc>
              <w:tc>
                <w:tcPr>
                  <w:tcW w:w="294" w:type="pct"/>
                  <w:vAlign w:val="center"/>
                </w:tcPr>
                <w:p w14:paraId="520ABD5C">
                  <w:pPr>
                    <w:widowControl/>
                    <w:adjustRightInd w:val="0"/>
                    <w:snapToGrid w:val="0"/>
                    <w:jc w:val="center"/>
                    <w:rPr>
                      <w:kern w:val="0"/>
                      <w:szCs w:val="21"/>
                    </w:rPr>
                  </w:pPr>
                  <w:r>
                    <w:rPr>
                      <w:rFonts w:hint="eastAsia"/>
                      <w:kern w:val="0"/>
                      <w:szCs w:val="21"/>
                    </w:rPr>
                    <w:t>DA021</w:t>
                  </w:r>
                </w:p>
              </w:tc>
              <w:tc>
                <w:tcPr>
                  <w:tcW w:w="440" w:type="pct"/>
                  <w:vAlign w:val="center"/>
                </w:tcPr>
                <w:p w14:paraId="520ABD5D">
                  <w:pPr>
                    <w:widowControl/>
                    <w:adjustRightInd w:val="0"/>
                    <w:snapToGrid w:val="0"/>
                    <w:jc w:val="center"/>
                    <w:rPr>
                      <w:kern w:val="0"/>
                      <w:szCs w:val="21"/>
                    </w:rPr>
                  </w:pPr>
                  <w:r>
                    <w:rPr>
                      <w:rFonts w:hint="eastAsia"/>
                      <w:szCs w:val="21"/>
                    </w:rPr>
                    <w:t>非甲烷总烃</w:t>
                  </w:r>
                </w:p>
              </w:tc>
              <w:tc>
                <w:tcPr>
                  <w:tcW w:w="402" w:type="pct"/>
                  <w:vAlign w:val="center"/>
                </w:tcPr>
                <w:p w14:paraId="520ABD5E">
                  <w:pPr>
                    <w:widowControl/>
                    <w:adjustRightInd w:val="0"/>
                    <w:snapToGrid w:val="0"/>
                    <w:jc w:val="center"/>
                    <w:rPr>
                      <w:szCs w:val="21"/>
                    </w:rPr>
                  </w:pPr>
                  <w:r>
                    <w:rPr>
                      <w:rFonts w:hint="eastAsia"/>
                      <w:szCs w:val="21"/>
                    </w:rPr>
                    <w:t>底装料立式多用炉生产线</w:t>
                  </w:r>
                </w:p>
              </w:tc>
              <w:tc>
                <w:tcPr>
                  <w:tcW w:w="480" w:type="pct"/>
                  <w:vAlign w:val="center"/>
                </w:tcPr>
                <w:p w14:paraId="520ABD5F">
                  <w:pPr>
                    <w:widowControl/>
                    <w:adjustRightInd w:val="0"/>
                    <w:snapToGrid w:val="0"/>
                    <w:jc w:val="center"/>
                    <w:rPr>
                      <w:szCs w:val="21"/>
                    </w:rPr>
                  </w:pPr>
                  <w:r>
                    <w:rPr>
                      <w:rFonts w:hint="eastAsia"/>
                      <w:szCs w:val="21"/>
                    </w:rPr>
                    <w:t>10000</w:t>
                  </w:r>
                </w:p>
              </w:tc>
              <w:tc>
                <w:tcPr>
                  <w:tcW w:w="786" w:type="pct"/>
                  <w:vAlign w:val="center"/>
                </w:tcPr>
                <w:p w14:paraId="520ABD60">
                  <w:pPr>
                    <w:widowControl/>
                    <w:adjustRightInd w:val="0"/>
                    <w:snapToGrid w:val="0"/>
                    <w:jc w:val="center"/>
                    <w:rPr>
                      <w:szCs w:val="21"/>
                    </w:rPr>
                  </w:pPr>
                  <w:r>
                    <w:rPr>
                      <w:rFonts w:hint="eastAsia"/>
                      <w:szCs w:val="21"/>
                    </w:rPr>
                    <w:t>5.1</w:t>
                  </w:r>
                </w:p>
              </w:tc>
              <w:tc>
                <w:tcPr>
                  <w:tcW w:w="689" w:type="pct"/>
                  <w:vAlign w:val="center"/>
                </w:tcPr>
                <w:p w14:paraId="520ABD61">
                  <w:pPr>
                    <w:widowControl/>
                    <w:adjustRightInd w:val="0"/>
                    <w:snapToGrid w:val="0"/>
                    <w:jc w:val="center"/>
                    <w:rPr>
                      <w:szCs w:val="21"/>
                    </w:rPr>
                  </w:pPr>
                  <w:r>
                    <w:rPr>
                      <w:rFonts w:hint="eastAsia"/>
                      <w:szCs w:val="21"/>
                    </w:rPr>
                    <w:t>0.0506</w:t>
                  </w:r>
                </w:p>
              </w:tc>
              <w:tc>
                <w:tcPr>
                  <w:tcW w:w="771" w:type="pct"/>
                  <w:vAlign w:val="center"/>
                </w:tcPr>
                <w:p w14:paraId="520ABD62">
                  <w:pPr>
                    <w:widowControl/>
                    <w:adjustRightInd w:val="0"/>
                    <w:snapToGrid w:val="0"/>
                    <w:jc w:val="center"/>
                    <w:rPr>
                      <w:szCs w:val="21"/>
                    </w:rPr>
                  </w:pPr>
                  <w:r>
                    <w:rPr>
                      <w:rFonts w:hint="eastAsia"/>
                      <w:szCs w:val="21"/>
                    </w:rPr>
                    <w:t>2000</w:t>
                  </w:r>
                </w:p>
              </w:tc>
              <w:tc>
                <w:tcPr>
                  <w:tcW w:w="770" w:type="pct"/>
                  <w:vAlign w:val="center"/>
                </w:tcPr>
                <w:p w14:paraId="520ABD63">
                  <w:pPr>
                    <w:widowControl/>
                    <w:adjustRightInd w:val="0"/>
                    <w:snapToGrid w:val="0"/>
                    <w:jc w:val="center"/>
                    <w:rPr>
                      <w:szCs w:val="21"/>
                    </w:rPr>
                  </w:pPr>
                  <w:r>
                    <w:rPr>
                      <w:rFonts w:hint="eastAsia"/>
                      <w:szCs w:val="21"/>
                    </w:rPr>
                    <w:t>0.1013</w:t>
                  </w:r>
                </w:p>
              </w:tc>
            </w:tr>
            <w:tr w14:paraId="520ABD6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65">
                  <w:pPr>
                    <w:adjustRightInd w:val="0"/>
                    <w:snapToGrid w:val="0"/>
                    <w:jc w:val="center"/>
                    <w:rPr>
                      <w:kern w:val="0"/>
                      <w:szCs w:val="21"/>
                    </w:rPr>
                  </w:pPr>
                </w:p>
              </w:tc>
              <w:tc>
                <w:tcPr>
                  <w:tcW w:w="294" w:type="pct"/>
                  <w:vAlign w:val="center"/>
                </w:tcPr>
                <w:p w14:paraId="520ABD66">
                  <w:pPr>
                    <w:widowControl/>
                    <w:adjustRightInd w:val="0"/>
                    <w:snapToGrid w:val="0"/>
                    <w:jc w:val="center"/>
                    <w:rPr>
                      <w:kern w:val="0"/>
                      <w:szCs w:val="21"/>
                    </w:rPr>
                  </w:pPr>
                  <w:r>
                    <w:rPr>
                      <w:rFonts w:hint="eastAsia"/>
                      <w:kern w:val="0"/>
                      <w:szCs w:val="21"/>
                    </w:rPr>
                    <w:t>DA022</w:t>
                  </w:r>
                </w:p>
              </w:tc>
              <w:tc>
                <w:tcPr>
                  <w:tcW w:w="440" w:type="pct"/>
                  <w:vAlign w:val="center"/>
                </w:tcPr>
                <w:p w14:paraId="520ABD67">
                  <w:pPr>
                    <w:widowControl/>
                    <w:adjustRightInd w:val="0"/>
                    <w:snapToGrid w:val="0"/>
                    <w:jc w:val="center"/>
                    <w:rPr>
                      <w:kern w:val="0"/>
                      <w:szCs w:val="21"/>
                    </w:rPr>
                  </w:pPr>
                  <w:r>
                    <w:rPr>
                      <w:rFonts w:hint="eastAsia"/>
                      <w:szCs w:val="21"/>
                    </w:rPr>
                    <w:t>非甲烷总烃</w:t>
                  </w:r>
                </w:p>
              </w:tc>
              <w:tc>
                <w:tcPr>
                  <w:tcW w:w="402" w:type="pct"/>
                  <w:vAlign w:val="center"/>
                </w:tcPr>
                <w:p w14:paraId="520ABD68">
                  <w:pPr>
                    <w:widowControl/>
                    <w:adjustRightInd w:val="0"/>
                    <w:snapToGrid w:val="0"/>
                    <w:jc w:val="center"/>
                    <w:rPr>
                      <w:szCs w:val="21"/>
                    </w:rPr>
                  </w:pPr>
                  <w:r>
                    <w:rPr>
                      <w:rFonts w:hint="eastAsia"/>
                      <w:szCs w:val="21"/>
                    </w:rPr>
                    <w:t>底装料立式多用炉生产线</w:t>
                  </w:r>
                </w:p>
              </w:tc>
              <w:tc>
                <w:tcPr>
                  <w:tcW w:w="480" w:type="pct"/>
                  <w:vAlign w:val="center"/>
                </w:tcPr>
                <w:p w14:paraId="520ABD69">
                  <w:pPr>
                    <w:widowControl/>
                    <w:adjustRightInd w:val="0"/>
                    <w:snapToGrid w:val="0"/>
                    <w:jc w:val="center"/>
                    <w:rPr>
                      <w:szCs w:val="21"/>
                    </w:rPr>
                  </w:pPr>
                  <w:r>
                    <w:rPr>
                      <w:rFonts w:hint="eastAsia"/>
                      <w:szCs w:val="21"/>
                    </w:rPr>
                    <w:t>10000</w:t>
                  </w:r>
                </w:p>
              </w:tc>
              <w:tc>
                <w:tcPr>
                  <w:tcW w:w="786" w:type="pct"/>
                  <w:vAlign w:val="center"/>
                </w:tcPr>
                <w:p w14:paraId="520ABD6A">
                  <w:pPr>
                    <w:widowControl/>
                    <w:adjustRightInd w:val="0"/>
                    <w:snapToGrid w:val="0"/>
                    <w:jc w:val="center"/>
                    <w:rPr>
                      <w:szCs w:val="21"/>
                    </w:rPr>
                  </w:pPr>
                  <w:r>
                    <w:rPr>
                      <w:rFonts w:hint="eastAsia"/>
                      <w:szCs w:val="21"/>
                    </w:rPr>
                    <w:t>5.1</w:t>
                  </w:r>
                </w:p>
              </w:tc>
              <w:tc>
                <w:tcPr>
                  <w:tcW w:w="689" w:type="pct"/>
                  <w:vAlign w:val="center"/>
                </w:tcPr>
                <w:p w14:paraId="520ABD6B">
                  <w:pPr>
                    <w:widowControl/>
                    <w:adjustRightInd w:val="0"/>
                    <w:snapToGrid w:val="0"/>
                    <w:jc w:val="center"/>
                    <w:rPr>
                      <w:szCs w:val="21"/>
                    </w:rPr>
                  </w:pPr>
                  <w:r>
                    <w:rPr>
                      <w:rFonts w:hint="eastAsia"/>
                      <w:szCs w:val="21"/>
                    </w:rPr>
                    <w:t>0.0506</w:t>
                  </w:r>
                </w:p>
              </w:tc>
              <w:tc>
                <w:tcPr>
                  <w:tcW w:w="771" w:type="pct"/>
                  <w:vAlign w:val="center"/>
                </w:tcPr>
                <w:p w14:paraId="520ABD6C">
                  <w:pPr>
                    <w:widowControl/>
                    <w:adjustRightInd w:val="0"/>
                    <w:snapToGrid w:val="0"/>
                    <w:jc w:val="center"/>
                    <w:rPr>
                      <w:szCs w:val="21"/>
                    </w:rPr>
                  </w:pPr>
                  <w:r>
                    <w:rPr>
                      <w:rFonts w:hint="eastAsia"/>
                      <w:szCs w:val="21"/>
                    </w:rPr>
                    <w:t>2000</w:t>
                  </w:r>
                </w:p>
              </w:tc>
              <w:tc>
                <w:tcPr>
                  <w:tcW w:w="770" w:type="pct"/>
                  <w:vAlign w:val="center"/>
                </w:tcPr>
                <w:p w14:paraId="520ABD6D">
                  <w:pPr>
                    <w:widowControl/>
                    <w:adjustRightInd w:val="0"/>
                    <w:snapToGrid w:val="0"/>
                    <w:jc w:val="center"/>
                    <w:rPr>
                      <w:szCs w:val="21"/>
                    </w:rPr>
                  </w:pPr>
                  <w:r>
                    <w:rPr>
                      <w:rFonts w:hint="eastAsia"/>
                      <w:szCs w:val="21"/>
                    </w:rPr>
                    <w:t>0.1013</w:t>
                  </w:r>
                </w:p>
              </w:tc>
            </w:tr>
            <w:tr w14:paraId="520ABD7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6F">
                  <w:pPr>
                    <w:adjustRightInd w:val="0"/>
                    <w:snapToGrid w:val="0"/>
                    <w:jc w:val="center"/>
                    <w:rPr>
                      <w:kern w:val="0"/>
                      <w:szCs w:val="21"/>
                    </w:rPr>
                  </w:pPr>
                </w:p>
              </w:tc>
              <w:tc>
                <w:tcPr>
                  <w:tcW w:w="294" w:type="pct"/>
                  <w:vAlign w:val="center"/>
                </w:tcPr>
                <w:p w14:paraId="520ABD70">
                  <w:pPr>
                    <w:widowControl/>
                    <w:adjustRightInd w:val="0"/>
                    <w:snapToGrid w:val="0"/>
                    <w:jc w:val="center"/>
                    <w:rPr>
                      <w:kern w:val="0"/>
                      <w:szCs w:val="21"/>
                    </w:rPr>
                  </w:pPr>
                  <w:r>
                    <w:rPr>
                      <w:rFonts w:hint="eastAsia"/>
                      <w:kern w:val="0"/>
                      <w:szCs w:val="21"/>
                    </w:rPr>
                    <w:t>DA023</w:t>
                  </w:r>
                </w:p>
              </w:tc>
              <w:tc>
                <w:tcPr>
                  <w:tcW w:w="440" w:type="pct"/>
                  <w:vAlign w:val="center"/>
                </w:tcPr>
                <w:p w14:paraId="520ABD71">
                  <w:pPr>
                    <w:widowControl/>
                    <w:adjustRightInd w:val="0"/>
                    <w:snapToGrid w:val="0"/>
                    <w:jc w:val="center"/>
                    <w:rPr>
                      <w:kern w:val="0"/>
                      <w:szCs w:val="21"/>
                    </w:rPr>
                  </w:pPr>
                  <w:r>
                    <w:rPr>
                      <w:rFonts w:hint="eastAsia"/>
                      <w:szCs w:val="21"/>
                    </w:rPr>
                    <w:t>氨</w:t>
                  </w:r>
                </w:p>
              </w:tc>
              <w:tc>
                <w:tcPr>
                  <w:tcW w:w="402" w:type="pct"/>
                  <w:vAlign w:val="center"/>
                </w:tcPr>
                <w:p w14:paraId="520ABD72">
                  <w:pPr>
                    <w:widowControl/>
                    <w:adjustRightInd w:val="0"/>
                    <w:snapToGrid w:val="0"/>
                    <w:jc w:val="center"/>
                    <w:rPr>
                      <w:szCs w:val="21"/>
                    </w:rPr>
                  </w:pPr>
                  <w:r>
                    <w:rPr>
                      <w:rFonts w:hint="eastAsia"/>
                      <w:szCs w:val="21"/>
                    </w:rPr>
                    <w:t>碳氮共渗炉</w:t>
                  </w:r>
                </w:p>
              </w:tc>
              <w:tc>
                <w:tcPr>
                  <w:tcW w:w="480" w:type="pct"/>
                  <w:vAlign w:val="center"/>
                </w:tcPr>
                <w:p w14:paraId="520ABD73">
                  <w:pPr>
                    <w:widowControl/>
                    <w:adjustRightInd w:val="0"/>
                    <w:snapToGrid w:val="0"/>
                    <w:jc w:val="center"/>
                    <w:rPr>
                      <w:szCs w:val="21"/>
                    </w:rPr>
                  </w:pPr>
                  <w:r>
                    <w:rPr>
                      <w:rFonts w:hint="eastAsia"/>
                      <w:szCs w:val="21"/>
                    </w:rPr>
                    <w:t>2000</w:t>
                  </w:r>
                </w:p>
              </w:tc>
              <w:tc>
                <w:tcPr>
                  <w:tcW w:w="786" w:type="pct"/>
                  <w:vAlign w:val="center"/>
                </w:tcPr>
                <w:p w14:paraId="520ABD74">
                  <w:pPr>
                    <w:widowControl/>
                    <w:adjustRightInd w:val="0"/>
                    <w:snapToGrid w:val="0"/>
                    <w:jc w:val="center"/>
                    <w:rPr>
                      <w:szCs w:val="21"/>
                    </w:rPr>
                  </w:pPr>
                  <w:r>
                    <w:rPr>
                      <w:rFonts w:hint="eastAsia"/>
                      <w:szCs w:val="21"/>
                    </w:rPr>
                    <w:t>22.5</w:t>
                  </w:r>
                </w:p>
              </w:tc>
              <w:tc>
                <w:tcPr>
                  <w:tcW w:w="689" w:type="pct"/>
                  <w:vAlign w:val="center"/>
                </w:tcPr>
                <w:p w14:paraId="520ABD75">
                  <w:pPr>
                    <w:widowControl/>
                    <w:adjustRightInd w:val="0"/>
                    <w:snapToGrid w:val="0"/>
                    <w:jc w:val="center"/>
                    <w:rPr>
                      <w:szCs w:val="21"/>
                    </w:rPr>
                  </w:pPr>
                  <w:r>
                    <w:rPr>
                      <w:rFonts w:hint="eastAsia"/>
                      <w:szCs w:val="21"/>
                    </w:rPr>
                    <w:t>0.045</w:t>
                  </w:r>
                </w:p>
              </w:tc>
              <w:tc>
                <w:tcPr>
                  <w:tcW w:w="771" w:type="pct"/>
                  <w:vAlign w:val="center"/>
                </w:tcPr>
                <w:p w14:paraId="520ABD76">
                  <w:pPr>
                    <w:widowControl/>
                    <w:adjustRightInd w:val="0"/>
                    <w:snapToGrid w:val="0"/>
                    <w:jc w:val="center"/>
                    <w:rPr>
                      <w:szCs w:val="21"/>
                    </w:rPr>
                  </w:pPr>
                  <w:r>
                    <w:rPr>
                      <w:rFonts w:hint="eastAsia"/>
                      <w:szCs w:val="21"/>
                    </w:rPr>
                    <w:t>1000</w:t>
                  </w:r>
                </w:p>
              </w:tc>
              <w:tc>
                <w:tcPr>
                  <w:tcW w:w="770" w:type="pct"/>
                  <w:vAlign w:val="center"/>
                </w:tcPr>
                <w:p w14:paraId="520ABD77">
                  <w:pPr>
                    <w:widowControl/>
                    <w:adjustRightInd w:val="0"/>
                    <w:snapToGrid w:val="0"/>
                    <w:jc w:val="center"/>
                    <w:rPr>
                      <w:szCs w:val="21"/>
                    </w:rPr>
                  </w:pPr>
                  <w:r>
                    <w:rPr>
                      <w:rFonts w:hint="eastAsia"/>
                      <w:szCs w:val="21"/>
                    </w:rPr>
                    <w:t>0.045</w:t>
                  </w:r>
                </w:p>
              </w:tc>
            </w:tr>
            <w:tr w14:paraId="520ABD8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79">
                  <w:pPr>
                    <w:adjustRightInd w:val="0"/>
                    <w:snapToGrid w:val="0"/>
                    <w:jc w:val="center"/>
                    <w:rPr>
                      <w:kern w:val="0"/>
                      <w:szCs w:val="21"/>
                    </w:rPr>
                  </w:pPr>
                </w:p>
              </w:tc>
              <w:tc>
                <w:tcPr>
                  <w:tcW w:w="294" w:type="pct"/>
                  <w:vMerge w:val="restart"/>
                  <w:vAlign w:val="center"/>
                </w:tcPr>
                <w:p w14:paraId="520ABD7A">
                  <w:pPr>
                    <w:widowControl/>
                    <w:adjustRightInd w:val="0"/>
                    <w:snapToGrid w:val="0"/>
                    <w:jc w:val="center"/>
                    <w:rPr>
                      <w:kern w:val="0"/>
                      <w:szCs w:val="21"/>
                    </w:rPr>
                  </w:pPr>
                  <w:r>
                    <w:rPr>
                      <w:rFonts w:hint="eastAsia"/>
                      <w:kern w:val="0"/>
                      <w:szCs w:val="21"/>
                    </w:rPr>
                    <w:t>无组织废气</w:t>
                  </w:r>
                </w:p>
              </w:tc>
              <w:tc>
                <w:tcPr>
                  <w:tcW w:w="440" w:type="pct"/>
                  <w:vAlign w:val="center"/>
                </w:tcPr>
                <w:p w14:paraId="520ABD7B">
                  <w:pPr>
                    <w:widowControl/>
                    <w:adjustRightInd w:val="0"/>
                    <w:snapToGrid w:val="0"/>
                    <w:jc w:val="center"/>
                    <w:rPr>
                      <w:szCs w:val="21"/>
                    </w:rPr>
                  </w:pPr>
                  <w:r>
                    <w:rPr>
                      <w:rFonts w:hint="eastAsia"/>
                      <w:szCs w:val="21"/>
                    </w:rPr>
                    <w:t>颗粒物</w:t>
                  </w:r>
                </w:p>
              </w:tc>
              <w:tc>
                <w:tcPr>
                  <w:tcW w:w="402" w:type="pct"/>
                  <w:vAlign w:val="center"/>
                </w:tcPr>
                <w:p w14:paraId="520ABD7C">
                  <w:pPr>
                    <w:widowControl/>
                    <w:adjustRightInd w:val="0"/>
                    <w:snapToGrid w:val="0"/>
                    <w:jc w:val="center"/>
                    <w:rPr>
                      <w:szCs w:val="21"/>
                    </w:rPr>
                  </w:pPr>
                  <w:r>
                    <w:rPr>
                      <w:rFonts w:hint="eastAsia"/>
                      <w:szCs w:val="21"/>
                    </w:rPr>
                    <w:t>焊接</w:t>
                  </w:r>
                </w:p>
              </w:tc>
              <w:tc>
                <w:tcPr>
                  <w:tcW w:w="480" w:type="pct"/>
                  <w:vAlign w:val="center"/>
                </w:tcPr>
                <w:p w14:paraId="520ABD7D">
                  <w:pPr>
                    <w:widowControl/>
                    <w:adjustRightInd w:val="0"/>
                    <w:snapToGrid w:val="0"/>
                    <w:jc w:val="center"/>
                    <w:rPr>
                      <w:szCs w:val="21"/>
                    </w:rPr>
                  </w:pPr>
                  <w:r>
                    <w:rPr>
                      <w:rFonts w:hint="eastAsia"/>
                      <w:szCs w:val="21"/>
                    </w:rPr>
                    <w:t>/</w:t>
                  </w:r>
                </w:p>
              </w:tc>
              <w:tc>
                <w:tcPr>
                  <w:tcW w:w="786" w:type="pct"/>
                  <w:vAlign w:val="center"/>
                </w:tcPr>
                <w:p w14:paraId="520ABD7E">
                  <w:pPr>
                    <w:widowControl/>
                    <w:adjustRightInd w:val="0"/>
                    <w:snapToGrid w:val="0"/>
                    <w:jc w:val="center"/>
                    <w:rPr>
                      <w:szCs w:val="21"/>
                    </w:rPr>
                  </w:pPr>
                  <w:r>
                    <w:rPr>
                      <w:rFonts w:hint="eastAsia"/>
                      <w:szCs w:val="21"/>
                    </w:rPr>
                    <w:t>/</w:t>
                  </w:r>
                </w:p>
              </w:tc>
              <w:tc>
                <w:tcPr>
                  <w:tcW w:w="689" w:type="pct"/>
                  <w:vAlign w:val="center"/>
                </w:tcPr>
                <w:p w14:paraId="520ABD7F">
                  <w:pPr>
                    <w:widowControl/>
                    <w:adjustRightInd w:val="0"/>
                    <w:snapToGrid w:val="0"/>
                    <w:jc w:val="center"/>
                    <w:rPr>
                      <w:szCs w:val="21"/>
                    </w:rPr>
                  </w:pPr>
                  <w:r>
                    <w:rPr>
                      <w:rFonts w:hint="eastAsia"/>
                      <w:szCs w:val="21"/>
                    </w:rPr>
                    <w:t>0.0205</w:t>
                  </w:r>
                </w:p>
              </w:tc>
              <w:tc>
                <w:tcPr>
                  <w:tcW w:w="771" w:type="pct"/>
                  <w:vAlign w:val="center"/>
                </w:tcPr>
                <w:p w14:paraId="520ABD80">
                  <w:pPr>
                    <w:widowControl/>
                    <w:adjustRightInd w:val="0"/>
                    <w:snapToGrid w:val="0"/>
                    <w:jc w:val="center"/>
                    <w:rPr>
                      <w:szCs w:val="21"/>
                    </w:rPr>
                  </w:pPr>
                  <w:r>
                    <w:rPr>
                      <w:rFonts w:hint="eastAsia"/>
                      <w:szCs w:val="21"/>
                    </w:rPr>
                    <w:t>1000</w:t>
                  </w:r>
                </w:p>
              </w:tc>
              <w:tc>
                <w:tcPr>
                  <w:tcW w:w="770" w:type="pct"/>
                  <w:vAlign w:val="center"/>
                </w:tcPr>
                <w:p w14:paraId="520ABD81">
                  <w:pPr>
                    <w:widowControl/>
                    <w:adjustRightInd w:val="0"/>
                    <w:snapToGrid w:val="0"/>
                    <w:jc w:val="center"/>
                    <w:rPr>
                      <w:szCs w:val="21"/>
                    </w:rPr>
                  </w:pPr>
                  <w:r>
                    <w:rPr>
                      <w:rFonts w:hint="eastAsia"/>
                      <w:szCs w:val="21"/>
                    </w:rPr>
                    <w:t>0.0205</w:t>
                  </w:r>
                </w:p>
              </w:tc>
            </w:tr>
            <w:tr w14:paraId="520ABD8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83">
                  <w:pPr>
                    <w:adjustRightInd w:val="0"/>
                    <w:snapToGrid w:val="0"/>
                    <w:jc w:val="center"/>
                    <w:rPr>
                      <w:kern w:val="0"/>
                      <w:szCs w:val="21"/>
                    </w:rPr>
                  </w:pPr>
                </w:p>
              </w:tc>
              <w:tc>
                <w:tcPr>
                  <w:tcW w:w="294" w:type="pct"/>
                  <w:vMerge w:val="continue"/>
                  <w:vAlign w:val="center"/>
                </w:tcPr>
                <w:p w14:paraId="520ABD84">
                  <w:pPr>
                    <w:widowControl/>
                    <w:adjustRightInd w:val="0"/>
                    <w:snapToGrid w:val="0"/>
                    <w:jc w:val="center"/>
                    <w:rPr>
                      <w:kern w:val="0"/>
                      <w:szCs w:val="21"/>
                    </w:rPr>
                  </w:pPr>
                </w:p>
              </w:tc>
              <w:tc>
                <w:tcPr>
                  <w:tcW w:w="440" w:type="pct"/>
                  <w:vAlign w:val="center"/>
                </w:tcPr>
                <w:p w14:paraId="520ABD85">
                  <w:pPr>
                    <w:widowControl/>
                    <w:adjustRightInd w:val="0"/>
                    <w:snapToGrid w:val="0"/>
                    <w:jc w:val="center"/>
                    <w:rPr>
                      <w:szCs w:val="21"/>
                    </w:rPr>
                  </w:pPr>
                  <w:r>
                    <w:rPr>
                      <w:rFonts w:hint="eastAsia"/>
                      <w:szCs w:val="21"/>
                    </w:rPr>
                    <w:t>非甲烷总烃</w:t>
                  </w:r>
                </w:p>
              </w:tc>
              <w:tc>
                <w:tcPr>
                  <w:tcW w:w="402" w:type="pct"/>
                  <w:vAlign w:val="center"/>
                </w:tcPr>
                <w:p w14:paraId="520ABD86">
                  <w:pPr>
                    <w:widowControl/>
                    <w:adjustRightInd w:val="0"/>
                    <w:snapToGrid w:val="0"/>
                    <w:jc w:val="center"/>
                    <w:rPr>
                      <w:szCs w:val="21"/>
                    </w:rPr>
                  </w:pPr>
                  <w:r>
                    <w:rPr>
                      <w:rFonts w:hint="eastAsia"/>
                      <w:szCs w:val="21"/>
                    </w:rPr>
                    <w:t>注胶</w:t>
                  </w:r>
                </w:p>
              </w:tc>
              <w:tc>
                <w:tcPr>
                  <w:tcW w:w="480" w:type="pct"/>
                  <w:vAlign w:val="center"/>
                </w:tcPr>
                <w:p w14:paraId="520ABD87">
                  <w:pPr>
                    <w:widowControl/>
                    <w:adjustRightInd w:val="0"/>
                    <w:snapToGrid w:val="0"/>
                    <w:jc w:val="center"/>
                    <w:rPr>
                      <w:szCs w:val="21"/>
                    </w:rPr>
                  </w:pPr>
                  <w:r>
                    <w:rPr>
                      <w:rFonts w:hint="eastAsia"/>
                      <w:szCs w:val="21"/>
                    </w:rPr>
                    <w:t>/</w:t>
                  </w:r>
                </w:p>
              </w:tc>
              <w:tc>
                <w:tcPr>
                  <w:tcW w:w="786" w:type="pct"/>
                  <w:vAlign w:val="center"/>
                </w:tcPr>
                <w:p w14:paraId="520ABD88">
                  <w:pPr>
                    <w:widowControl/>
                    <w:adjustRightInd w:val="0"/>
                    <w:snapToGrid w:val="0"/>
                    <w:jc w:val="center"/>
                    <w:rPr>
                      <w:szCs w:val="21"/>
                    </w:rPr>
                  </w:pPr>
                  <w:r>
                    <w:rPr>
                      <w:rFonts w:hint="eastAsia"/>
                      <w:szCs w:val="21"/>
                    </w:rPr>
                    <w:t>/</w:t>
                  </w:r>
                </w:p>
              </w:tc>
              <w:tc>
                <w:tcPr>
                  <w:tcW w:w="689" w:type="pct"/>
                  <w:vAlign w:val="center"/>
                </w:tcPr>
                <w:p w14:paraId="520ABD89">
                  <w:pPr>
                    <w:widowControl/>
                    <w:adjustRightInd w:val="0"/>
                    <w:snapToGrid w:val="0"/>
                    <w:jc w:val="center"/>
                    <w:rPr>
                      <w:szCs w:val="21"/>
                    </w:rPr>
                  </w:pPr>
                  <w:r>
                    <w:rPr>
                      <w:rFonts w:hint="eastAsia"/>
                      <w:szCs w:val="21"/>
                    </w:rPr>
                    <w:t>0.012</w:t>
                  </w:r>
                </w:p>
              </w:tc>
              <w:tc>
                <w:tcPr>
                  <w:tcW w:w="771" w:type="pct"/>
                  <w:vAlign w:val="center"/>
                </w:tcPr>
                <w:p w14:paraId="520ABD8A">
                  <w:pPr>
                    <w:widowControl/>
                    <w:adjustRightInd w:val="0"/>
                    <w:snapToGrid w:val="0"/>
                    <w:jc w:val="center"/>
                    <w:rPr>
                      <w:szCs w:val="21"/>
                    </w:rPr>
                  </w:pPr>
                  <w:r>
                    <w:rPr>
                      <w:rFonts w:hint="eastAsia"/>
                      <w:szCs w:val="21"/>
                    </w:rPr>
                    <w:t>2000</w:t>
                  </w:r>
                </w:p>
              </w:tc>
              <w:tc>
                <w:tcPr>
                  <w:tcW w:w="770" w:type="pct"/>
                  <w:vAlign w:val="center"/>
                </w:tcPr>
                <w:p w14:paraId="520ABD8B">
                  <w:pPr>
                    <w:widowControl/>
                    <w:adjustRightInd w:val="0"/>
                    <w:snapToGrid w:val="0"/>
                    <w:jc w:val="center"/>
                    <w:rPr>
                      <w:szCs w:val="21"/>
                    </w:rPr>
                  </w:pPr>
                  <w:r>
                    <w:rPr>
                      <w:rFonts w:hint="eastAsia"/>
                      <w:szCs w:val="21"/>
                    </w:rPr>
                    <w:t>0.024</w:t>
                  </w:r>
                </w:p>
              </w:tc>
            </w:tr>
            <w:tr w14:paraId="520ABD9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8D">
                  <w:pPr>
                    <w:adjustRightInd w:val="0"/>
                    <w:snapToGrid w:val="0"/>
                    <w:jc w:val="center"/>
                    <w:rPr>
                      <w:kern w:val="0"/>
                      <w:szCs w:val="21"/>
                    </w:rPr>
                  </w:pPr>
                </w:p>
              </w:tc>
              <w:tc>
                <w:tcPr>
                  <w:tcW w:w="294" w:type="pct"/>
                  <w:vMerge w:val="continue"/>
                  <w:vAlign w:val="center"/>
                </w:tcPr>
                <w:p w14:paraId="520ABD8E">
                  <w:pPr>
                    <w:widowControl/>
                    <w:adjustRightInd w:val="0"/>
                    <w:snapToGrid w:val="0"/>
                    <w:jc w:val="center"/>
                    <w:rPr>
                      <w:kern w:val="0"/>
                      <w:szCs w:val="21"/>
                    </w:rPr>
                  </w:pPr>
                </w:p>
              </w:tc>
              <w:tc>
                <w:tcPr>
                  <w:tcW w:w="440" w:type="pct"/>
                  <w:vAlign w:val="center"/>
                </w:tcPr>
                <w:p w14:paraId="520ABD8F">
                  <w:pPr>
                    <w:widowControl/>
                    <w:adjustRightInd w:val="0"/>
                    <w:snapToGrid w:val="0"/>
                    <w:jc w:val="center"/>
                    <w:rPr>
                      <w:szCs w:val="21"/>
                    </w:rPr>
                  </w:pPr>
                  <w:r>
                    <w:rPr>
                      <w:rFonts w:hint="eastAsia"/>
                      <w:szCs w:val="21"/>
                    </w:rPr>
                    <w:t>非甲烷总烃</w:t>
                  </w:r>
                </w:p>
              </w:tc>
              <w:tc>
                <w:tcPr>
                  <w:tcW w:w="402" w:type="pct"/>
                  <w:vAlign w:val="center"/>
                </w:tcPr>
                <w:p w14:paraId="520ABD90">
                  <w:pPr>
                    <w:widowControl/>
                    <w:adjustRightInd w:val="0"/>
                    <w:snapToGrid w:val="0"/>
                    <w:jc w:val="center"/>
                    <w:rPr>
                      <w:szCs w:val="21"/>
                    </w:rPr>
                  </w:pPr>
                  <w:r>
                    <w:rPr>
                      <w:rFonts w:hint="eastAsia"/>
                      <w:szCs w:val="21"/>
                    </w:rPr>
                    <w:t>弹簧组油浴炉</w:t>
                  </w:r>
                </w:p>
              </w:tc>
              <w:tc>
                <w:tcPr>
                  <w:tcW w:w="480" w:type="pct"/>
                  <w:vAlign w:val="center"/>
                </w:tcPr>
                <w:p w14:paraId="520ABD91">
                  <w:pPr>
                    <w:widowControl/>
                    <w:adjustRightInd w:val="0"/>
                    <w:snapToGrid w:val="0"/>
                    <w:jc w:val="center"/>
                    <w:rPr>
                      <w:szCs w:val="21"/>
                    </w:rPr>
                  </w:pPr>
                  <w:r>
                    <w:rPr>
                      <w:rFonts w:hint="eastAsia"/>
                      <w:szCs w:val="21"/>
                    </w:rPr>
                    <w:t>/</w:t>
                  </w:r>
                </w:p>
              </w:tc>
              <w:tc>
                <w:tcPr>
                  <w:tcW w:w="786" w:type="pct"/>
                  <w:vAlign w:val="center"/>
                </w:tcPr>
                <w:p w14:paraId="520ABD92">
                  <w:pPr>
                    <w:widowControl/>
                    <w:adjustRightInd w:val="0"/>
                    <w:snapToGrid w:val="0"/>
                    <w:jc w:val="center"/>
                    <w:rPr>
                      <w:szCs w:val="21"/>
                    </w:rPr>
                  </w:pPr>
                  <w:r>
                    <w:rPr>
                      <w:rFonts w:hint="eastAsia"/>
                      <w:szCs w:val="21"/>
                    </w:rPr>
                    <w:t>/</w:t>
                  </w:r>
                </w:p>
              </w:tc>
              <w:tc>
                <w:tcPr>
                  <w:tcW w:w="689" w:type="pct"/>
                  <w:vAlign w:val="center"/>
                </w:tcPr>
                <w:p w14:paraId="520ABD93">
                  <w:pPr>
                    <w:widowControl/>
                    <w:adjustRightInd w:val="0"/>
                    <w:snapToGrid w:val="0"/>
                    <w:jc w:val="center"/>
                    <w:rPr>
                      <w:szCs w:val="21"/>
                    </w:rPr>
                  </w:pPr>
                  <w:r>
                    <w:rPr>
                      <w:rFonts w:hint="eastAsia"/>
                      <w:szCs w:val="21"/>
                    </w:rPr>
                    <w:t>0.05</w:t>
                  </w:r>
                </w:p>
              </w:tc>
              <w:tc>
                <w:tcPr>
                  <w:tcW w:w="771" w:type="pct"/>
                  <w:vAlign w:val="center"/>
                </w:tcPr>
                <w:p w14:paraId="520ABD94">
                  <w:pPr>
                    <w:widowControl/>
                    <w:adjustRightInd w:val="0"/>
                    <w:snapToGrid w:val="0"/>
                    <w:jc w:val="center"/>
                    <w:rPr>
                      <w:szCs w:val="21"/>
                    </w:rPr>
                  </w:pPr>
                  <w:r>
                    <w:rPr>
                      <w:rFonts w:hint="eastAsia"/>
                      <w:szCs w:val="21"/>
                    </w:rPr>
                    <w:t>1000</w:t>
                  </w:r>
                </w:p>
              </w:tc>
              <w:tc>
                <w:tcPr>
                  <w:tcW w:w="770" w:type="pct"/>
                  <w:vAlign w:val="center"/>
                </w:tcPr>
                <w:p w14:paraId="520ABD95">
                  <w:pPr>
                    <w:widowControl/>
                    <w:adjustRightInd w:val="0"/>
                    <w:snapToGrid w:val="0"/>
                    <w:jc w:val="center"/>
                    <w:rPr>
                      <w:szCs w:val="21"/>
                    </w:rPr>
                  </w:pPr>
                  <w:r>
                    <w:rPr>
                      <w:rFonts w:hint="eastAsia"/>
                      <w:szCs w:val="21"/>
                    </w:rPr>
                    <w:t>0.05</w:t>
                  </w:r>
                </w:p>
              </w:tc>
            </w:tr>
            <w:tr w14:paraId="520ABDA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8" w:type="pct"/>
                  <w:vMerge w:val="continue"/>
                  <w:vAlign w:val="center"/>
                </w:tcPr>
                <w:p w14:paraId="520ABD97">
                  <w:pPr>
                    <w:adjustRightInd w:val="0"/>
                    <w:snapToGrid w:val="0"/>
                    <w:jc w:val="center"/>
                    <w:rPr>
                      <w:kern w:val="0"/>
                      <w:szCs w:val="21"/>
                    </w:rPr>
                  </w:pPr>
                </w:p>
              </w:tc>
              <w:tc>
                <w:tcPr>
                  <w:tcW w:w="294" w:type="pct"/>
                  <w:vMerge w:val="continue"/>
                  <w:vAlign w:val="center"/>
                </w:tcPr>
                <w:p w14:paraId="520ABD98">
                  <w:pPr>
                    <w:widowControl/>
                    <w:adjustRightInd w:val="0"/>
                    <w:snapToGrid w:val="0"/>
                    <w:jc w:val="center"/>
                    <w:rPr>
                      <w:kern w:val="0"/>
                      <w:szCs w:val="21"/>
                    </w:rPr>
                  </w:pPr>
                </w:p>
              </w:tc>
              <w:tc>
                <w:tcPr>
                  <w:tcW w:w="440" w:type="pct"/>
                  <w:vAlign w:val="center"/>
                </w:tcPr>
                <w:p w14:paraId="520ABD99">
                  <w:pPr>
                    <w:widowControl/>
                    <w:adjustRightInd w:val="0"/>
                    <w:snapToGrid w:val="0"/>
                    <w:jc w:val="center"/>
                    <w:rPr>
                      <w:szCs w:val="21"/>
                    </w:rPr>
                  </w:pPr>
                  <w:r>
                    <w:rPr>
                      <w:rFonts w:hint="eastAsia"/>
                      <w:szCs w:val="21"/>
                    </w:rPr>
                    <w:t>非甲烷总烃</w:t>
                  </w:r>
                </w:p>
              </w:tc>
              <w:tc>
                <w:tcPr>
                  <w:tcW w:w="402" w:type="pct"/>
                  <w:vAlign w:val="center"/>
                </w:tcPr>
                <w:p w14:paraId="520ABD9A">
                  <w:pPr>
                    <w:widowControl/>
                    <w:adjustRightInd w:val="0"/>
                    <w:snapToGrid w:val="0"/>
                    <w:jc w:val="center"/>
                    <w:rPr>
                      <w:szCs w:val="21"/>
                    </w:rPr>
                  </w:pPr>
                  <w:r>
                    <w:rPr>
                      <w:rFonts w:hint="eastAsia"/>
                      <w:szCs w:val="21"/>
                    </w:rPr>
                    <w:t>底装料立式多用炉生产线</w:t>
                  </w:r>
                </w:p>
              </w:tc>
              <w:tc>
                <w:tcPr>
                  <w:tcW w:w="480" w:type="pct"/>
                  <w:vAlign w:val="center"/>
                </w:tcPr>
                <w:p w14:paraId="520ABD9B">
                  <w:pPr>
                    <w:widowControl/>
                    <w:adjustRightInd w:val="0"/>
                    <w:snapToGrid w:val="0"/>
                    <w:jc w:val="center"/>
                    <w:rPr>
                      <w:szCs w:val="21"/>
                    </w:rPr>
                  </w:pPr>
                  <w:r>
                    <w:rPr>
                      <w:rFonts w:hint="eastAsia"/>
                      <w:szCs w:val="21"/>
                    </w:rPr>
                    <w:t>/</w:t>
                  </w:r>
                </w:p>
              </w:tc>
              <w:tc>
                <w:tcPr>
                  <w:tcW w:w="786" w:type="pct"/>
                  <w:vAlign w:val="center"/>
                </w:tcPr>
                <w:p w14:paraId="520ABD9C">
                  <w:pPr>
                    <w:widowControl/>
                    <w:adjustRightInd w:val="0"/>
                    <w:snapToGrid w:val="0"/>
                    <w:jc w:val="center"/>
                    <w:rPr>
                      <w:szCs w:val="21"/>
                    </w:rPr>
                  </w:pPr>
                  <w:r>
                    <w:rPr>
                      <w:rFonts w:hint="eastAsia"/>
                      <w:szCs w:val="21"/>
                    </w:rPr>
                    <w:t>/</w:t>
                  </w:r>
                </w:p>
              </w:tc>
              <w:tc>
                <w:tcPr>
                  <w:tcW w:w="689" w:type="pct"/>
                  <w:vAlign w:val="center"/>
                </w:tcPr>
                <w:p w14:paraId="520ABD9D">
                  <w:pPr>
                    <w:widowControl/>
                    <w:adjustRightInd w:val="0"/>
                    <w:snapToGrid w:val="0"/>
                    <w:jc w:val="center"/>
                    <w:rPr>
                      <w:szCs w:val="21"/>
                    </w:rPr>
                  </w:pPr>
                  <w:r>
                    <w:rPr>
                      <w:rFonts w:hint="eastAsia"/>
                      <w:szCs w:val="21"/>
                    </w:rPr>
                    <w:t>0.075</w:t>
                  </w:r>
                </w:p>
              </w:tc>
              <w:tc>
                <w:tcPr>
                  <w:tcW w:w="771" w:type="pct"/>
                  <w:vAlign w:val="center"/>
                </w:tcPr>
                <w:p w14:paraId="520ABD9E">
                  <w:pPr>
                    <w:widowControl/>
                    <w:adjustRightInd w:val="0"/>
                    <w:snapToGrid w:val="0"/>
                    <w:jc w:val="center"/>
                    <w:rPr>
                      <w:szCs w:val="21"/>
                    </w:rPr>
                  </w:pPr>
                  <w:r>
                    <w:rPr>
                      <w:rFonts w:hint="eastAsia"/>
                      <w:szCs w:val="21"/>
                    </w:rPr>
                    <w:t>2000</w:t>
                  </w:r>
                </w:p>
              </w:tc>
              <w:tc>
                <w:tcPr>
                  <w:tcW w:w="770" w:type="pct"/>
                  <w:vAlign w:val="center"/>
                </w:tcPr>
                <w:p w14:paraId="520ABD9F">
                  <w:pPr>
                    <w:widowControl/>
                    <w:adjustRightInd w:val="0"/>
                    <w:snapToGrid w:val="0"/>
                    <w:jc w:val="center"/>
                    <w:rPr>
                      <w:szCs w:val="21"/>
                    </w:rPr>
                  </w:pPr>
                  <w:r>
                    <w:rPr>
                      <w:rFonts w:hint="eastAsia"/>
                      <w:szCs w:val="21"/>
                    </w:rPr>
                    <w:t>0.15</w:t>
                  </w:r>
                </w:p>
              </w:tc>
            </w:tr>
          </w:tbl>
          <w:p w14:paraId="520ABDA1">
            <w:pPr>
              <w:adjustRightInd w:val="0"/>
              <w:snapToGrid w:val="0"/>
              <w:ind w:firstLine="420" w:firstLineChars="200"/>
              <w:rPr>
                <w:rFonts w:eastAsia="黑体"/>
              </w:rPr>
            </w:pPr>
            <w:r>
              <w:rPr>
                <w:rFonts w:eastAsia="黑体"/>
              </w:rPr>
              <w:t>注：</w:t>
            </w:r>
            <w:r>
              <w:rPr>
                <w:rFonts w:hint="eastAsia" w:eastAsia="黑体"/>
              </w:rPr>
              <w:t>①苯排放浓度检测结果为N</w:t>
            </w:r>
            <w:r>
              <w:rPr>
                <w:rFonts w:eastAsia="黑体"/>
              </w:rPr>
              <w:t>D</w:t>
            </w:r>
            <w:r>
              <w:rPr>
                <w:rFonts w:hint="eastAsia" w:eastAsia="黑体"/>
              </w:rPr>
              <w:t>（低于检出限），按照最不利原则，取检出限</w:t>
            </w:r>
            <w:r>
              <w:rPr>
                <w:rFonts w:eastAsia="黑体"/>
              </w:rPr>
              <w:t>0.0015mg/m</w:t>
            </w:r>
            <w:r>
              <w:rPr>
                <w:rFonts w:eastAsia="黑体"/>
                <w:vertAlign w:val="superscript"/>
              </w:rPr>
              <w:t>3</w:t>
            </w:r>
            <w:r>
              <w:rPr>
                <w:rFonts w:hint="eastAsia" w:eastAsia="黑体"/>
              </w:rPr>
              <w:t>进行计算。</w:t>
            </w:r>
          </w:p>
          <w:p w14:paraId="520ABDA2">
            <w:pPr>
              <w:adjustRightInd w:val="0"/>
              <w:snapToGrid w:val="0"/>
              <w:ind w:firstLine="420" w:firstLineChars="200"/>
              <w:rPr>
                <w:rFonts w:eastAsia="黑体"/>
              </w:rPr>
            </w:pPr>
            <w:r>
              <w:rPr>
                <w:rFonts w:hint="eastAsia" w:ascii="宋体" w:hAnsi="宋体" w:cs="宋体"/>
              </w:rPr>
              <w:t>②</w:t>
            </w:r>
            <w:r>
              <w:rPr>
                <w:rFonts w:eastAsia="黑体"/>
              </w:rPr>
              <w:t>根据企业提供实际生产数据，202</w:t>
            </w:r>
            <w:r>
              <w:rPr>
                <w:rFonts w:hint="eastAsia" w:eastAsia="黑体"/>
              </w:rPr>
              <w:t>5.4.24、4.25</w:t>
            </w:r>
            <w:r>
              <w:rPr>
                <w:rFonts w:eastAsia="黑体"/>
              </w:rPr>
              <w:t>检测时</w:t>
            </w:r>
            <w:r>
              <w:rPr>
                <w:rFonts w:hint="eastAsia" w:eastAsia="黑体"/>
              </w:rPr>
              <w:t>电镀生产线、电镀污水处理站</w:t>
            </w:r>
            <w:r>
              <w:rPr>
                <w:rFonts w:eastAsia="黑体"/>
              </w:rPr>
              <w:t>生产</w:t>
            </w:r>
            <w:r>
              <w:rPr>
                <w:rFonts w:hint="eastAsia" w:eastAsia="黑体"/>
              </w:rPr>
              <w:t>负荷</w:t>
            </w:r>
            <w:r>
              <w:rPr>
                <w:rFonts w:eastAsia="黑体"/>
              </w:rPr>
              <w:t>约为</w:t>
            </w:r>
            <w:r>
              <w:rPr>
                <w:rFonts w:hint="eastAsia" w:eastAsia="黑体"/>
              </w:rPr>
              <w:t>40</w:t>
            </w:r>
            <w:r>
              <w:rPr>
                <w:rFonts w:eastAsia="黑体"/>
              </w:rPr>
              <w:t>%</w:t>
            </w:r>
            <w:r>
              <w:rPr>
                <w:rFonts w:hint="eastAsia" w:eastAsia="黑体"/>
              </w:rPr>
              <w:t>，喷涂生产线及热处理</w:t>
            </w:r>
            <w:r>
              <w:rPr>
                <w:rFonts w:eastAsia="黑体"/>
              </w:rPr>
              <w:t>生产</w:t>
            </w:r>
            <w:r>
              <w:rPr>
                <w:rFonts w:hint="eastAsia" w:eastAsia="黑体"/>
              </w:rPr>
              <w:t>负荷</w:t>
            </w:r>
            <w:r>
              <w:rPr>
                <w:rFonts w:eastAsia="黑体"/>
              </w:rPr>
              <w:t>约为</w:t>
            </w:r>
            <w:r>
              <w:rPr>
                <w:rFonts w:hint="eastAsia" w:eastAsia="黑体"/>
              </w:rPr>
              <w:t>12</w:t>
            </w:r>
            <w:r>
              <w:rPr>
                <w:rFonts w:eastAsia="黑体"/>
              </w:rPr>
              <w:t>%</w:t>
            </w:r>
            <w:r>
              <w:rPr>
                <w:rFonts w:hint="eastAsia" w:eastAsia="黑体"/>
              </w:rPr>
              <w:t>，干式吹砂机、抛丸机</w:t>
            </w:r>
            <w:r>
              <w:rPr>
                <w:rFonts w:eastAsia="黑体"/>
              </w:rPr>
              <w:t>生产</w:t>
            </w:r>
            <w:r>
              <w:rPr>
                <w:rFonts w:hint="eastAsia" w:eastAsia="黑体"/>
              </w:rPr>
              <w:t>负荷</w:t>
            </w:r>
            <w:r>
              <w:rPr>
                <w:rFonts w:eastAsia="黑体"/>
              </w:rPr>
              <w:t>约为</w:t>
            </w:r>
            <w:r>
              <w:rPr>
                <w:rFonts w:hint="eastAsia" w:eastAsia="黑体"/>
              </w:rPr>
              <w:t>3</w:t>
            </w:r>
            <w:r>
              <w:rPr>
                <w:rFonts w:eastAsia="黑体"/>
              </w:rPr>
              <w:t>0%</w:t>
            </w:r>
            <w:r>
              <w:rPr>
                <w:rFonts w:hint="eastAsia" w:eastAsia="黑体"/>
              </w:rPr>
              <w:t>，橡塑硫化生产负荷约为85%（2023年）、100%（2025年），危废贮存、含油铁屑暂存、污水处理站生产负荷1</w:t>
            </w:r>
            <w:r>
              <w:rPr>
                <w:rFonts w:eastAsia="黑体"/>
              </w:rPr>
              <w:t>00</w:t>
            </w:r>
            <w:r>
              <w:rPr>
                <w:rFonts w:hint="eastAsia" w:eastAsia="黑体"/>
              </w:rPr>
              <w:t>%，其余工序生产负荷约为15%；2023.6.20检测时抛丸机生产负荷约为30%，</w:t>
            </w:r>
            <w:r>
              <w:rPr>
                <w:rFonts w:eastAsia="黑体"/>
              </w:rPr>
              <w:t>根据生产</w:t>
            </w:r>
            <w:r>
              <w:rPr>
                <w:rFonts w:hint="eastAsia" w:eastAsia="黑体"/>
              </w:rPr>
              <w:t>负荷</w:t>
            </w:r>
            <w:r>
              <w:rPr>
                <w:rFonts w:eastAsia="黑体"/>
              </w:rPr>
              <w:t>折算出满负荷生产时的最大排放量。</w:t>
            </w:r>
          </w:p>
          <w:p w14:paraId="073C3315">
            <w:pPr>
              <w:adjustRightInd w:val="0"/>
              <w:snapToGrid w:val="0"/>
              <w:ind w:firstLine="420" w:firstLineChars="200"/>
              <w:rPr>
                <w:rFonts w:eastAsia="黑体"/>
              </w:rPr>
            </w:pPr>
            <w:r>
              <w:rPr>
                <w:rFonts w:hint="eastAsia" w:eastAsia="黑体"/>
              </w:rPr>
              <w:t>③因碱炉废气和盐浴炉废气产生量极少，类比企业浓度基本未检出，故环评中未对其进行定量分析。</w:t>
            </w:r>
          </w:p>
          <w:p w14:paraId="3B8FF396">
            <w:pPr>
              <w:adjustRightInd w:val="0"/>
              <w:snapToGrid w:val="0"/>
              <w:ind w:firstLine="420" w:firstLineChars="200"/>
              <w:rPr>
                <w:rFonts w:eastAsia="黑体"/>
              </w:rPr>
            </w:pPr>
          </w:p>
          <w:p w14:paraId="0EC7BF62">
            <w:pPr>
              <w:adjustRightInd w:val="0"/>
              <w:snapToGrid w:val="0"/>
              <w:ind w:firstLine="420" w:firstLineChars="200"/>
              <w:rPr>
                <w:rFonts w:eastAsia="黑体"/>
              </w:rPr>
            </w:pPr>
          </w:p>
          <w:p w14:paraId="1B05227D">
            <w:pPr>
              <w:adjustRightInd w:val="0"/>
              <w:snapToGrid w:val="0"/>
              <w:ind w:firstLine="420" w:firstLineChars="200"/>
              <w:rPr>
                <w:rFonts w:eastAsia="黑体"/>
              </w:rPr>
            </w:pPr>
          </w:p>
          <w:p w14:paraId="7443751A">
            <w:pPr>
              <w:adjustRightInd w:val="0"/>
              <w:snapToGrid w:val="0"/>
              <w:ind w:firstLine="300" w:firstLineChars="200"/>
              <w:rPr>
                <w:rFonts w:hint="eastAsia" w:ascii="黑体" w:hAnsi="黑体" w:eastAsia="黑体"/>
                <w:snapToGrid w:val="0"/>
                <w:sz w:val="15"/>
                <w:szCs w:val="15"/>
                <w:highlight w:val="yellow"/>
              </w:rPr>
            </w:pPr>
          </w:p>
          <w:p w14:paraId="53820158">
            <w:pPr>
              <w:adjustRightInd w:val="0"/>
              <w:snapToGrid w:val="0"/>
              <w:ind w:firstLine="300" w:firstLineChars="200"/>
              <w:rPr>
                <w:rFonts w:hint="eastAsia" w:ascii="黑体" w:hAnsi="黑体" w:eastAsia="黑体"/>
                <w:snapToGrid w:val="0"/>
                <w:sz w:val="15"/>
                <w:szCs w:val="15"/>
                <w:highlight w:val="yellow"/>
              </w:rPr>
            </w:pPr>
          </w:p>
          <w:p w14:paraId="1D2E34B5">
            <w:pPr>
              <w:adjustRightInd w:val="0"/>
              <w:snapToGrid w:val="0"/>
              <w:ind w:firstLine="300" w:firstLineChars="200"/>
              <w:rPr>
                <w:rFonts w:hint="eastAsia" w:ascii="黑体" w:hAnsi="黑体" w:eastAsia="黑体"/>
                <w:snapToGrid w:val="0"/>
                <w:sz w:val="15"/>
                <w:szCs w:val="15"/>
                <w:highlight w:val="yellow"/>
              </w:rPr>
            </w:pPr>
          </w:p>
          <w:p w14:paraId="36C31EFD">
            <w:pPr>
              <w:adjustRightInd w:val="0"/>
              <w:snapToGrid w:val="0"/>
              <w:ind w:firstLine="300" w:firstLineChars="200"/>
              <w:rPr>
                <w:rFonts w:hint="eastAsia" w:ascii="黑体" w:hAnsi="黑体" w:eastAsia="黑体"/>
                <w:snapToGrid w:val="0"/>
                <w:sz w:val="15"/>
                <w:szCs w:val="15"/>
                <w:highlight w:val="yellow"/>
              </w:rPr>
            </w:pPr>
          </w:p>
          <w:p w14:paraId="74CDD1F2">
            <w:pPr>
              <w:adjustRightInd w:val="0"/>
              <w:snapToGrid w:val="0"/>
              <w:ind w:firstLine="300" w:firstLineChars="200"/>
              <w:rPr>
                <w:rFonts w:hint="eastAsia" w:ascii="黑体" w:hAnsi="黑体" w:eastAsia="黑体"/>
                <w:snapToGrid w:val="0"/>
                <w:sz w:val="15"/>
                <w:szCs w:val="15"/>
                <w:highlight w:val="yellow"/>
              </w:rPr>
            </w:pPr>
          </w:p>
          <w:p w14:paraId="520ABDA3">
            <w:pPr>
              <w:adjustRightInd w:val="0"/>
              <w:snapToGrid w:val="0"/>
              <w:ind w:firstLine="300" w:firstLineChars="200"/>
              <w:rPr>
                <w:rFonts w:hint="eastAsia" w:ascii="黑体" w:hAnsi="黑体" w:eastAsia="黑体"/>
                <w:snapToGrid w:val="0"/>
                <w:sz w:val="15"/>
                <w:szCs w:val="15"/>
                <w:highlight w:val="yellow"/>
              </w:rPr>
            </w:pPr>
          </w:p>
        </w:tc>
      </w:tr>
    </w:tbl>
    <w:p w14:paraId="520ABDA5">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pPr>
    </w:p>
    <w:p w14:paraId="520ABDA6">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sectPr>
          <w:pgSz w:w="16838" w:h="11906" w:orient="landscape"/>
          <w:pgMar w:top="1531" w:right="1701" w:bottom="1531" w:left="1701" w:header="851" w:footer="851" w:gutter="0"/>
          <w:cols w:space="720" w:num="1"/>
          <w:docGrid w:linePitch="312" w:charSpace="0"/>
        </w:sectPr>
      </w:pP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9"/>
        <w:gridCol w:w="8555"/>
      </w:tblGrid>
      <w:tr w14:paraId="520AB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 w:type="dxa"/>
          </w:tcPr>
          <w:p w14:paraId="520ABDA7">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pPr>
          </w:p>
        </w:tc>
        <w:tc>
          <w:tcPr>
            <w:tcW w:w="8555" w:type="dxa"/>
          </w:tcPr>
          <w:p w14:paraId="520ABDA8">
            <w:pPr>
              <w:spacing w:line="460" w:lineRule="exact"/>
              <w:ind w:firstLine="480" w:firstLineChars="200"/>
              <w:rPr>
                <w:sz w:val="24"/>
              </w:rPr>
            </w:pPr>
            <w:r>
              <w:rPr>
                <w:rFonts w:hint="eastAsia"/>
                <w:sz w:val="24"/>
              </w:rPr>
              <w:t>根据上述现有工程检测数据可知，排气筒</w:t>
            </w:r>
            <w:r>
              <w:rPr>
                <w:sz w:val="24"/>
              </w:rPr>
              <w:t>DA001-DA007、DA017氯化氢、硫酸雾、铬酸雾、氰化氢、氮氧化物废气排放浓度均能满足《电镀污染物排放标准》（GB21900-2008）表5中氯化氢30mg/m</w:t>
            </w:r>
            <w:r>
              <w:rPr>
                <w:sz w:val="24"/>
                <w:vertAlign w:val="superscript"/>
              </w:rPr>
              <w:t>3</w:t>
            </w:r>
            <w:r>
              <w:rPr>
                <w:sz w:val="24"/>
              </w:rPr>
              <w:t>、硫酸雾30mg/m</w:t>
            </w:r>
            <w:r>
              <w:rPr>
                <w:sz w:val="24"/>
                <w:vertAlign w:val="superscript"/>
              </w:rPr>
              <w:t>3</w:t>
            </w:r>
            <w:r>
              <w:rPr>
                <w:sz w:val="24"/>
              </w:rPr>
              <w:t>、铬酸雾0.05mg/m</w:t>
            </w:r>
            <w:r>
              <w:rPr>
                <w:sz w:val="24"/>
                <w:vertAlign w:val="superscript"/>
              </w:rPr>
              <w:t>3</w:t>
            </w:r>
            <w:r>
              <w:rPr>
                <w:sz w:val="24"/>
              </w:rPr>
              <w:t>、氰化氢0.5mg/m</w:t>
            </w:r>
            <w:r>
              <w:rPr>
                <w:sz w:val="24"/>
                <w:vertAlign w:val="superscript"/>
              </w:rPr>
              <w:t>3</w:t>
            </w:r>
            <w:r>
              <w:rPr>
                <w:sz w:val="24"/>
              </w:rPr>
              <w:t>、氮氧化物200mg/m</w:t>
            </w:r>
            <w:r>
              <w:rPr>
                <w:sz w:val="24"/>
                <w:vertAlign w:val="superscript"/>
              </w:rPr>
              <w:t>3</w:t>
            </w:r>
            <w:r>
              <w:rPr>
                <w:sz w:val="24"/>
              </w:rPr>
              <w:t>的限值要求；</w:t>
            </w:r>
          </w:p>
          <w:p w14:paraId="520ABDA9">
            <w:pPr>
              <w:spacing w:line="460" w:lineRule="exact"/>
              <w:ind w:firstLine="480" w:firstLineChars="200"/>
              <w:rPr>
                <w:sz w:val="24"/>
              </w:rPr>
            </w:pPr>
            <w:r>
              <w:rPr>
                <w:rFonts w:hint="eastAsia"/>
                <w:sz w:val="24"/>
              </w:rPr>
              <w:t>排气筒</w:t>
            </w:r>
            <w:r>
              <w:rPr>
                <w:sz w:val="24"/>
              </w:rPr>
              <w:t>DA008非甲烷总烃、苯、甲苯与二甲苯合计排放浓度可以满足《工业涂装工序挥发性有机物排放标准》（DB41/1951-2020）表1非甲烷总烃50mg/m</w:t>
            </w:r>
            <w:r>
              <w:rPr>
                <w:sz w:val="24"/>
                <w:vertAlign w:val="superscript"/>
              </w:rPr>
              <w:t>3</w:t>
            </w:r>
            <w:r>
              <w:rPr>
                <w:sz w:val="24"/>
              </w:rPr>
              <w:t>、苯1mg/m</w:t>
            </w:r>
            <w:r>
              <w:rPr>
                <w:sz w:val="24"/>
                <w:vertAlign w:val="superscript"/>
              </w:rPr>
              <w:t>3</w:t>
            </w:r>
            <w:r>
              <w:rPr>
                <w:sz w:val="24"/>
              </w:rPr>
              <w:t>、甲苯与二甲苯合计20mg/m</w:t>
            </w:r>
            <w:r>
              <w:rPr>
                <w:sz w:val="24"/>
                <w:vertAlign w:val="superscript"/>
              </w:rPr>
              <w:t>3</w:t>
            </w:r>
            <w:r>
              <w:rPr>
                <w:sz w:val="24"/>
              </w:rPr>
              <w:t>的限值要求；颗粒物废气排放浓度可以满足《新乡市生态环境局关于进一步规范工业企业颗粒物排放限值的通知》有组织颗粒物排放浓度10mg/m</w:t>
            </w:r>
            <w:r>
              <w:rPr>
                <w:sz w:val="24"/>
                <w:vertAlign w:val="superscript"/>
              </w:rPr>
              <w:t>3</w:t>
            </w:r>
            <w:r>
              <w:rPr>
                <w:sz w:val="24"/>
              </w:rPr>
              <w:t>的标准限值；</w:t>
            </w:r>
          </w:p>
          <w:p w14:paraId="520ABDAA">
            <w:pPr>
              <w:spacing w:line="460" w:lineRule="exact"/>
              <w:ind w:firstLine="480" w:firstLineChars="200"/>
              <w:rPr>
                <w:sz w:val="24"/>
              </w:rPr>
            </w:pPr>
            <w:r>
              <w:rPr>
                <w:rFonts w:hint="eastAsia"/>
                <w:sz w:val="24"/>
              </w:rPr>
              <w:t>排气筒</w:t>
            </w:r>
            <w:r>
              <w:rPr>
                <w:sz w:val="24"/>
              </w:rPr>
              <w:t>DA009、DA012、DA013、DA01</w:t>
            </w:r>
            <w:r>
              <w:rPr>
                <w:rFonts w:hint="eastAsia"/>
                <w:sz w:val="24"/>
              </w:rPr>
              <w:t>5</w:t>
            </w:r>
            <w:r>
              <w:rPr>
                <w:sz w:val="24"/>
              </w:rPr>
              <w:t>、DA016、DA02</w:t>
            </w:r>
            <w:r>
              <w:rPr>
                <w:rFonts w:hint="eastAsia"/>
                <w:sz w:val="24"/>
              </w:rPr>
              <w:t>0~DA022</w:t>
            </w:r>
            <w:r>
              <w:rPr>
                <w:sz w:val="24"/>
              </w:rPr>
              <w:t>、DA024非甲烷总烃废气排放浓度可以满足</w:t>
            </w:r>
            <w:r>
              <w:rPr>
                <w:rFonts w:hint="eastAsia"/>
                <w:bCs/>
                <w:sz w:val="24"/>
              </w:rPr>
              <w:t>河南省环境污染防治攻坚领导小组办公室文件《关于全省开展工业企业挥发性有机物专项治理工作中排放建议限值的通知》（豫环攻坚办[2017]162号）</w:t>
            </w:r>
            <w:r>
              <w:rPr>
                <w:bCs/>
                <w:sz w:val="24"/>
              </w:rPr>
              <w:t>附件</w:t>
            </w:r>
            <w:r>
              <w:rPr>
                <w:rFonts w:hint="eastAsia"/>
                <w:bCs/>
                <w:sz w:val="24"/>
              </w:rPr>
              <w:t>1其他行业</w:t>
            </w:r>
            <w:r>
              <w:rPr>
                <w:bCs/>
                <w:sz w:val="24"/>
              </w:rPr>
              <w:t>非甲烷总烃</w:t>
            </w:r>
            <w:r>
              <w:rPr>
                <w:rFonts w:hint="eastAsia"/>
                <w:bCs/>
                <w:sz w:val="24"/>
              </w:rPr>
              <w:t>8</w:t>
            </w:r>
            <w:r>
              <w:rPr>
                <w:bCs/>
                <w:sz w:val="24"/>
              </w:rPr>
              <w:t>0mg/m</w:t>
            </w:r>
            <w:r>
              <w:rPr>
                <w:bCs/>
                <w:sz w:val="24"/>
                <w:vertAlign w:val="superscript"/>
              </w:rPr>
              <w:t>3</w:t>
            </w:r>
            <w:r>
              <w:rPr>
                <w:bCs/>
                <w:sz w:val="24"/>
              </w:rPr>
              <w:t>限值要求</w:t>
            </w:r>
            <w:r>
              <w:rPr>
                <w:sz w:val="24"/>
              </w:rPr>
              <w:t>；</w:t>
            </w:r>
          </w:p>
          <w:p w14:paraId="520ABDAB">
            <w:pPr>
              <w:spacing w:line="460" w:lineRule="exact"/>
              <w:ind w:firstLine="480" w:firstLineChars="200"/>
              <w:rPr>
                <w:sz w:val="24"/>
              </w:rPr>
            </w:pPr>
            <w:r>
              <w:rPr>
                <w:rFonts w:hint="eastAsia"/>
                <w:sz w:val="24"/>
              </w:rPr>
              <w:t>排气筒</w:t>
            </w:r>
            <w:r>
              <w:rPr>
                <w:sz w:val="24"/>
              </w:rPr>
              <w:t>DA010、DA011</w:t>
            </w:r>
            <w:r>
              <w:rPr>
                <w:rFonts w:hint="eastAsia"/>
                <w:sz w:val="24"/>
              </w:rPr>
              <w:t>、DA014、DA018</w:t>
            </w:r>
            <w:r>
              <w:rPr>
                <w:bCs/>
                <w:sz w:val="24"/>
              </w:rPr>
              <w:t>排放</w:t>
            </w:r>
            <w:r>
              <w:rPr>
                <w:rFonts w:hint="eastAsia"/>
                <w:bCs/>
                <w:sz w:val="24"/>
              </w:rPr>
              <w:t>可以满足《新乡市生态环境局关于进一步规范工业企业颗粒物排放限值的通知》有组织颗粒物排放浓度10mg/m</w:t>
            </w:r>
            <w:r>
              <w:rPr>
                <w:rFonts w:hint="eastAsia"/>
                <w:bCs/>
                <w:sz w:val="24"/>
                <w:vertAlign w:val="superscript"/>
              </w:rPr>
              <w:t>3</w:t>
            </w:r>
            <w:r>
              <w:rPr>
                <w:rFonts w:hint="eastAsia"/>
                <w:bCs/>
                <w:sz w:val="24"/>
              </w:rPr>
              <w:t>的标准限值；</w:t>
            </w:r>
          </w:p>
          <w:p w14:paraId="12CEB6EE">
            <w:pPr>
              <w:spacing w:line="460" w:lineRule="exact"/>
              <w:ind w:firstLine="480" w:firstLineChars="200"/>
              <w:rPr>
                <w:bCs/>
                <w:sz w:val="24"/>
              </w:rPr>
            </w:pPr>
            <w:r>
              <w:rPr>
                <w:rFonts w:hint="eastAsia"/>
                <w:sz w:val="24"/>
              </w:rPr>
              <w:t>硫化废气排气筒非甲烷总烃废气排放浓度可以满足《橡胶制品工业污染物排放标准》（</w:t>
            </w:r>
            <w:r>
              <w:rPr>
                <w:sz w:val="24"/>
              </w:rPr>
              <w:t>GB27632-2011）表5 非甲烷总烃10mg/m</w:t>
            </w:r>
            <w:r>
              <w:rPr>
                <w:sz w:val="24"/>
                <w:vertAlign w:val="superscript"/>
              </w:rPr>
              <w:t>3</w:t>
            </w:r>
            <w:r>
              <w:rPr>
                <w:sz w:val="24"/>
              </w:rPr>
              <w:t>的标准限值；硫化氢废气、臭气浓度可以满足《恶臭污染物排放标准》（GB14554-93）表2有组织硫化氢排放速率0.33kg/h、臭气浓度2000（无量纲）的标准限值</w:t>
            </w:r>
            <w:r>
              <w:rPr>
                <w:rFonts w:hint="eastAsia"/>
                <w:sz w:val="24"/>
              </w:rPr>
              <w:t>；</w:t>
            </w:r>
            <w:r>
              <w:rPr>
                <w:bCs/>
                <w:sz w:val="24"/>
              </w:rPr>
              <w:t>根据《橡胶制品工业污染物排放标准》</w:t>
            </w:r>
            <w:r>
              <w:rPr>
                <w:rFonts w:hint="eastAsia"/>
                <w:bCs/>
                <w:sz w:val="24"/>
              </w:rPr>
              <w:t>（GB27632-2011）</w:t>
            </w:r>
            <w:r>
              <w:rPr>
                <w:bCs/>
                <w:sz w:val="24"/>
              </w:rPr>
              <w:t>要求</w:t>
            </w:r>
            <w:r>
              <w:rPr>
                <w:rFonts w:hint="eastAsia"/>
                <w:bCs/>
                <w:sz w:val="24"/>
              </w:rPr>
              <w:t>：轮胎企业及其他制品企业炼胶、硫化装置非甲烷总烃</w:t>
            </w:r>
            <w:r>
              <w:rPr>
                <w:bCs/>
                <w:sz w:val="24"/>
              </w:rPr>
              <w:t>基准排气量为2000m</w:t>
            </w:r>
            <w:r>
              <w:rPr>
                <w:bCs/>
                <w:sz w:val="24"/>
                <w:vertAlign w:val="superscript"/>
              </w:rPr>
              <w:t>3</w:t>
            </w:r>
            <w:r>
              <w:rPr>
                <w:bCs/>
                <w:sz w:val="24"/>
              </w:rPr>
              <w:t>/t-胶</w:t>
            </w:r>
            <w:r>
              <w:rPr>
                <w:rFonts w:hint="eastAsia"/>
                <w:bCs/>
                <w:sz w:val="24"/>
              </w:rPr>
              <w:t>。根据中华人民共和国环境保护部《关于橡胶（轮胎）行业执行标准问题的复函》（环函[2014]244号）：“二、基准排气量可以将计算炼胶次数后的总胶量作为企业用胶量进行核算；三、炼胶和硫化装置分别考核基准排气量”，因全厂热炼需要炼10次，硫化、二次硫化均为1次，且三个工序废气经一套废气治理设施进行处理，</w:t>
            </w:r>
            <w:r>
              <w:rPr>
                <w:rFonts w:hint="eastAsia"/>
                <w:sz w:val="24"/>
              </w:rPr>
              <w:t>故核算基准排放量时</w:t>
            </w:r>
            <w:r>
              <w:rPr>
                <w:rFonts w:hint="eastAsia"/>
                <w:bCs/>
                <w:sz w:val="24"/>
              </w:rPr>
              <w:t>总胶量以175.2吨，因此单位胶量基准排气量为20488.5</w:t>
            </w:r>
            <w:r>
              <w:rPr>
                <w:bCs/>
                <w:sz w:val="24"/>
              </w:rPr>
              <w:t>m</w:t>
            </w:r>
            <w:r>
              <w:rPr>
                <w:bCs/>
                <w:sz w:val="24"/>
                <w:vertAlign w:val="superscript"/>
              </w:rPr>
              <w:t>3</w:t>
            </w:r>
            <w:r>
              <w:rPr>
                <w:bCs/>
                <w:sz w:val="24"/>
              </w:rPr>
              <w:t>/t-胶</w:t>
            </w:r>
            <w:r>
              <w:rPr>
                <w:rFonts w:hint="eastAsia"/>
                <w:bCs/>
                <w:sz w:val="24"/>
              </w:rPr>
              <w:t>。则DA025非甲烷总烃排放浓度换算成基准排气量排放浓度为：</w:t>
            </w:r>
          </w:p>
          <w:p w14:paraId="2DA484F1">
            <w:pPr>
              <w:spacing w:line="460" w:lineRule="exact"/>
              <w:ind w:firstLine="480" w:firstLineChars="200"/>
              <w:rPr>
                <w:sz w:val="24"/>
              </w:rPr>
            </w:pPr>
            <w:r>
              <w:rPr>
                <w:rFonts w:hint="eastAsia"/>
                <w:bCs/>
                <w:sz w:val="24"/>
              </w:rPr>
              <w:t>基准排气量排放浓度=14358.33m</w:t>
            </w:r>
            <w:r>
              <w:rPr>
                <w:rFonts w:hint="eastAsia"/>
                <w:bCs/>
                <w:sz w:val="24"/>
                <w:vertAlign w:val="superscript"/>
              </w:rPr>
              <w:t>3</w:t>
            </w:r>
            <w:r>
              <w:rPr>
                <w:rFonts w:hint="eastAsia"/>
                <w:bCs/>
                <w:sz w:val="24"/>
              </w:rPr>
              <w:t>/h×250h/a÷（2000</w:t>
            </w:r>
            <w:r>
              <w:rPr>
                <w:bCs/>
                <w:sz w:val="24"/>
              </w:rPr>
              <w:t>m</w:t>
            </w:r>
            <w:r>
              <w:rPr>
                <w:bCs/>
                <w:sz w:val="24"/>
                <w:vertAlign w:val="superscript"/>
              </w:rPr>
              <w:t>3</w:t>
            </w:r>
            <w:r>
              <w:rPr>
                <w:bCs/>
                <w:sz w:val="24"/>
              </w:rPr>
              <w:t>/t-胶</w:t>
            </w:r>
            <w:r>
              <w:rPr>
                <w:rFonts w:hint="eastAsia"/>
                <w:bCs/>
                <w:sz w:val="24"/>
              </w:rPr>
              <w:t>×175.2t-胶/a）×0.74mg/m</w:t>
            </w:r>
            <w:r>
              <w:rPr>
                <w:rFonts w:hint="eastAsia"/>
                <w:bCs/>
                <w:sz w:val="24"/>
                <w:vertAlign w:val="superscript"/>
              </w:rPr>
              <w:t>3</w:t>
            </w:r>
            <w:r>
              <w:rPr>
                <w:rFonts w:hint="eastAsia"/>
                <w:bCs/>
                <w:sz w:val="24"/>
              </w:rPr>
              <w:t>=7.6mg/m</w:t>
            </w:r>
            <w:r>
              <w:rPr>
                <w:rFonts w:hint="eastAsia"/>
                <w:bCs/>
                <w:sz w:val="24"/>
                <w:vertAlign w:val="superscript"/>
              </w:rPr>
              <w:t>3</w:t>
            </w:r>
            <w:r>
              <w:rPr>
                <w:rFonts w:hint="eastAsia"/>
                <w:bCs/>
                <w:sz w:val="24"/>
              </w:rPr>
              <w:t>，DA025排放的非甲烷总烃浓度为7.6mg/m</w:t>
            </w:r>
            <w:r>
              <w:rPr>
                <w:rFonts w:hint="eastAsia"/>
                <w:bCs/>
                <w:sz w:val="24"/>
                <w:vertAlign w:val="superscript"/>
              </w:rPr>
              <w:t>3</w:t>
            </w:r>
            <w:r>
              <w:rPr>
                <w:rFonts w:hint="eastAsia"/>
                <w:bCs/>
                <w:sz w:val="24"/>
              </w:rPr>
              <w:t>，能够满足《橡胶制品工业污染物排放标准》（GB27632-2011）基准排气量条件下非甲烷总烃有组织排放浓度10mg/m</w:t>
            </w:r>
            <w:r>
              <w:rPr>
                <w:rFonts w:hint="eastAsia"/>
                <w:bCs/>
                <w:sz w:val="24"/>
                <w:vertAlign w:val="superscript"/>
              </w:rPr>
              <w:t>3</w:t>
            </w:r>
            <w:r>
              <w:rPr>
                <w:rFonts w:hint="eastAsia"/>
                <w:bCs/>
                <w:sz w:val="24"/>
              </w:rPr>
              <w:t>的限值要求。</w:t>
            </w:r>
          </w:p>
          <w:p w14:paraId="520ABDAD">
            <w:pPr>
              <w:spacing w:line="460" w:lineRule="exact"/>
              <w:ind w:firstLine="480" w:firstLineChars="200"/>
              <w:rPr>
                <w:sz w:val="24"/>
              </w:rPr>
            </w:pPr>
            <w:r>
              <w:rPr>
                <w:rFonts w:hint="eastAsia"/>
                <w:sz w:val="24"/>
              </w:rPr>
              <w:t>排气筒DA019</w:t>
            </w:r>
            <w:r>
              <w:rPr>
                <w:rFonts w:hint="eastAsia"/>
                <w:bCs/>
                <w:sz w:val="24"/>
              </w:rPr>
              <w:t>盐浴炉废气</w:t>
            </w:r>
            <w:r>
              <w:rPr>
                <w:bCs/>
                <w:sz w:val="24"/>
              </w:rPr>
              <w:t>排放</w:t>
            </w:r>
            <w:r>
              <w:rPr>
                <w:rFonts w:hint="eastAsia"/>
                <w:bCs/>
                <w:sz w:val="24"/>
              </w:rPr>
              <w:t>可以满足《大气污染物综合排放标准》（GB16297-1996）表2二级H</w:t>
            </w:r>
            <w:r>
              <w:rPr>
                <w:bCs/>
                <w:sz w:val="24"/>
              </w:rPr>
              <w:t>C</w:t>
            </w:r>
            <w:r>
              <w:rPr>
                <w:rFonts w:hint="eastAsia"/>
                <w:bCs/>
                <w:sz w:val="24"/>
              </w:rPr>
              <w:t>l有组织排放1</w:t>
            </w:r>
            <w:r>
              <w:rPr>
                <w:bCs/>
                <w:sz w:val="24"/>
              </w:rPr>
              <w:t>0</w:t>
            </w:r>
            <w:r>
              <w:rPr>
                <w:rFonts w:hint="eastAsia"/>
                <w:bCs/>
                <w:sz w:val="24"/>
              </w:rPr>
              <w:t>0 mg/m</w:t>
            </w:r>
            <w:r>
              <w:rPr>
                <w:rFonts w:hint="eastAsia"/>
                <w:bCs/>
                <w:sz w:val="24"/>
                <w:vertAlign w:val="superscript"/>
              </w:rPr>
              <w:t>3</w:t>
            </w:r>
            <w:r>
              <w:rPr>
                <w:rFonts w:hint="eastAsia"/>
                <w:bCs/>
                <w:sz w:val="24"/>
              </w:rPr>
              <w:t>、</w:t>
            </w:r>
            <w:r>
              <w:rPr>
                <w:bCs/>
                <w:sz w:val="24"/>
              </w:rPr>
              <w:t>0.26</w:t>
            </w:r>
            <w:r>
              <w:rPr>
                <w:rFonts w:hint="eastAsia"/>
                <w:bCs/>
                <w:sz w:val="24"/>
              </w:rPr>
              <w:t>kg/h（15m高排气筒）的标准限值；</w:t>
            </w:r>
          </w:p>
          <w:p w14:paraId="520ABDAE">
            <w:pPr>
              <w:spacing w:line="460" w:lineRule="exact"/>
              <w:ind w:firstLine="480" w:firstLineChars="200"/>
              <w:rPr>
                <w:sz w:val="24"/>
              </w:rPr>
            </w:pPr>
            <w:r>
              <w:rPr>
                <w:rFonts w:hint="eastAsia"/>
                <w:sz w:val="24"/>
              </w:rPr>
              <w:t>排气筒DA023碳氮共渗炉废气氨排放速率能够满足《恶臭污染物排放标准》（</w:t>
            </w:r>
            <w:r>
              <w:rPr>
                <w:sz w:val="24"/>
              </w:rPr>
              <w:t>GB1</w:t>
            </w:r>
            <w:r>
              <w:rPr>
                <w:rFonts w:hint="eastAsia"/>
                <w:sz w:val="24"/>
              </w:rPr>
              <w:t>4544</w:t>
            </w:r>
            <w:r>
              <w:rPr>
                <w:sz w:val="24"/>
              </w:rPr>
              <w:t>-</w:t>
            </w:r>
            <w:r>
              <w:rPr>
                <w:rFonts w:hint="eastAsia"/>
                <w:sz w:val="24"/>
              </w:rPr>
              <w:t>93）表</w:t>
            </w:r>
            <w:r>
              <w:rPr>
                <w:sz w:val="24"/>
              </w:rPr>
              <w:t>2-</w:t>
            </w:r>
            <w:r>
              <w:rPr>
                <w:rFonts w:hint="eastAsia"/>
                <w:sz w:val="24"/>
              </w:rPr>
              <w:t>氨4.9kg/h（15m高排气筒）的限值要求</w:t>
            </w:r>
            <w:r>
              <w:rPr>
                <w:bCs/>
                <w:sz w:val="24"/>
              </w:rPr>
              <w:t>。</w:t>
            </w:r>
          </w:p>
          <w:p w14:paraId="520ABDAF">
            <w:pPr>
              <w:spacing w:line="460" w:lineRule="exact"/>
              <w:ind w:firstLine="482" w:firstLineChars="200"/>
              <w:rPr>
                <w:b/>
                <w:sz w:val="24"/>
              </w:rPr>
            </w:pPr>
            <w:r>
              <w:rPr>
                <w:rFonts w:hint="eastAsia"/>
                <w:b/>
                <w:sz w:val="24"/>
              </w:rPr>
              <w:t>II）</w:t>
            </w:r>
            <w:r>
              <w:rPr>
                <w:b/>
                <w:sz w:val="24"/>
              </w:rPr>
              <w:t>无组织废气</w:t>
            </w:r>
          </w:p>
          <w:p w14:paraId="520ABDB0">
            <w:pPr>
              <w:spacing w:line="460" w:lineRule="exact"/>
              <w:ind w:firstLine="480" w:firstLineChars="200"/>
              <w:rPr>
                <w:sz w:val="24"/>
              </w:rPr>
            </w:pPr>
            <w:r>
              <w:rPr>
                <w:rFonts w:hint="eastAsia"/>
                <w:sz w:val="24"/>
              </w:rPr>
              <w:t>河南鑫成环测检测技术有限公司</w:t>
            </w:r>
            <w:r>
              <w:rPr>
                <w:sz w:val="24"/>
              </w:rPr>
              <w:t>202</w:t>
            </w:r>
            <w:r>
              <w:rPr>
                <w:rFonts w:hint="eastAsia"/>
                <w:sz w:val="24"/>
              </w:rPr>
              <w:t>5</w:t>
            </w:r>
            <w:r>
              <w:rPr>
                <w:sz w:val="24"/>
              </w:rPr>
              <w:t>年</w:t>
            </w:r>
            <w:r>
              <w:rPr>
                <w:rFonts w:hint="eastAsia"/>
                <w:sz w:val="24"/>
              </w:rPr>
              <w:t>4</w:t>
            </w:r>
            <w:r>
              <w:rPr>
                <w:sz w:val="24"/>
              </w:rPr>
              <w:t>月</w:t>
            </w:r>
            <w:r>
              <w:rPr>
                <w:rFonts w:hint="eastAsia"/>
                <w:sz w:val="24"/>
              </w:rPr>
              <w:t>29</w:t>
            </w:r>
            <w:r>
              <w:rPr>
                <w:sz w:val="24"/>
              </w:rPr>
              <w:t>日对</w:t>
            </w:r>
            <w:r>
              <w:rPr>
                <w:rFonts w:hint="eastAsia"/>
                <w:sz w:val="24"/>
              </w:rPr>
              <w:t>解放路</w:t>
            </w:r>
            <w:r>
              <w:rPr>
                <w:sz w:val="24"/>
              </w:rPr>
              <w:t>厂区无组织废气进行了检测，结果如下：</w:t>
            </w:r>
          </w:p>
          <w:p w14:paraId="520ABDB1">
            <w:pPr>
              <w:spacing w:before="120" w:beforeLines="50"/>
              <w:ind w:firstLine="480" w:firstLineChars="200"/>
              <w:rPr>
                <w:rFonts w:eastAsia="黑体"/>
                <w:kern w:val="0"/>
                <w:sz w:val="24"/>
                <w:szCs w:val="21"/>
              </w:rPr>
            </w:pPr>
            <w:r>
              <w:rPr>
                <w:rFonts w:hint="eastAsia" w:eastAsia="黑体"/>
                <w:kern w:val="0"/>
                <w:sz w:val="24"/>
                <w:szCs w:val="21"/>
              </w:rPr>
              <w:t xml:space="preserve">表33    </w:t>
            </w:r>
            <w:r>
              <w:rPr>
                <w:rFonts w:eastAsia="黑体"/>
                <w:kern w:val="0"/>
                <w:sz w:val="24"/>
                <w:szCs w:val="21"/>
              </w:rPr>
              <w:t xml:space="preserve"> </w:t>
            </w:r>
            <w:r>
              <w:rPr>
                <w:rFonts w:hint="eastAsia" w:eastAsia="黑体"/>
                <w:kern w:val="0"/>
                <w:sz w:val="24"/>
                <w:szCs w:val="21"/>
              </w:rPr>
              <w:t xml:space="preserve">   </w:t>
            </w:r>
            <w:r>
              <w:rPr>
                <w:rFonts w:eastAsia="黑体"/>
                <w:kern w:val="0"/>
                <w:sz w:val="24"/>
                <w:szCs w:val="21"/>
              </w:rPr>
              <w:t xml:space="preserve"> </w:t>
            </w:r>
            <w:r>
              <w:rPr>
                <w:rFonts w:hint="eastAsia" w:eastAsia="黑体"/>
                <w:kern w:val="0"/>
                <w:sz w:val="24"/>
                <w:szCs w:val="21"/>
              </w:rPr>
              <w:t>解放路厂区无</w:t>
            </w:r>
            <w:r>
              <w:rPr>
                <w:rFonts w:eastAsia="黑体"/>
                <w:kern w:val="0"/>
                <w:sz w:val="24"/>
                <w:szCs w:val="21"/>
              </w:rPr>
              <w:t>组织废气排放情况</w:t>
            </w:r>
          </w:p>
          <w:tbl>
            <w:tblPr>
              <w:tblStyle w:val="18"/>
              <w:tblpPr w:leftFromText="180" w:rightFromText="180" w:vertAnchor="text" w:tblpY="1"/>
              <w:tblOverlap w:val="never"/>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45" w:type="dxa"/>
                <w:bottom w:w="0" w:type="dxa"/>
                <w:right w:w="45" w:type="dxa"/>
              </w:tblCellMar>
            </w:tblPr>
            <w:tblGrid>
              <w:gridCol w:w="1134"/>
              <w:gridCol w:w="1276"/>
              <w:gridCol w:w="1005"/>
              <w:gridCol w:w="271"/>
              <w:gridCol w:w="1295"/>
              <w:gridCol w:w="1679"/>
              <w:gridCol w:w="29"/>
              <w:gridCol w:w="1650"/>
            </w:tblGrid>
            <w:tr w14:paraId="520ABDB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blHeader/>
              </w:trPr>
              <w:tc>
                <w:tcPr>
                  <w:tcW w:w="1134" w:type="dxa"/>
                  <w:vMerge w:val="restart"/>
                  <w:vAlign w:val="center"/>
                </w:tcPr>
                <w:p w14:paraId="520ABDB2">
                  <w:pPr>
                    <w:jc w:val="center"/>
                    <w:rPr>
                      <w:rFonts w:cs="宋体"/>
                      <w:b/>
                      <w:szCs w:val="20"/>
                    </w:rPr>
                  </w:pPr>
                  <w:r>
                    <w:rPr>
                      <w:rFonts w:hint="eastAsia" w:cs="宋体"/>
                      <w:b/>
                      <w:szCs w:val="20"/>
                    </w:rPr>
                    <w:t>检测日期</w:t>
                  </w:r>
                </w:p>
              </w:tc>
              <w:tc>
                <w:tcPr>
                  <w:tcW w:w="7205" w:type="dxa"/>
                  <w:gridSpan w:val="7"/>
                  <w:vAlign w:val="center"/>
                </w:tcPr>
                <w:p w14:paraId="520ABDB3">
                  <w:pPr>
                    <w:jc w:val="center"/>
                    <w:rPr>
                      <w:rFonts w:cs="宋体"/>
                      <w:b/>
                      <w:szCs w:val="20"/>
                    </w:rPr>
                  </w:pPr>
                  <w:r>
                    <w:rPr>
                      <w:rFonts w:cs="宋体"/>
                      <w:b/>
                      <w:szCs w:val="20"/>
                    </w:rPr>
                    <w:t>排放浓度</w:t>
                  </w:r>
                  <w:r>
                    <w:rPr>
                      <w:rFonts w:hint="eastAsia" w:cs="宋体"/>
                      <w:b/>
                      <w:szCs w:val="20"/>
                    </w:rPr>
                    <w:t>(</w:t>
                  </w:r>
                  <w:r>
                    <w:rPr>
                      <w:rFonts w:cs="宋体"/>
                      <w:b/>
                      <w:szCs w:val="20"/>
                    </w:rPr>
                    <w:t>mg/m</w:t>
                  </w:r>
                  <w:r>
                    <w:rPr>
                      <w:rFonts w:cs="宋体"/>
                      <w:b/>
                      <w:szCs w:val="20"/>
                      <w:vertAlign w:val="superscript"/>
                    </w:rPr>
                    <w:t>3</w:t>
                  </w:r>
                  <w:r>
                    <w:rPr>
                      <w:rFonts w:hint="eastAsia" w:cs="宋体"/>
                      <w:b/>
                      <w:szCs w:val="20"/>
                    </w:rPr>
                    <w:t>)</w:t>
                  </w:r>
                </w:p>
              </w:tc>
            </w:tr>
            <w:tr w14:paraId="520ABDB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blHeader/>
              </w:trPr>
              <w:tc>
                <w:tcPr>
                  <w:tcW w:w="1134" w:type="dxa"/>
                  <w:vMerge w:val="continue"/>
                  <w:vAlign w:val="center"/>
                </w:tcPr>
                <w:p w14:paraId="520ABDB5">
                  <w:pPr>
                    <w:jc w:val="center"/>
                    <w:rPr>
                      <w:rFonts w:cs="宋体"/>
                      <w:b/>
                      <w:szCs w:val="20"/>
                    </w:rPr>
                  </w:pPr>
                </w:p>
              </w:tc>
              <w:tc>
                <w:tcPr>
                  <w:tcW w:w="1276" w:type="dxa"/>
                  <w:vAlign w:val="center"/>
                </w:tcPr>
                <w:p w14:paraId="520ABDB6">
                  <w:pPr>
                    <w:jc w:val="center"/>
                    <w:rPr>
                      <w:rFonts w:cs="宋体"/>
                      <w:b/>
                      <w:szCs w:val="20"/>
                    </w:rPr>
                  </w:pPr>
                  <w:r>
                    <w:rPr>
                      <w:rFonts w:hint="eastAsia" w:cs="宋体"/>
                      <w:b/>
                      <w:kern w:val="0"/>
                      <w:szCs w:val="21"/>
                    </w:rPr>
                    <w:t>厂界硫酸雾</w:t>
                  </w:r>
                </w:p>
              </w:tc>
              <w:tc>
                <w:tcPr>
                  <w:tcW w:w="1276" w:type="dxa"/>
                  <w:gridSpan w:val="2"/>
                  <w:vAlign w:val="center"/>
                </w:tcPr>
                <w:p w14:paraId="520ABDB7">
                  <w:pPr>
                    <w:jc w:val="center"/>
                    <w:rPr>
                      <w:rFonts w:cs="宋体"/>
                      <w:b/>
                      <w:szCs w:val="20"/>
                    </w:rPr>
                  </w:pPr>
                  <w:r>
                    <w:rPr>
                      <w:rFonts w:hint="eastAsia" w:cs="宋体"/>
                      <w:b/>
                      <w:kern w:val="0"/>
                      <w:szCs w:val="21"/>
                    </w:rPr>
                    <w:t>厂界氰化氢</w:t>
                  </w:r>
                </w:p>
              </w:tc>
              <w:tc>
                <w:tcPr>
                  <w:tcW w:w="1295" w:type="dxa"/>
                  <w:vAlign w:val="center"/>
                </w:tcPr>
                <w:p w14:paraId="520ABDB8">
                  <w:pPr>
                    <w:jc w:val="center"/>
                    <w:rPr>
                      <w:rFonts w:cs="宋体"/>
                      <w:b/>
                      <w:szCs w:val="20"/>
                    </w:rPr>
                  </w:pPr>
                  <w:r>
                    <w:rPr>
                      <w:rFonts w:hint="eastAsia" w:cs="宋体"/>
                      <w:b/>
                      <w:kern w:val="0"/>
                      <w:szCs w:val="21"/>
                    </w:rPr>
                    <w:t>厂界铬酸雾</w:t>
                  </w:r>
                </w:p>
              </w:tc>
              <w:tc>
                <w:tcPr>
                  <w:tcW w:w="1679" w:type="dxa"/>
                  <w:vAlign w:val="center"/>
                </w:tcPr>
                <w:p w14:paraId="27745AC7">
                  <w:pPr>
                    <w:jc w:val="center"/>
                    <w:rPr>
                      <w:rFonts w:cs="宋体"/>
                      <w:b/>
                      <w:kern w:val="0"/>
                      <w:szCs w:val="21"/>
                    </w:rPr>
                  </w:pPr>
                  <w:r>
                    <w:rPr>
                      <w:rFonts w:hint="eastAsia" w:cs="宋体"/>
                      <w:b/>
                      <w:kern w:val="0"/>
                      <w:szCs w:val="21"/>
                    </w:rPr>
                    <w:t>厂界</w:t>
                  </w:r>
                  <w:r>
                    <w:rPr>
                      <w:rFonts w:cs="宋体"/>
                      <w:b/>
                      <w:szCs w:val="20"/>
                    </w:rPr>
                    <w:t>颗粒物</w:t>
                  </w:r>
                </w:p>
              </w:tc>
              <w:tc>
                <w:tcPr>
                  <w:tcW w:w="1679" w:type="dxa"/>
                  <w:gridSpan w:val="2"/>
                  <w:vAlign w:val="center"/>
                </w:tcPr>
                <w:p w14:paraId="520ABDB9">
                  <w:pPr>
                    <w:jc w:val="center"/>
                    <w:rPr>
                      <w:rFonts w:cs="宋体"/>
                      <w:b/>
                      <w:kern w:val="0"/>
                      <w:szCs w:val="21"/>
                    </w:rPr>
                  </w:pPr>
                  <w:r>
                    <w:rPr>
                      <w:rFonts w:hint="eastAsia" w:cs="宋体"/>
                      <w:b/>
                      <w:kern w:val="0"/>
                      <w:szCs w:val="21"/>
                    </w:rPr>
                    <w:t>厂界氮氧化物</w:t>
                  </w:r>
                </w:p>
              </w:tc>
            </w:tr>
            <w:tr w14:paraId="520ABDC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blHeader/>
              </w:trPr>
              <w:tc>
                <w:tcPr>
                  <w:tcW w:w="1134" w:type="dxa"/>
                  <w:vAlign w:val="center"/>
                </w:tcPr>
                <w:p w14:paraId="520ABDBB">
                  <w:pPr>
                    <w:contextualSpacing/>
                    <w:jc w:val="center"/>
                    <w:textAlignment w:val="baseline"/>
                    <w:rPr>
                      <w:bCs/>
                      <w:szCs w:val="21"/>
                      <w:lang w:val="zh-CN"/>
                    </w:rPr>
                  </w:pPr>
                  <w:r>
                    <w:rPr>
                      <w:rFonts w:hint="eastAsia"/>
                      <w:bCs/>
                      <w:szCs w:val="21"/>
                      <w:lang w:val="zh-CN"/>
                    </w:rPr>
                    <w:t>2025.4.29</w:t>
                  </w:r>
                </w:p>
              </w:tc>
              <w:tc>
                <w:tcPr>
                  <w:tcW w:w="1276" w:type="dxa"/>
                  <w:vAlign w:val="center"/>
                </w:tcPr>
                <w:p w14:paraId="520ABDBC">
                  <w:pPr>
                    <w:contextualSpacing/>
                    <w:jc w:val="center"/>
                    <w:textAlignment w:val="baseline"/>
                    <w:rPr>
                      <w:bCs/>
                      <w:kern w:val="0"/>
                      <w:szCs w:val="21"/>
                      <w:lang w:val="zh-CN"/>
                    </w:rPr>
                  </w:pPr>
                  <w:r>
                    <w:rPr>
                      <w:rFonts w:hint="eastAsia"/>
                      <w:bCs/>
                      <w:kern w:val="0"/>
                      <w:szCs w:val="21"/>
                      <w:lang w:val="zh-CN"/>
                    </w:rPr>
                    <w:t>0.005~0.023</w:t>
                  </w:r>
                </w:p>
              </w:tc>
              <w:tc>
                <w:tcPr>
                  <w:tcW w:w="1276" w:type="dxa"/>
                  <w:gridSpan w:val="2"/>
                  <w:vAlign w:val="center"/>
                </w:tcPr>
                <w:p w14:paraId="520ABDBD">
                  <w:pPr>
                    <w:contextualSpacing/>
                    <w:jc w:val="center"/>
                    <w:textAlignment w:val="baseline"/>
                    <w:rPr>
                      <w:bCs/>
                      <w:kern w:val="0"/>
                      <w:szCs w:val="21"/>
                      <w:lang w:val="zh-CN"/>
                    </w:rPr>
                  </w:pPr>
                  <w:r>
                    <w:rPr>
                      <w:bCs/>
                      <w:kern w:val="0"/>
                      <w:szCs w:val="21"/>
                      <w:lang w:val="zh-CN"/>
                    </w:rPr>
                    <w:t>ND</w:t>
                  </w:r>
                </w:p>
              </w:tc>
              <w:tc>
                <w:tcPr>
                  <w:tcW w:w="1295" w:type="dxa"/>
                  <w:vAlign w:val="center"/>
                </w:tcPr>
                <w:p w14:paraId="520ABDBE">
                  <w:pPr>
                    <w:contextualSpacing/>
                    <w:jc w:val="center"/>
                    <w:textAlignment w:val="baseline"/>
                    <w:rPr>
                      <w:bCs/>
                      <w:kern w:val="0"/>
                      <w:szCs w:val="21"/>
                      <w:lang w:val="zh-CN"/>
                    </w:rPr>
                  </w:pPr>
                  <w:r>
                    <w:rPr>
                      <w:bCs/>
                      <w:kern w:val="0"/>
                      <w:szCs w:val="21"/>
                      <w:lang w:val="zh-CN"/>
                    </w:rPr>
                    <w:t>ND</w:t>
                  </w:r>
                </w:p>
              </w:tc>
              <w:tc>
                <w:tcPr>
                  <w:tcW w:w="1679" w:type="dxa"/>
                  <w:vAlign w:val="center"/>
                </w:tcPr>
                <w:p w14:paraId="1779BE95">
                  <w:pPr>
                    <w:contextualSpacing/>
                    <w:jc w:val="center"/>
                    <w:textAlignment w:val="baseline"/>
                    <w:rPr>
                      <w:bCs/>
                      <w:kern w:val="0"/>
                      <w:szCs w:val="21"/>
                      <w:lang w:val="zh-CN"/>
                    </w:rPr>
                  </w:pPr>
                  <w:r>
                    <w:rPr>
                      <w:rFonts w:hint="eastAsia"/>
                      <w:bCs/>
                      <w:kern w:val="0"/>
                      <w:szCs w:val="21"/>
                      <w:lang w:val="zh-CN"/>
                    </w:rPr>
                    <w:t>0.</w:t>
                  </w:r>
                  <w:r>
                    <w:rPr>
                      <w:bCs/>
                      <w:kern w:val="0"/>
                      <w:szCs w:val="21"/>
                      <w:lang w:val="zh-CN"/>
                    </w:rPr>
                    <w:t>2</w:t>
                  </w:r>
                  <w:r>
                    <w:rPr>
                      <w:rFonts w:hint="eastAsia"/>
                      <w:bCs/>
                      <w:kern w:val="0"/>
                      <w:szCs w:val="21"/>
                      <w:lang w:val="zh-CN"/>
                    </w:rPr>
                    <w:t>12~0.305</w:t>
                  </w:r>
                </w:p>
              </w:tc>
              <w:tc>
                <w:tcPr>
                  <w:tcW w:w="1679" w:type="dxa"/>
                  <w:gridSpan w:val="2"/>
                  <w:vAlign w:val="center"/>
                </w:tcPr>
                <w:p w14:paraId="520ABDBF">
                  <w:pPr>
                    <w:contextualSpacing/>
                    <w:jc w:val="center"/>
                    <w:textAlignment w:val="baseline"/>
                    <w:rPr>
                      <w:bCs/>
                      <w:kern w:val="0"/>
                      <w:szCs w:val="21"/>
                      <w:lang w:val="zh-CN"/>
                    </w:rPr>
                  </w:pPr>
                  <w:r>
                    <w:rPr>
                      <w:rFonts w:hint="eastAsia"/>
                      <w:bCs/>
                      <w:kern w:val="0"/>
                      <w:szCs w:val="21"/>
                      <w:lang w:val="zh-CN"/>
                    </w:rPr>
                    <w:t>0.012~0.025</w:t>
                  </w:r>
                </w:p>
              </w:tc>
            </w:tr>
            <w:tr w14:paraId="520ABDC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blHeader/>
              </w:trPr>
              <w:tc>
                <w:tcPr>
                  <w:tcW w:w="1134" w:type="dxa"/>
                  <w:vMerge w:val="restart"/>
                  <w:vAlign w:val="center"/>
                </w:tcPr>
                <w:p w14:paraId="520ABDC1">
                  <w:pPr>
                    <w:contextualSpacing/>
                    <w:jc w:val="center"/>
                    <w:textAlignment w:val="baseline"/>
                    <w:rPr>
                      <w:b/>
                      <w:szCs w:val="21"/>
                      <w:lang w:val="zh-CN"/>
                    </w:rPr>
                  </w:pPr>
                  <w:r>
                    <w:rPr>
                      <w:rFonts w:hint="eastAsia"/>
                      <w:b/>
                      <w:szCs w:val="21"/>
                    </w:rPr>
                    <w:t>检测日期</w:t>
                  </w:r>
                </w:p>
              </w:tc>
              <w:tc>
                <w:tcPr>
                  <w:tcW w:w="7205" w:type="dxa"/>
                  <w:gridSpan w:val="7"/>
                  <w:vAlign w:val="center"/>
                </w:tcPr>
                <w:p w14:paraId="520ABDC2">
                  <w:pPr>
                    <w:jc w:val="center"/>
                    <w:rPr>
                      <w:rFonts w:cs="宋体"/>
                      <w:b/>
                      <w:szCs w:val="20"/>
                    </w:rPr>
                  </w:pPr>
                  <w:r>
                    <w:rPr>
                      <w:rFonts w:cs="宋体"/>
                      <w:b/>
                      <w:szCs w:val="20"/>
                    </w:rPr>
                    <w:t>排放浓度</w:t>
                  </w:r>
                  <w:r>
                    <w:rPr>
                      <w:rFonts w:hint="eastAsia" w:cs="宋体"/>
                      <w:b/>
                      <w:szCs w:val="20"/>
                    </w:rPr>
                    <w:t>(</w:t>
                  </w:r>
                  <w:r>
                    <w:rPr>
                      <w:rFonts w:cs="宋体"/>
                      <w:b/>
                      <w:szCs w:val="20"/>
                    </w:rPr>
                    <w:t>mg/m</w:t>
                  </w:r>
                  <w:r>
                    <w:rPr>
                      <w:rFonts w:cs="宋体"/>
                      <w:b/>
                      <w:szCs w:val="20"/>
                      <w:vertAlign w:val="superscript"/>
                    </w:rPr>
                    <w:t>3</w:t>
                  </w:r>
                  <w:r>
                    <w:rPr>
                      <w:rFonts w:hint="eastAsia" w:cs="宋体"/>
                      <w:b/>
                      <w:szCs w:val="20"/>
                    </w:rPr>
                    <w:t>)</w:t>
                  </w:r>
                </w:p>
              </w:tc>
            </w:tr>
            <w:tr w14:paraId="520ABDC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blHeader/>
              </w:trPr>
              <w:tc>
                <w:tcPr>
                  <w:tcW w:w="1134" w:type="dxa"/>
                  <w:vMerge w:val="continue"/>
                  <w:vAlign w:val="center"/>
                </w:tcPr>
                <w:p w14:paraId="520ABDC4">
                  <w:pPr>
                    <w:contextualSpacing/>
                    <w:jc w:val="center"/>
                    <w:textAlignment w:val="baseline"/>
                    <w:rPr>
                      <w:b/>
                      <w:szCs w:val="21"/>
                      <w:lang w:val="zh-CN"/>
                    </w:rPr>
                  </w:pPr>
                </w:p>
              </w:tc>
              <w:tc>
                <w:tcPr>
                  <w:tcW w:w="2281" w:type="dxa"/>
                  <w:gridSpan w:val="2"/>
                  <w:vAlign w:val="center"/>
                </w:tcPr>
                <w:p w14:paraId="520ABDC5">
                  <w:pPr>
                    <w:jc w:val="center"/>
                    <w:rPr>
                      <w:rFonts w:cs="宋体"/>
                      <w:b/>
                      <w:szCs w:val="20"/>
                    </w:rPr>
                  </w:pPr>
                  <w:r>
                    <w:rPr>
                      <w:rFonts w:hint="eastAsia" w:cs="宋体"/>
                      <w:b/>
                      <w:kern w:val="0"/>
                      <w:szCs w:val="21"/>
                    </w:rPr>
                    <w:t>厂界非甲烷总烃</w:t>
                  </w:r>
                </w:p>
              </w:tc>
              <w:tc>
                <w:tcPr>
                  <w:tcW w:w="1566" w:type="dxa"/>
                  <w:gridSpan w:val="2"/>
                  <w:vAlign w:val="center"/>
                </w:tcPr>
                <w:p w14:paraId="520ABDC6">
                  <w:pPr>
                    <w:jc w:val="center"/>
                    <w:rPr>
                      <w:rFonts w:cs="宋体"/>
                      <w:b/>
                      <w:szCs w:val="20"/>
                    </w:rPr>
                  </w:pPr>
                  <w:r>
                    <w:rPr>
                      <w:rFonts w:hint="eastAsia" w:cs="宋体"/>
                      <w:b/>
                      <w:kern w:val="0"/>
                      <w:szCs w:val="21"/>
                    </w:rPr>
                    <w:t>厂界氨</w:t>
                  </w:r>
                </w:p>
              </w:tc>
              <w:tc>
                <w:tcPr>
                  <w:tcW w:w="1708" w:type="dxa"/>
                  <w:gridSpan w:val="2"/>
                  <w:vAlign w:val="center"/>
                </w:tcPr>
                <w:p w14:paraId="520ABDC7">
                  <w:pPr>
                    <w:jc w:val="center"/>
                    <w:rPr>
                      <w:rFonts w:cs="宋体"/>
                      <w:b/>
                      <w:szCs w:val="20"/>
                    </w:rPr>
                  </w:pPr>
                  <w:r>
                    <w:rPr>
                      <w:rFonts w:hint="eastAsia" w:cs="宋体"/>
                      <w:b/>
                      <w:kern w:val="0"/>
                      <w:szCs w:val="21"/>
                    </w:rPr>
                    <w:t>厂界硫化氢</w:t>
                  </w:r>
                </w:p>
              </w:tc>
              <w:tc>
                <w:tcPr>
                  <w:tcW w:w="1650" w:type="dxa"/>
                  <w:vAlign w:val="center"/>
                </w:tcPr>
                <w:p w14:paraId="520ABDC8">
                  <w:pPr>
                    <w:jc w:val="center"/>
                    <w:rPr>
                      <w:rFonts w:cs="宋体"/>
                      <w:b/>
                      <w:kern w:val="0"/>
                      <w:szCs w:val="21"/>
                    </w:rPr>
                  </w:pPr>
                  <w:r>
                    <w:rPr>
                      <w:rFonts w:hint="eastAsia" w:cs="宋体"/>
                      <w:b/>
                      <w:kern w:val="0"/>
                      <w:szCs w:val="21"/>
                    </w:rPr>
                    <w:t>厂界</w:t>
                  </w:r>
                  <w:r>
                    <w:rPr>
                      <w:rFonts w:hint="eastAsia"/>
                      <w:b/>
                      <w:kern w:val="0"/>
                      <w:szCs w:val="21"/>
                      <w:lang w:val="zh-CN"/>
                    </w:rPr>
                    <w:t>氯化氢</w:t>
                  </w:r>
                </w:p>
              </w:tc>
            </w:tr>
            <w:tr w14:paraId="520ABDC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blHeader/>
              </w:trPr>
              <w:tc>
                <w:tcPr>
                  <w:tcW w:w="1134" w:type="dxa"/>
                  <w:vAlign w:val="center"/>
                </w:tcPr>
                <w:p w14:paraId="520ABDCA">
                  <w:pPr>
                    <w:contextualSpacing/>
                    <w:jc w:val="center"/>
                    <w:textAlignment w:val="baseline"/>
                    <w:rPr>
                      <w:bCs/>
                      <w:szCs w:val="21"/>
                      <w:lang w:val="zh-CN"/>
                    </w:rPr>
                  </w:pPr>
                  <w:r>
                    <w:rPr>
                      <w:rFonts w:hint="eastAsia"/>
                      <w:bCs/>
                      <w:szCs w:val="21"/>
                      <w:lang w:val="zh-CN"/>
                    </w:rPr>
                    <w:t>2025.4.29</w:t>
                  </w:r>
                </w:p>
              </w:tc>
              <w:tc>
                <w:tcPr>
                  <w:tcW w:w="2281" w:type="dxa"/>
                  <w:gridSpan w:val="2"/>
                  <w:vAlign w:val="center"/>
                </w:tcPr>
                <w:p w14:paraId="520ABDCB">
                  <w:pPr>
                    <w:contextualSpacing/>
                    <w:jc w:val="center"/>
                    <w:textAlignment w:val="baseline"/>
                    <w:rPr>
                      <w:bCs/>
                      <w:kern w:val="0"/>
                      <w:szCs w:val="21"/>
                      <w:lang w:val="zh-CN"/>
                    </w:rPr>
                  </w:pPr>
                  <w:r>
                    <w:rPr>
                      <w:rFonts w:hint="eastAsia"/>
                      <w:bCs/>
                      <w:kern w:val="0"/>
                      <w:szCs w:val="21"/>
                      <w:lang w:val="zh-CN"/>
                    </w:rPr>
                    <w:t>0.92~1.3</w:t>
                  </w:r>
                </w:p>
              </w:tc>
              <w:tc>
                <w:tcPr>
                  <w:tcW w:w="1566" w:type="dxa"/>
                  <w:gridSpan w:val="2"/>
                  <w:vAlign w:val="center"/>
                </w:tcPr>
                <w:p w14:paraId="520ABDCC">
                  <w:pPr>
                    <w:contextualSpacing/>
                    <w:jc w:val="center"/>
                    <w:textAlignment w:val="baseline"/>
                    <w:rPr>
                      <w:bCs/>
                      <w:kern w:val="0"/>
                      <w:szCs w:val="21"/>
                      <w:lang w:val="zh-CN"/>
                    </w:rPr>
                  </w:pPr>
                  <w:r>
                    <w:rPr>
                      <w:bCs/>
                      <w:kern w:val="0"/>
                      <w:szCs w:val="21"/>
                      <w:lang w:val="zh-CN"/>
                    </w:rPr>
                    <w:t>0.05</w:t>
                  </w:r>
                  <w:r>
                    <w:rPr>
                      <w:rFonts w:hint="eastAsia"/>
                      <w:bCs/>
                      <w:kern w:val="0"/>
                      <w:szCs w:val="21"/>
                      <w:lang w:val="zh-CN"/>
                    </w:rPr>
                    <w:t>~0.</w:t>
                  </w:r>
                  <w:r>
                    <w:rPr>
                      <w:bCs/>
                      <w:kern w:val="0"/>
                      <w:szCs w:val="21"/>
                      <w:lang w:val="zh-CN"/>
                    </w:rPr>
                    <w:t>17</w:t>
                  </w:r>
                </w:p>
              </w:tc>
              <w:tc>
                <w:tcPr>
                  <w:tcW w:w="1708" w:type="dxa"/>
                  <w:gridSpan w:val="2"/>
                  <w:vAlign w:val="center"/>
                </w:tcPr>
                <w:p w14:paraId="520ABDCD">
                  <w:pPr>
                    <w:contextualSpacing/>
                    <w:jc w:val="center"/>
                    <w:textAlignment w:val="baseline"/>
                    <w:rPr>
                      <w:bCs/>
                      <w:kern w:val="0"/>
                      <w:szCs w:val="21"/>
                      <w:lang w:val="zh-CN"/>
                    </w:rPr>
                  </w:pPr>
                  <w:r>
                    <w:rPr>
                      <w:rFonts w:hint="eastAsia"/>
                      <w:bCs/>
                      <w:kern w:val="0"/>
                      <w:szCs w:val="21"/>
                      <w:lang w:val="zh-CN"/>
                    </w:rPr>
                    <w:t>0.005~0.016</w:t>
                  </w:r>
                </w:p>
              </w:tc>
              <w:tc>
                <w:tcPr>
                  <w:tcW w:w="1650" w:type="dxa"/>
                  <w:vAlign w:val="center"/>
                </w:tcPr>
                <w:p w14:paraId="520ABDCE">
                  <w:pPr>
                    <w:jc w:val="center"/>
                    <w:rPr>
                      <w:rFonts w:cs="宋体"/>
                      <w:bCs/>
                      <w:kern w:val="0"/>
                      <w:szCs w:val="21"/>
                    </w:rPr>
                  </w:pPr>
                  <w:r>
                    <w:rPr>
                      <w:rFonts w:hint="eastAsia"/>
                      <w:bCs/>
                      <w:kern w:val="0"/>
                      <w:szCs w:val="21"/>
                      <w:lang w:val="zh-CN"/>
                    </w:rPr>
                    <w:t>0.07~0.17</w:t>
                  </w:r>
                </w:p>
              </w:tc>
            </w:tr>
            <w:tr w14:paraId="0AF7F8A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blHeader/>
              </w:trPr>
              <w:tc>
                <w:tcPr>
                  <w:tcW w:w="1134" w:type="dxa"/>
                  <w:vMerge w:val="restart"/>
                  <w:vAlign w:val="center"/>
                </w:tcPr>
                <w:p w14:paraId="34289F58">
                  <w:pPr>
                    <w:contextualSpacing/>
                    <w:jc w:val="center"/>
                    <w:textAlignment w:val="baseline"/>
                    <w:rPr>
                      <w:bCs/>
                      <w:szCs w:val="21"/>
                      <w:lang w:val="zh-CN"/>
                    </w:rPr>
                  </w:pPr>
                  <w:r>
                    <w:rPr>
                      <w:rFonts w:hint="eastAsia"/>
                      <w:b/>
                    </w:rPr>
                    <w:t>检测日期</w:t>
                  </w:r>
                </w:p>
              </w:tc>
              <w:tc>
                <w:tcPr>
                  <w:tcW w:w="7205" w:type="dxa"/>
                  <w:gridSpan w:val="7"/>
                  <w:vAlign w:val="center"/>
                </w:tcPr>
                <w:p w14:paraId="1ACB7944">
                  <w:pPr>
                    <w:jc w:val="center"/>
                    <w:rPr>
                      <w:bCs/>
                      <w:kern w:val="0"/>
                      <w:szCs w:val="21"/>
                      <w:lang w:val="zh-CN"/>
                    </w:rPr>
                  </w:pPr>
                  <w:r>
                    <w:rPr>
                      <w:rFonts w:hint="eastAsia"/>
                      <w:b/>
                    </w:rPr>
                    <w:t>排放浓度(mg/m</w:t>
                  </w:r>
                  <w:r>
                    <w:rPr>
                      <w:rFonts w:hint="eastAsia"/>
                      <w:b/>
                      <w:vertAlign w:val="superscript"/>
                    </w:rPr>
                    <w:t>3</w:t>
                  </w:r>
                  <w:r>
                    <w:rPr>
                      <w:rFonts w:hint="eastAsia"/>
                      <w:b/>
                    </w:rPr>
                    <w:t>)</w:t>
                  </w:r>
                </w:p>
              </w:tc>
            </w:tr>
            <w:tr w14:paraId="2E5CEA1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blHeader/>
              </w:trPr>
              <w:tc>
                <w:tcPr>
                  <w:tcW w:w="1134" w:type="dxa"/>
                  <w:vMerge w:val="continue"/>
                  <w:vAlign w:val="center"/>
                </w:tcPr>
                <w:p w14:paraId="096DDE9D">
                  <w:pPr>
                    <w:contextualSpacing/>
                    <w:jc w:val="center"/>
                    <w:textAlignment w:val="baseline"/>
                    <w:rPr>
                      <w:bCs/>
                      <w:szCs w:val="21"/>
                      <w:lang w:val="zh-CN"/>
                    </w:rPr>
                  </w:pPr>
                </w:p>
              </w:tc>
              <w:tc>
                <w:tcPr>
                  <w:tcW w:w="7205" w:type="dxa"/>
                  <w:gridSpan w:val="7"/>
                  <w:vAlign w:val="center"/>
                </w:tcPr>
                <w:p w14:paraId="45000F6F">
                  <w:pPr>
                    <w:jc w:val="center"/>
                    <w:rPr>
                      <w:bCs/>
                      <w:kern w:val="0"/>
                      <w:szCs w:val="21"/>
                      <w:lang w:val="zh-CN"/>
                    </w:rPr>
                  </w:pPr>
                  <w:r>
                    <w:rPr>
                      <w:rFonts w:hint="eastAsia"/>
                      <w:b/>
                    </w:rPr>
                    <w:t>涂装工序厂房外非甲烷总烃</w:t>
                  </w:r>
                </w:p>
              </w:tc>
            </w:tr>
            <w:tr w14:paraId="261048E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45" w:type="dxa"/>
                  <w:bottom w:w="0" w:type="dxa"/>
                  <w:right w:w="45" w:type="dxa"/>
                </w:tblCellMar>
              </w:tblPrEx>
              <w:trPr>
                <w:trHeight w:val="397" w:hRule="atLeast"/>
                <w:tblHeader/>
              </w:trPr>
              <w:tc>
                <w:tcPr>
                  <w:tcW w:w="1134" w:type="dxa"/>
                  <w:vAlign w:val="center"/>
                </w:tcPr>
                <w:p w14:paraId="3C8778D8">
                  <w:pPr>
                    <w:contextualSpacing/>
                    <w:jc w:val="center"/>
                    <w:textAlignment w:val="baseline"/>
                    <w:rPr>
                      <w:bCs/>
                      <w:szCs w:val="21"/>
                      <w:lang w:val="zh-CN"/>
                    </w:rPr>
                  </w:pPr>
                  <w:r>
                    <w:rPr>
                      <w:rFonts w:hint="eastAsia"/>
                      <w:bCs/>
                      <w:szCs w:val="21"/>
                      <w:lang w:val="zh-CN"/>
                    </w:rPr>
                    <w:t>2024.9.9</w:t>
                  </w:r>
                </w:p>
              </w:tc>
              <w:tc>
                <w:tcPr>
                  <w:tcW w:w="7205" w:type="dxa"/>
                  <w:gridSpan w:val="7"/>
                  <w:vAlign w:val="center"/>
                </w:tcPr>
                <w:p w14:paraId="35129CA5">
                  <w:pPr>
                    <w:jc w:val="center"/>
                    <w:rPr>
                      <w:bCs/>
                      <w:kern w:val="0"/>
                      <w:szCs w:val="21"/>
                      <w:lang w:val="zh-CN"/>
                    </w:rPr>
                  </w:pPr>
                  <w:r>
                    <w:rPr>
                      <w:rFonts w:hint="eastAsia"/>
                      <w:bCs/>
                      <w:kern w:val="0"/>
                      <w:szCs w:val="21"/>
                      <w:lang w:val="zh-CN"/>
                    </w:rPr>
                    <w:t>2.25~2.44</w:t>
                  </w:r>
                </w:p>
              </w:tc>
            </w:tr>
          </w:tbl>
          <w:p w14:paraId="520ABDD0">
            <w:pPr>
              <w:spacing w:line="460" w:lineRule="exact"/>
              <w:ind w:firstLine="480" w:firstLineChars="200"/>
              <w:rPr>
                <w:sz w:val="24"/>
              </w:rPr>
            </w:pPr>
            <w:r>
              <w:rPr>
                <w:rFonts w:hint="eastAsia"/>
                <w:sz w:val="24"/>
              </w:rPr>
              <w:t>由上表检测数据可知，解放路厂区厂界上下风向的</w:t>
            </w:r>
            <w:r>
              <w:rPr>
                <w:sz w:val="24"/>
              </w:rPr>
              <w:t>非甲烷总烃</w:t>
            </w:r>
            <w:r>
              <w:rPr>
                <w:rFonts w:hint="eastAsia"/>
                <w:sz w:val="24"/>
              </w:rPr>
              <w:t>废气</w:t>
            </w:r>
            <w:r>
              <w:rPr>
                <w:sz w:val="24"/>
              </w:rPr>
              <w:t>无组织排放浓度</w:t>
            </w:r>
            <w:r>
              <w:rPr>
                <w:rFonts w:hint="eastAsia"/>
                <w:sz w:val="24"/>
              </w:rPr>
              <w:t>能够满足《</w:t>
            </w:r>
            <w:r>
              <w:rPr>
                <w:sz w:val="24"/>
              </w:rPr>
              <w:t>关于全省开展工业企业挥发性有机物专项治理工作中排放建议值的通知》（豫环攻坚办（2017）162号）中</w:t>
            </w:r>
            <w:r>
              <w:rPr>
                <w:rFonts w:hint="eastAsia"/>
                <w:sz w:val="24"/>
              </w:rPr>
              <w:t>附件2-其他企业</w:t>
            </w:r>
            <w:r>
              <w:rPr>
                <w:sz w:val="24"/>
              </w:rPr>
              <w:t>非甲烷总烃</w:t>
            </w:r>
            <w:r>
              <w:rPr>
                <w:rFonts w:hint="eastAsia"/>
                <w:sz w:val="24"/>
              </w:rPr>
              <w:t>2.0</w:t>
            </w:r>
            <w:r>
              <w:rPr>
                <w:sz w:val="24"/>
              </w:rPr>
              <w:t>mg/m</w:t>
            </w:r>
            <w:r>
              <w:rPr>
                <w:sz w:val="24"/>
                <w:vertAlign w:val="superscript"/>
              </w:rPr>
              <w:t>3</w:t>
            </w:r>
            <w:r>
              <w:rPr>
                <w:sz w:val="24"/>
              </w:rPr>
              <w:t>的限值要求；</w:t>
            </w:r>
            <w:r>
              <w:rPr>
                <w:rFonts w:hint="eastAsia"/>
                <w:sz w:val="24"/>
              </w:rPr>
              <w:t>涂装工序厂房外的</w:t>
            </w:r>
            <w:r>
              <w:rPr>
                <w:sz w:val="24"/>
              </w:rPr>
              <w:t>非甲烷总烃</w:t>
            </w:r>
            <w:r>
              <w:rPr>
                <w:rFonts w:hint="eastAsia"/>
                <w:sz w:val="24"/>
              </w:rPr>
              <w:t>废气</w:t>
            </w:r>
            <w:r>
              <w:rPr>
                <w:sz w:val="24"/>
              </w:rPr>
              <w:t>无组织排放浓度</w:t>
            </w:r>
            <w:r>
              <w:rPr>
                <w:rFonts w:hint="eastAsia"/>
                <w:sz w:val="24"/>
              </w:rPr>
              <w:t>能够满足《</w:t>
            </w:r>
            <w:r>
              <w:rPr>
                <w:sz w:val="24"/>
              </w:rPr>
              <w:t>关于全省开展工业企业挥发性有机物专项治理工作中排放建议值的通知》（豫环攻坚办（2017）162号）中</w:t>
            </w:r>
            <w:r>
              <w:rPr>
                <w:rFonts w:hint="eastAsia"/>
                <w:sz w:val="24"/>
              </w:rPr>
              <w:t>附件</w:t>
            </w:r>
            <w:r>
              <w:rPr>
                <w:sz w:val="24"/>
              </w:rPr>
              <w:t>3</w:t>
            </w:r>
            <w:r>
              <w:rPr>
                <w:rFonts w:hint="eastAsia"/>
                <w:sz w:val="24"/>
              </w:rPr>
              <w:t>-生产车间或生产设备边界挥发性有机物排放建议值</w:t>
            </w:r>
            <w:r>
              <w:rPr>
                <w:sz w:val="24"/>
              </w:rPr>
              <w:t>非甲烷总烃4</w:t>
            </w:r>
            <w:r>
              <w:rPr>
                <w:rFonts w:hint="eastAsia"/>
                <w:sz w:val="24"/>
              </w:rPr>
              <w:t>.0</w:t>
            </w:r>
            <w:r>
              <w:rPr>
                <w:sz w:val="24"/>
              </w:rPr>
              <w:t>mg/m</w:t>
            </w:r>
            <w:r>
              <w:rPr>
                <w:sz w:val="24"/>
                <w:vertAlign w:val="superscript"/>
              </w:rPr>
              <w:t>3</w:t>
            </w:r>
            <w:r>
              <w:rPr>
                <w:sz w:val="24"/>
              </w:rPr>
              <w:t>的限值要求；</w:t>
            </w:r>
            <w:r>
              <w:rPr>
                <w:rFonts w:hint="eastAsia"/>
                <w:sz w:val="24"/>
              </w:rPr>
              <w:t>氯化氢、硫酸雾、铬酸雾、氰化氢废气</w:t>
            </w:r>
            <w:r>
              <w:rPr>
                <w:sz w:val="24"/>
              </w:rPr>
              <w:t>无组织排放浓度</w:t>
            </w:r>
            <w:r>
              <w:rPr>
                <w:rFonts w:hint="eastAsia"/>
                <w:sz w:val="24"/>
              </w:rPr>
              <w:t>能够满足</w:t>
            </w:r>
            <w:r>
              <w:rPr>
                <w:sz w:val="24"/>
              </w:rPr>
              <w:t>《大气污染物综合排放标准》（GB16297-1996）表2二级周界外最高浓度</w:t>
            </w:r>
            <w:r>
              <w:rPr>
                <w:rFonts w:hint="eastAsia"/>
                <w:sz w:val="24"/>
              </w:rPr>
              <w:t>氯化氢0.2</w:t>
            </w:r>
            <w:r>
              <w:rPr>
                <w:sz w:val="24"/>
              </w:rPr>
              <w:t>mg/m</w:t>
            </w:r>
            <w:r>
              <w:rPr>
                <w:sz w:val="24"/>
                <w:vertAlign w:val="superscript"/>
              </w:rPr>
              <w:t>3</w:t>
            </w:r>
            <w:r>
              <w:rPr>
                <w:rFonts w:hint="eastAsia"/>
                <w:sz w:val="24"/>
              </w:rPr>
              <w:t>、硫酸雾1.2</w:t>
            </w:r>
            <w:r>
              <w:rPr>
                <w:sz w:val="24"/>
              </w:rPr>
              <w:t>mg/m</w:t>
            </w:r>
            <w:r>
              <w:rPr>
                <w:sz w:val="24"/>
                <w:vertAlign w:val="superscript"/>
              </w:rPr>
              <w:t>3</w:t>
            </w:r>
            <w:r>
              <w:rPr>
                <w:rFonts w:hint="eastAsia"/>
                <w:sz w:val="24"/>
              </w:rPr>
              <w:t>、铬酸雾0.006</w:t>
            </w:r>
            <w:r>
              <w:rPr>
                <w:sz w:val="24"/>
              </w:rPr>
              <w:t>mg/m</w:t>
            </w:r>
            <w:r>
              <w:rPr>
                <w:sz w:val="24"/>
                <w:vertAlign w:val="superscript"/>
              </w:rPr>
              <w:t>3</w:t>
            </w:r>
            <w:r>
              <w:rPr>
                <w:rFonts w:hint="eastAsia"/>
                <w:sz w:val="24"/>
              </w:rPr>
              <w:t>、氰化氢0.024</w:t>
            </w:r>
            <w:r>
              <w:rPr>
                <w:sz w:val="24"/>
              </w:rPr>
              <w:t>mg/m</w:t>
            </w:r>
            <w:r>
              <w:rPr>
                <w:sz w:val="24"/>
                <w:vertAlign w:val="superscript"/>
              </w:rPr>
              <w:t>3</w:t>
            </w:r>
            <w:r>
              <w:rPr>
                <w:sz w:val="24"/>
              </w:rPr>
              <w:t>的限值要求</w:t>
            </w:r>
            <w:r>
              <w:rPr>
                <w:rFonts w:hint="eastAsia"/>
                <w:sz w:val="24"/>
              </w:rPr>
              <w:t>；颗粒物废气</w:t>
            </w:r>
            <w:r>
              <w:rPr>
                <w:sz w:val="24"/>
              </w:rPr>
              <w:t>无组织排放浓度</w:t>
            </w:r>
            <w:r>
              <w:rPr>
                <w:rFonts w:hint="eastAsia"/>
                <w:sz w:val="24"/>
              </w:rPr>
              <w:t>能够满足《</w:t>
            </w:r>
            <w:r>
              <w:rPr>
                <w:sz w:val="24"/>
              </w:rPr>
              <w:t>新乡市生态环境局关于进一步规范工业企业颗粒物排放限值的通知</w:t>
            </w:r>
            <w:r>
              <w:rPr>
                <w:rFonts w:hint="eastAsia"/>
                <w:sz w:val="24"/>
              </w:rPr>
              <w:t>》中厂界无组织0.5</w:t>
            </w:r>
            <w:r>
              <w:rPr>
                <w:sz w:val="24"/>
              </w:rPr>
              <w:t>mg/m</w:t>
            </w:r>
            <w:r>
              <w:rPr>
                <w:sz w:val="24"/>
                <w:vertAlign w:val="superscript"/>
              </w:rPr>
              <w:t>3</w:t>
            </w:r>
            <w:r>
              <w:rPr>
                <w:sz w:val="24"/>
              </w:rPr>
              <w:t>的限值要求</w:t>
            </w:r>
            <w:r>
              <w:rPr>
                <w:rFonts w:hint="eastAsia"/>
                <w:sz w:val="24"/>
              </w:rPr>
              <w:t>；氨、硫化氢废气</w:t>
            </w:r>
            <w:r>
              <w:rPr>
                <w:sz w:val="24"/>
              </w:rPr>
              <w:t>无组织排放浓度</w:t>
            </w:r>
            <w:r>
              <w:rPr>
                <w:rFonts w:hint="eastAsia"/>
                <w:sz w:val="24"/>
              </w:rPr>
              <w:t>能够满足《恶臭污染物排放浓度标准》（GB14554-93）中表1二级厂界无组织氨</w:t>
            </w:r>
            <w:r>
              <w:rPr>
                <w:sz w:val="24"/>
              </w:rPr>
              <w:t>1.5mg/m</w:t>
            </w:r>
            <w:r>
              <w:rPr>
                <w:sz w:val="24"/>
                <w:vertAlign w:val="superscript"/>
              </w:rPr>
              <w:t>3</w:t>
            </w:r>
            <w:r>
              <w:rPr>
                <w:rFonts w:hint="eastAsia"/>
                <w:sz w:val="24"/>
              </w:rPr>
              <w:t>、硫化氢0</w:t>
            </w:r>
            <w:r>
              <w:rPr>
                <w:sz w:val="24"/>
              </w:rPr>
              <w:t>.06mg/m</w:t>
            </w:r>
            <w:r>
              <w:rPr>
                <w:sz w:val="24"/>
                <w:vertAlign w:val="superscript"/>
              </w:rPr>
              <w:t>3</w:t>
            </w:r>
            <w:r>
              <w:rPr>
                <w:sz w:val="24"/>
              </w:rPr>
              <w:t>的限值要求</w:t>
            </w:r>
            <w:r>
              <w:rPr>
                <w:rFonts w:hint="eastAsia"/>
                <w:sz w:val="24"/>
              </w:rPr>
              <w:t>。</w:t>
            </w:r>
          </w:p>
          <w:p w14:paraId="520ABDD1">
            <w:pPr>
              <w:spacing w:line="460" w:lineRule="exact"/>
              <w:ind w:firstLine="482" w:firstLineChars="200"/>
              <w:rPr>
                <w:b/>
                <w:sz w:val="24"/>
              </w:rPr>
            </w:pPr>
            <w:r>
              <w:rPr>
                <w:rFonts w:hint="eastAsia"/>
                <w:b/>
                <w:sz w:val="24"/>
              </w:rPr>
              <w:t>③废气污染物排放总量</w:t>
            </w:r>
          </w:p>
          <w:p w14:paraId="520ABDD2">
            <w:pPr>
              <w:spacing w:line="460" w:lineRule="exact"/>
              <w:ind w:firstLine="480" w:firstLineChars="200"/>
              <w:rPr>
                <w:bCs/>
                <w:sz w:val="24"/>
              </w:rPr>
            </w:pPr>
            <w:r>
              <w:rPr>
                <w:rFonts w:hint="eastAsia"/>
                <w:bCs/>
                <w:kern w:val="0"/>
                <w:sz w:val="24"/>
              </w:rPr>
              <w:t>根据上述分析</w:t>
            </w:r>
            <w:r>
              <w:rPr>
                <w:rFonts w:hint="eastAsia"/>
                <w:bCs/>
                <w:sz w:val="24"/>
              </w:rPr>
              <w:t>得出现有项目满负荷时废气污染物实际排放量见下表：</w:t>
            </w:r>
          </w:p>
          <w:p w14:paraId="520ABDD5">
            <w:pPr>
              <w:snapToGrid w:val="0"/>
              <w:spacing w:line="460" w:lineRule="exact"/>
              <w:ind w:firstLine="480" w:firstLineChars="200"/>
              <w:rPr>
                <w:bCs/>
                <w:sz w:val="24"/>
              </w:rPr>
            </w:pPr>
            <w:r>
              <w:rPr>
                <w:rFonts w:eastAsia="黑体"/>
                <w:bCs/>
                <w:sz w:val="24"/>
              </w:rPr>
              <w:t>表</w:t>
            </w:r>
            <w:r>
              <w:rPr>
                <w:rFonts w:hint="eastAsia" w:eastAsia="黑体"/>
                <w:bCs/>
                <w:sz w:val="24"/>
              </w:rPr>
              <w:t>34</w:t>
            </w:r>
            <w:r>
              <w:rPr>
                <w:rFonts w:eastAsia="黑体"/>
                <w:bCs/>
                <w:sz w:val="24"/>
              </w:rPr>
              <w:t xml:space="preserve">         </w:t>
            </w:r>
            <w:r>
              <w:rPr>
                <w:rFonts w:hint="eastAsia" w:eastAsia="黑体"/>
                <w:bCs/>
                <w:sz w:val="24"/>
              </w:rPr>
              <w:t xml:space="preserve">  解放路厂区废气</w:t>
            </w:r>
            <w:r>
              <w:rPr>
                <w:rFonts w:eastAsia="黑体"/>
                <w:bCs/>
                <w:sz w:val="24"/>
              </w:rPr>
              <w:t xml:space="preserve">总量排放控制指标        </w:t>
            </w:r>
            <w:r>
              <w:rPr>
                <w:rFonts w:hint="eastAsia" w:eastAsia="黑体"/>
                <w:bCs/>
                <w:sz w:val="24"/>
              </w:rPr>
              <w:t xml:space="preserve">  </w:t>
            </w:r>
            <w:r>
              <w:rPr>
                <w:rFonts w:eastAsia="黑体"/>
                <w:bCs/>
                <w:sz w:val="24"/>
              </w:rPr>
              <w:t>单位：t/</w:t>
            </w:r>
            <w:r>
              <w:rPr>
                <w:bCs/>
                <w:sz w:val="24"/>
              </w:rPr>
              <w:t>a</w:t>
            </w:r>
          </w:p>
          <w:tbl>
            <w:tblPr>
              <w:tblStyle w:val="18"/>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536"/>
              <w:gridCol w:w="1078"/>
              <w:gridCol w:w="2087"/>
              <w:gridCol w:w="2572"/>
              <w:gridCol w:w="2066"/>
            </w:tblGrid>
            <w:tr w14:paraId="520ABDD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36" w:type="dxa"/>
                  <w:vAlign w:val="center"/>
                </w:tcPr>
                <w:p w14:paraId="520ABDD6">
                  <w:pPr>
                    <w:adjustRightInd w:val="0"/>
                    <w:snapToGrid w:val="0"/>
                    <w:jc w:val="center"/>
                    <w:rPr>
                      <w:b/>
                      <w:szCs w:val="21"/>
                    </w:rPr>
                  </w:pPr>
                  <w:r>
                    <w:rPr>
                      <w:b/>
                      <w:szCs w:val="21"/>
                    </w:rPr>
                    <w:t>序号</w:t>
                  </w:r>
                </w:p>
              </w:tc>
              <w:tc>
                <w:tcPr>
                  <w:tcW w:w="1078" w:type="dxa"/>
                  <w:vAlign w:val="center"/>
                </w:tcPr>
                <w:p w14:paraId="520ABDD7">
                  <w:pPr>
                    <w:adjustRightInd w:val="0"/>
                    <w:snapToGrid w:val="0"/>
                    <w:jc w:val="center"/>
                    <w:rPr>
                      <w:b/>
                      <w:szCs w:val="21"/>
                    </w:rPr>
                  </w:pPr>
                  <w:r>
                    <w:rPr>
                      <w:b/>
                      <w:szCs w:val="21"/>
                    </w:rPr>
                    <w:t>污染物</w:t>
                  </w:r>
                </w:p>
              </w:tc>
              <w:tc>
                <w:tcPr>
                  <w:tcW w:w="2087" w:type="dxa"/>
                  <w:vAlign w:val="center"/>
                </w:tcPr>
                <w:p w14:paraId="520ABDD8">
                  <w:pPr>
                    <w:snapToGrid w:val="0"/>
                    <w:jc w:val="center"/>
                    <w:rPr>
                      <w:b/>
                      <w:szCs w:val="21"/>
                    </w:rPr>
                  </w:pPr>
                  <w:r>
                    <w:rPr>
                      <w:rFonts w:hint="eastAsia"/>
                      <w:b/>
                      <w:szCs w:val="21"/>
                    </w:rPr>
                    <w:t>已建工程</w:t>
                  </w:r>
                  <w:r>
                    <w:rPr>
                      <w:b/>
                      <w:szCs w:val="21"/>
                    </w:rPr>
                    <w:t>实际排放量</w:t>
                  </w:r>
                </w:p>
              </w:tc>
              <w:tc>
                <w:tcPr>
                  <w:tcW w:w="2572" w:type="dxa"/>
                  <w:vAlign w:val="center"/>
                </w:tcPr>
                <w:p w14:paraId="520ABDD9">
                  <w:pPr>
                    <w:snapToGrid w:val="0"/>
                    <w:jc w:val="center"/>
                    <w:rPr>
                      <w:b/>
                      <w:szCs w:val="21"/>
                    </w:rPr>
                  </w:pPr>
                  <w:r>
                    <w:rPr>
                      <w:rFonts w:hint="eastAsia"/>
                      <w:b/>
                      <w:szCs w:val="21"/>
                    </w:rPr>
                    <w:t>已建工程</w:t>
                  </w:r>
                  <w:r>
                    <w:rPr>
                      <w:b/>
                      <w:szCs w:val="21"/>
                    </w:rPr>
                    <w:t>允许排放量</w:t>
                  </w:r>
                </w:p>
              </w:tc>
              <w:tc>
                <w:tcPr>
                  <w:tcW w:w="2066" w:type="dxa"/>
                  <w:vAlign w:val="center"/>
                </w:tcPr>
                <w:p w14:paraId="520ABDDA">
                  <w:pPr>
                    <w:snapToGrid w:val="0"/>
                    <w:jc w:val="center"/>
                    <w:rPr>
                      <w:b/>
                      <w:szCs w:val="21"/>
                    </w:rPr>
                  </w:pPr>
                  <w:r>
                    <w:rPr>
                      <w:rFonts w:hint="eastAsia"/>
                      <w:b/>
                      <w:szCs w:val="21"/>
                    </w:rPr>
                    <w:t>在建工程环评批复量</w:t>
                  </w:r>
                </w:p>
              </w:tc>
            </w:tr>
            <w:tr w14:paraId="520ABDE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36" w:type="dxa"/>
                  <w:vAlign w:val="center"/>
                </w:tcPr>
                <w:p w14:paraId="520ABDDC">
                  <w:pPr>
                    <w:adjustRightInd w:val="0"/>
                    <w:snapToGrid w:val="0"/>
                    <w:jc w:val="center"/>
                    <w:rPr>
                      <w:bCs/>
                      <w:szCs w:val="21"/>
                    </w:rPr>
                  </w:pPr>
                  <w:r>
                    <w:rPr>
                      <w:bCs/>
                      <w:szCs w:val="21"/>
                    </w:rPr>
                    <w:t>1</w:t>
                  </w:r>
                </w:p>
              </w:tc>
              <w:tc>
                <w:tcPr>
                  <w:tcW w:w="1078" w:type="dxa"/>
                  <w:vAlign w:val="center"/>
                </w:tcPr>
                <w:p w14:paraId="520ABDDD">
                  <w:pPr>
                    <w:adjustRightInd w:val="0"/>
                    <w:snapToGrid w:val="0"/>
                    <w:jc w:val="center"/>
                    <w:rPr>
                      <w:szCs w:val="21"/>
                    </w:rPr>
                  </w:pPr>
                  <w:r>
                    <w:rPr>
                      <w:szCs w:val="21"/>
                    </w:rPr>
                    <w:t>铬酸雾</w:t>
                  </w:r>
                  <w:r>
                    <w:rPr>
                      <w:rFonts w:hint="eastAsia"/>
                      <w:szCs w:val="21"/>
                    </w:rPr>
                    <w:t>*</w:t>
                  </w:r>
                </w:p>
              </w:tc>
              <w:tc>
                <w:tcPr>
                  <w:tcW w:w="2087" w:type="dxa"/>
                  <w:vAlign w:val="center"/>
                </w:tcPr>
                <w:p w14:paraId="520ABDDE">
                  <w:pPr>
                    <w:snapToGrid w:val="0"/>
                    <w:jc w:val="center"/>
                    <w:rPr>
                      <w:bCs/>
                      <w:szCs w:val="21"/>
                    </w:rPr>
                  </w:pPr>
                  <w:r>
                    <w:rPr>
                      <w:rFonts w:eastAsia="等线"/>
                      <w:szCs w:val="21"/>
                    </w:rPr>
                    <w:t>0.00</w:t>
                  </w:r>
                  <w:r>
                    <w:rPr>
                      <w:rFonts w:hint="eastAsia" w:eastAsia="等线"/>
                      <w:szCs w:val="21"/>
                    </w:rPr>
                    <w:t>79</w:t>
                  </w:r>
                </w:p>
              </w:tc>
              <w:tc>
                <w:tcPr>
                  <w:tcW w:w="2572" w:type="dxa"/>
                  <w:vAlign w:val="center"/>
                </w:tcPr>
                <w:p w14:paraId="520ABDDF">
                  <w:pPr>
                    <w:contextualSpacing/>
                    <w:jc w:val="center"/>
                    <w:textAlignment w:val="baseline"/>
                    <w:rPr>
                      <w:bCs/>
                      <w:szCs w:val="21"/>
                    </w:rPr>
                  </w:pPr>
                  <w:r>
                    <w:rPr>
                      <w:rFonts w:eastAsia="等线"/>
                      <w:szCs w:val="21"/>
                    </w:rPr>
                    <w:t>0.00</w:t>
                  </w:r>
                  <w:r>
                    <w:rPr>
                      <w:rFonts w:hint="eastAsia" w:eastAsia="等线"/>
                      <w:szCs w:val="21"/>
                    </w:rPr>
                    <w:t>79</w:t>
                  </w:r>
                </w:p>
              </w:tc>
              <w:tc>
                <w:tcPr>
                  <w:tcW w:w="2066" w:type="dxa"/>
                  <w:vAlign w:val="center"/>
                </w:tcPr>
                <w:p w14:paraId="520ABDE0">
                  <w:pPr>
                    <w:snapToGrid w:val="0"/>
                    <w:jc w:val="center"/>
                  </w:pPr>
                  <w:r>
                    <w:rPr>
                      <w:rFonts w:hint="eastAsia"/>
                    </w:rPr>
                    <w:t>/</w:t>
                  </w:r>
                </w:p>
              </w:tc>
            </w:tr>
            <w:tr w14:paraId="520ABDE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36" w:type="dxa"/>
                  <w:vAlign w:val="center"/>
                </w:tcPr>
                <w:p w14:paraId="520ABDE2">
                  <w:pPr>
                    <w:adjustRightInd w:val="0"/>
                    <w:snapToGrid w:val="0"/>
                    <w:jc w:val="center"/>
                    <w:rPr>
                      <w:bCs/>
                      <w:szCs w:val="21"/>
                    </w:rPr>
                  </w:pPr>
                  <w:r>
                    <w:rPr>
                      <w:bCs/>
                      <w:szCs w:val="21"/>
                    </w:rPr>
                    <w:t>2</w:t>
                  </w:r>
                </w:p>
              </w:tc>
              <w:tc>
                <w:tcPr>
                  <w:tcW w:w="1078" w:type="dxa"/>
                  <w:vAlign w:val="center"/>
                </w:tcPr>
                <w:p w14:paraId="520ABDE3">
                  <w:pPr>
                    <w:adjustRightInd w:val="0"/>
                    <w:snapToGrid w:val="0"/>
                    <w:jc w:val="center"/>
                    <w:rPr>
                      <w:szCs w:val="21"/>
                    </w:rPr>
                  </w:pPr>
                  <w:r>
                    <w:rPr>
                      <w:szCs w:val="21"/>
                    </w:rPr>
                    <w:t>硫酸雾</w:t>
                  </w:r>
                  <w:r>
                    <w:rPr>
                      <w:rFonts w:hint="eastAsia"/>
                      <w:szCs w:val="21"/>
                    </w:rPr>
                    <w:t>*</w:t>
                  </w:r>
                </w:p>
              </w:tc>
              <w:tc>
                <w:tcPr>
                  <w:tcW w:w="2087" w:type="dxa"/>
                  <w:vAlign w:val="center"/>
                </w:tcPr>
                <w:p w14:paraId="520ABDE4">
                  <w:pPr>
                    <w:contextualSpacing/>
                    <w:jc w:val="center"/>
                    <w:textAlignment w:val="baseline"/>
                    <w:rPr>
                      <w:bCs/>
                      <w:kern w:val="0"/>
                      <w:szCs w:val="21"/>
                      <w:lang w:val="zh-CN"/>
                    </w:rPr>
                  </w:pPr>
                  <w:r>
                    <w:rPr>
                      <w:rFonts w:hint="eastAsia" w:eastAsia="等线"/>
                      <w:kern w:val="0"/>
                      <w:szCs w:val="21"/>
                      <w:lang w:val="zh-CN"/>
                    </w:rPr>
                    <w:t>2.243</w:t>
                  </w:r>
                </w:p>
              </w:tc>
              <w:tc>
                <w:tcPr>
                  <w:tcW w:w="2572" w:type="dxa"/>
                  <w:vAlign w:val="center"/>
                </w:tcPr>
                <w:p w14:paraId="520ABDE5">
                  <w:pPr>
                    <w:contextualSpacing/>
                    <w:jc w:val="center"/>
                    <w:textAlignment w:val="baseline"/>
                    <w:rPr>
                      <w:bCs/>
                      <w:kern w:val="0"/>
                      <w:szCs w:val="21"/>
                      <w:lang w:val="zh-CN"/>
                    </w:rPr>
                  </w:pPr>
                  <w:r>
                    <w:rPr>
                      <w:rFonts w:hint="eastAsia" w:eastAsia="等线"/>
                      <w:kern w:val="0"/>
                      <w:szCs w:val="21"/>
                      <w:lang w:val="zh-CN"/>
                    </w:rPr>
                    <w:t>2.243</w:t>
                  </w:r>
                </w:p>
              </w:tc>
              <w:tc>
                <w:tcPr>
                  <w:tcW w:w="2066" w:type="dxa"/>
                  <w:vAlign w:val="center"/>
                </w:tcPr>
                <w:p w14:paraId="520ABDE6">
                  <w:pPr>
                    <w:contextualSpacing/>
                    <w:jc w:val="center"/>
                    <w:textAlignment w:val="baseline"/>
                    <w:rPr>
                      <w:kern w:val="0"/>
                      <w:szCs w:val="21"/>
                      <w:lang w:val="zh-CN"/>
                    </w:rPr>
                  </w:pPr>
                  <w:r>
                    <w:rPr>
                      <w:rFonts w:hint="eastAsia"/>
                      <w:kern w:val="0"/>
                      <w:szCs w:val="21"/>
                      <w:lang w:val="zh-CN"/>
                    </w:rPr>
                    <w:t>/</w:t>
                  </w:r>
                </w:p>
              </w:tc>
            </w:tr>
            <w:tr w14:paraId="520ABDE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36" w:type="dxa"/>
                  <w:vAlign w:val="center"/>
                </w:tcPr>
                <w:p w14:paraId="520ABDE8">
                  <w:pPr>
                    <w:adjustRightInd w:val="0"/>
                    <w:snapToGrid w:val="0"/>
                    <w:jc w:val="center"/>
                    <w:rPr>
                      <w:bCs/>
                      <w:szCs w:val="21"/>
                    </w:rPr>
                  </w:pPr>
                  <w:r>
                    <w:rPr>
                      <w:bCs/>
                      <w:szCs w:val="21"/>
                    </w:rPr>
                    <w:t>3</w:t>
                  </w:r>
                </w:p>
              </w:tc>
              <w:tc>
                <w:tcPr>
                  <w:tcW w:w="1078" w:type="dxa"/>
                  <w:vAlign w:val="center"/>
                </w:tcPr>
                <w:p w14:paraId="520ABDE9">
                  <w:pPr>
                    <w:adjustRightInd w:val="0"/>
                    <w:snapToGrid w:val="0"/>
                    <w:jc w:val="center"/>
                    <w:rPr>
                      <w:szCs w:val="21"/>
                    </w:rPr>
                  </w:pPr>
                  <w:r>
                    <w:rPr>
                      <w:szCs w:val="21"/>
                    </w:rPr>
                    <w:t>氯化氢</w:t>
                  </w:r>
                  <w:r>
                    <w:rPr>
                      <w:rFonts w:hint="eastAsia"/>
                      <w:szCs w:val="21"/>
                    </w:rPr>
                    <w:t>*</w:t>
                  </w:r>
                </w:p>
              </w:tc>
              <w:tc>
                <w:tcPr>
                  <w:tcW w:w="2087" w:type="dxa"/>
                  <w:vAlign w:val="center"/>
                </w:tcPr>
                <w:p w14:paraId="520ABDEA">
                  <w:pPr>
                    <w:contextualSpacing/>
                    <w:jc w:val="center"/>
                    <w:textAlignment w:val="baseline"/>
                    <w:rPr>
                      <w:bCs/>
                      <w:kern w:val="0"/>
                      <w:szCs w:val="21"/>
                      <w:lang w:val="zh-CN"/>
                    </w:rPr>
                  </w:pPr>
                  <w:r>
                    <w:rPr>
                      <w:rFonts w:hint="eastAsia" w:eastAsia="等线"/>
                      <w:kern w:val="0"/>
                      <w:szCs w:val="21"/>
                      <w:lang w:val="zh-CN"/>
                    </w:rPr>
                    <w:t>0.6769</w:t>
                  </w:r>
                </w:p>
              </w:tc>
              <w:tc>
                <w:tcPr>
                  <w:tcW w:w="2572" w:type="dxa"/>
                  <w:vAlign w:val="center"/>
                </w:tcPr>
                <w:p w14:paraId="520ABDEB">
                  <w:pPr>
                    <w:contextualSpacing/>
                    <w:jc w:val="center"/>
                    <w:textAlignment w:val="baseline"/>
                    <w:rPr>
                      <w:bCs/>
                      <w:kern w:val="0"/>
                      <w:szCs w:val="21"/>
                      <w:lang w:val="zh-CN"/>
                    </w:rPr>
                  </w:pPr>
                  <w:r>
                    <w:rPr>
                      <w:rFonts w:hint="eastAsia" w:eastAsia="等线"/>
                      <w:kern w:val="0"/>
                      <w:szCs w:val="21"/>
                      <w:lang w:val="zh-CN"/>
                    </w:rPr>
                    <w:t>0.6769</w:t>
                  </w:r>
                </w:p>
              </w:tc>
              <w:tc>
                <w:tcPr>
                  <w:tcW w:w="2066" w:type="dxa"/>
                  <w:vAlign w:val="center"/>
                </w:tcPr>
                <w:p w14:paraId="520ABDEC">
                  <w:pPr>
                    <w:contextualSpacing/>
                    <w:jc w:val="center"/>
                    <w:textAlignment w:val="baseline"/>
                    <w:rPr>
                      <w:kern w:val="0"/>
                      <w:szCs w:val="21"/>
                      <w:lang w:val="zh-CN"/>
                    </w:rPr>
                  </w:pPr>
                  <w:r>
                    <w:rPr>
                      <w:rFonts w:hint="eastAsia"/>
                      <w:kern w:val="0"/>
                      <w:szCs w:val="21"/>
                      <w:lang w:val="zh-CN"/>
                    </w:rPr>
                    <w:t>/</w:t>
                  </w:r>
                </w:p>
              </w:tc>
            </w:tr>
            <w:tr w14:paraId="520ABDF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36" w:type="dxa"/>
                  <w:vAlign w:val="center"/>
                </w:tcPr>
                <w:p w14:paraId="520ABDEE">
                  <w:pPr>
                    <w:adjustRightInd w:val="0"/>
                    <w:snapToGrid w:val="0"/>
                    <w:jc w:val="center"/>
                    <w:rPr>
                      <w:bCs/>
                      <w:szCs w:val="21"/>
                    </w:rPr>
                  </w:pPr>
                  <w:r>
                    <w:rPr>
                      <w:bCs/>
                      <w:szCs w:val="21"/>
                    </w:rPr>
                    <w:t>4</w:t>
                  </w:r>
                </w:p>
              </w:tc>
              <w:tc>
                <w:tcPr>
                  <w:tcW w:w="1078" w:type="dxa"/>
                  <w:vAlign w:val="center"/>
                </w:tcPr>
                <w:p w14:paraId="520ABDEF">
                  <w:pPr>
                    <w:adjustRightInd w:val="0"/>
                    <w:snapToGrid w:val="0"/>
                    <w:jc w:val="center"/>
                    <w:rPr>
                      <w:szCs w:val="21"/>
                    </w:rPr>
                  </w:pPr>
                  <w:r>
                    <w:rPr>
                      <w:szCs w:val="21"/>
                    </w:rPr>
                    <w:t>氰化氢</w:t>
                  </w:r>
                  <w:r>
                    <w:rPr>
                      <w:rFonts w:hint="eastAsia"/>
                      <w:szCs w:val="21"/>
                    </w:rPr>
                    <w:t>*</w:t>
                  </w:r>
                </w:p>
              </w:tc>
              <w:tc>
                <w:tcPr>
                  <w:tcW w:w="2087" w:type="dxa"/>
                  <w:vAlign w:val="center"/>
                </w:tcPr>
                <w:p w14:paraId="520ABDF0">
                  <w:pPr>
                    <w:contextualSpacing/>
                    <w:jc w:val="center"/>
                    <w:textAlignment w:val="baseline"/>
                    <w:rPr>
                      <w:bCs/>
                      <w:kern w:val="0"/>
                      <w:szCs w:val="21"/>
                      <w:lang w:val="zh-CN"/>
                    </w:rPr>
                  </w:pPr>
                  <w:r>
                    <w:rPr>
                      <w:rFonts w:hint="eastAsia" w:eastAsia="等线"/>
                      <w:kern w:val="0"/>
                      <w:szCs w:val="21"/>
                      <w:lang w:val="zh-CN"/>
                    </w:rPr>
                    <w:t>0.0041</w:t>
                  </w:r>
                </w:p>
              </w:tc>
              <w:tc>
                <w:tcPr>
                  <w:tcW w:w="2572" w:type="dxa"/>
                  <w:vAlign w:val="center"/>
                </w:tcPr>
                <w:p w14:paraId="520ABDF1">
                  <w:pPr>
                    <w:contextualSpacing/>
                    <w:jc w:val="center"/>
                    <w:textAlignment w:val="baseline"/>
                    <w:rPr>
                      <w:bCs/>
                      <w:kern w:val="0"/>
                      <w:szCs w:val="21"/>
                      <w:lang w:val="zh-CN"/>
                    </w:rPr>
                  </w:pPr>
                  <w:r>
                    <w:rPr>
                      <w:rFonts w:hint="eastAsia" w:eastAsia="等线"/>
                      <w:kern w:val="0"/>
                      <w:szCs w:val="21"/>
                      <w:lang w:val="zh-CN"/>
                    </w:rPr>
                    <w:t>0.0041</w:t>
                  </w:r>
                </w:p>
              </w:tc>
              <w:tc>
                <w:tcPr>
                  <w:tcW w:w="2066" w:type="dxa"/>
                  <w:vAlign w:val="center"/>
                </w:tcPr>
                <w:p w14:paraId="520ABDF2">
                  <w:pPr>
                    <w:contextualSpacing/>
                    <w:jc w:val="center"/>
                    <w:textAlignment w:val="baseline"/>
                    <w:rPr>
                      <w:kern w:val="0"/>
                      <w:szCs w:val="21"/>
                      <w:lang w:val="zh-CN"/>
                    </w:rPr>
                  </w:pPr>
                  <w:r>
                    <w:rPr>
                      <w:rFonts w:hint="eastAsia"/>
                      <w:kern w:val="0"/>
                      <w:szCs w:val="21"/>
                      <w:lang w:val="zh-CN"/>
                    </w:rPr>
                    <w:t>/</w:t>
                  </w:r>
                </w:p>
              </w:tc>
            </w:tr>
            <w:tr w14:paraId="520ABDF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36" w:type="dxa"/>
                  <w:vAlign w:val="center"/>
                </w:tcPr>
                <w:p w14:paraId="520ABDF4">
                  <w:pPr>
                    <w:adjustRightInd w:val="0"/>
                    <w:snapToGrid w:val="0"/>
                    <w:jc w:val="center"/>
                    <w:rPr>
                      <w:bCs/>
                      <w:szCs w:val="21"/>
                    </w:rPr>
                  </w:pPr>
                  <w:r>
                    <w:rPr>
                      <w:bCs/>
                      <w:szCs w:val="21"/>
                    </w:rPr>
                    <w:t>5</w:t>
                  </w:r>
                </w:p>
              </w:tc>
              <w:tc>
                <w:tcPr>
                  <w:tcW w:w="1078" w:type="dxa"/>
                  <w:vAlign w:val="center"/>
                </w:tcPr>
                <w:p w14:paraId="520ABDF5">
                  <w:pPr>
                    <w:adjustRightInd w:val="0"/>
                    <w:snapToGrid w:val="0"/>
                    <w:jc w:val="center"/>
                    <w:rPr>
                      <w:szCs w:val="21"/>
                    </w:rPr>
                  </w:pPr>
                  <w:r>
                    <w:rPr>
                      <w:szCs w:val="21"/>
                    </w:rPr>
                    <w:t>氮氧化物</w:t>
                  </w:r>
                  <w:r>
                    <w:rPr>
                      <w:rFonts w:hint="eastAsia"/>
                      <w:szCs w:val="21"/>
                    </w:rPr>
                    <w:t>*</w:t>
                  </w:r>
                </w:p>
              </w:tc>
              <w:tc>
                <w:tcPr>
                  <w:tcW w:w="2087" w:type="dxa"/>
                  <w:vAlign w:val="center"/>
                </w:tcPr>
                <w:p w14:paraId="520ABDF6">
                  <w:pPr>
                    <w:contextualSpacing/>
                    <w:jc w:val="center"/>
                    <w:textAlignment w:val="baseline"/>
                    <w:rPr>
                      <w:bCs/>
                      <w:kern w:val="0"/>
                      <w:szCs w:val="21"/>
                      <w:lang w:val="zh-CN"/>
                    </w:rPr>
                  </w:pPr>
                  <w:r>
                    <w:rPr>
                      <w:rFonts w:hint="eastAsia" w:eastAsia="等线"/>
                      <w:kern w:val="0"/>
                      <w:szCs w:val="21"/>
                      <w:lang w:val="zh-CN"/>
                    </w:rPr>
                    <w:t>2.035</w:t>
                  </w:r>
                </w:p>
              </w:tc>
              <w:tc>
                <w:tcPr>
                  <w:tcW w:w="2572" w:type="dxa"/>
                  <w:vAlign w:val="center"/>
                </w:tcPr>
                <w:p w14:paraId="520ABDF7">
                  <w:pPr>
                    <w:contextualSpacing/>
                    <w:jc w:val="center"/>
                    <w:textAlignment w:val="baseline"/>
                    <w:rPr>
                      <w:bCs/>
                      <w:kern w:val="0"/>
                      <w:szCs w:val="21"/>
                      <w:lang w:val="zh-CN"/>
                    </w:rPr>
                  </w:pPr>
                  <w:r>
                    <w:rPr>
                      <w:rFonts w:hint="eastAsia" w:eastAsia="等线"/>
                      <w:kern w:val="0"/>
                      <w:szCs w:val="21"/>
                      <w:lang w:val="zh-CN"/>
                    </w:rPr>
                    <w:t>2.035</w:t>
                  </w:r>
                </w:p>
              </w:tc>
              <w:tc>
                <w:tcPr>
                  <w:tcW w:w="2066" w:type="dxa"/>
                  <w:vAlign w:val="center"/>
                </w:tcPr>
                <w:p w14:paraId="520ABDF8">
                  <w:pPr>
                    <w:contextualSpacing/>
                    <w:jc w:val="center"/>
                    <w:textAlignment w:val="baseline"/>
                    <w:rPr>
                      <w:kern w:val="0"/>
                      <w:szCs w:val="21"/>
                      <w:lang w:val="zh-CN"/>
                    </w:rPr>
                  </w:pPr>
                  <w:r>
                    <w:rPr>
                      <w:rFonts w:hint="eastAsia"/>
                      <w:kern w:val="0"/>
                      <w:szCs w:val="21"/>
                      <w:lang w:val="zh-CN"/>
                    </w:rPr>
                    <w:t>/</w:t>
                  </w:r>
                </w:p>
              </w:tc>
            </w:tr>
            <w:tr w14:paraId="520ABDF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36" w:type="dxa"/>
                  <w:vAlign w:val="center"/>
                </w:tcPr>
                <w:p w14:paraId="520ABDFA">
                  <w:pPr>
                    <w:adjustRightInd w:val="0"/>
                    <w:snapToGrid w:val="0"/>
                    <w:jc w:val="center"/>
                    <w:rPr>
                      <w:bCs/>
                      <w:szCs w:val="21"/>
                    </w:rPr>
                  </w:pPr>
                  <w:r>
                    <w:rPr>
                      <w:bCs/>
                      <w:szCs w:val="21"/>
                    </w:rPr>
                    <w:t>6</w:t>
                  </w:r>
                </w:p>
              </w:tc>
              <w:tc>
                <w:tcPr>
                  <w:tcW w:w="1078" w:type="dxa"/>
                  <w:vAlign w:val="center"/>
                </w:tcPr>
                <w:p w14:paraId="520ABDFB">
                  <w:pPr>
                    <w:adjustRightInd w:val="0"/>
                    <w:snapToGrid w:val="0"/>
                    <w:jc w:val="center"/>
                    <w:rPr>
                      <w:szCs w:val="21"/>
                    </w:rPr>
                  </w:pPr>
                  <w:r>
                    <w:rPr>
                      <w:szCs w:val="21"/>
                    </w:rPr>
                    <w:t>硫化氢</w:t>
                  </w:r>
                </w:p>
              </w:tc>
              <w:tc>
                <w:tcPr>
                  <w:tcW w:w="2087" w:type="dxa"/>
                  <w:vAlign w:val="center"/>
                </w:tcPr>
                <w:p w14:paraId="520ABDFC">
                  <w:pPr>
                    <w:contextualSpacing/>
                    <w:jc w:val="center"/>
                    <w:textAlignment w:val="baseline"/>
                    <w:rPr>
                      <w:bCs/>
                      <w:kern w:val="0"/>
                      <w:szCs w:val="21"/>
                      <w:lang w:val="zh-CN"/>
                    </w:rPr>
                  </w:pPr>
                  <w:r>
                    <w:rPr>
                      <w:rFonts w:eastAsia="等线"/>
                      <w:kern w:val="0"/>
                      <w:szCs w:val="21"/>
                      <w:lang w:val="zh-CN"/>
                    </w:rPr>
                    <w:t>0.000</w:t>
                  </w:r>
                  <w:r>
                    <w:rPr>
                      <w:rFonts w:hint="eastAsia" w:eastAsia="等线"/>
                      <w:kern w:val="0"/>
                      <w:szCs w:val="21"/>
                      <w:lang w:val="zh-CN"/>
                    </w:rPr>
                    <w:t>5</w:t>
                  </w:r>
                </w:p>
              </w:tc>
              <w:tc>
                <w:tcPr>
                  <w:tcW w:w="2572" w:type="dxa"/>
                  <w:vAlign w:val="center"/>
                </w:tcPr>
                <w:p w14:paraId="520ABDFD">
                  <w:pPr>
                    <w:contextualSpacing/>
                    <w:jc w:val="center"/>
                    <w:textAlignment w:val="baseline"/>
                    <w:rPr>
                      <w:bCs/>
                      <w:kern w:val="0"/>
                      <w:szCs w:val="21"/>
                      <w:lang w:val="zh-CN"/>
                    </w:rPr>
                  </w:pPr>
                  <w:r>
                    <w:rPr>
                      <w:rFonts w:eastAsia="等线"/>
                      <w:kern w:val="0"/>
                      <w:szCs w:val="21"/>
                      <w:lang w:val="zh-CN"/>
                    </w:rPr>
                    <w:t>0.000</w:t>
                  </w:r>
                  <w:r>
                    <w:rPr>
                      <w:rFonts w:hint="eastAsia" w:eastAsia="等线"/>
                      <w:kern w:val="0"/>
                      <w:szCs w:val="21"/>
                      <w:lang w:val="zh-CN"/>
                    </w:rPr>
                    <w:t>54</w:t>
                  </w:r>
                </w:p>
              </w:tc>
              <w:tc>
                <w:tcPr>
                  <w:tcW w:w="2066" w:type="dxa"/>
                  <w:vAlign w:val="center"/>
                </w:tcPr>
                <w:p w14:paraId="520ABDFE">
                  <w:pPr>
                    <w:contextualSpacing/>
                    <w:jc w:val="center"/>
                    <w:textAlignment w:val="baseline"/>
                    <w:rPr>
                      <w:kern w:val="0"/>
                      <w:szCs w:val="21"/>
                      <w:lang w:val="zh-CN"/>
                    </w:rPr>
                  </w:pPr>
                  <w:r>
                    <w:rPr>
                      <w:rFonts w:hint="eastAsia"/>
                      <w:kern w:val="0"/>
                      <w:szCs w:val="21"/>
                      <w:lang w:val="zh-CN"/>
                    </w:rPr>
                    <w:t>/</w:t>
                  </w:r>
                </w:p>
              </w:tc>
            </w:tr>
            <w:tr w14:paraId="520ABE0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36" w:type="dxa"/>
                  <w:vAlign w:val="center"/>
                </w:tcPr>
                <w:p w14:paraId="520ABE00">
                  <w:pPr>
                    <w:adjustRightInd w:val="0"/>
                    <w:snapToGrid w:val="0"/>
                    <w:jc w:val="center"/>
                    <w:rPr>
                      <w:bCs/>
                      <w:szCs w:val="21"/>
                    </w:rPr>
                  </w:pPr>
                  <w:r>
                    <w:rPr>
                      <w:bCs/>
                      <w:szCs w:val="21"/>
                    </w:rPr>
                    <w:t>7</w:t>
                  </w:r>
                </w:p>
              </w:tc>
              <w:tc>
                <w:tcPr>
                  <w:tcW w:w="1078" w:type="dxa"/>
                  <w:vAlign w:val="center"/>
                </w:tcPr>
                <w:p w14:paraId="520ABE01">
                  <w:pPr>
                    <w:adjustRightInd w:val="0"/>
                    <w:snapToGrid w:val="0"/>
                    <w:jc w:val="center"/>
                    <w:rPr>
                      <w:szCs w:val="21"/>
                    </w:rPr>
                  </w:pPr>
                  <w:r>
                    <w:rPr>
                      <w:szCs w:val="21"/>
                    </w:rPr>
                    <w:t>颗粒物</w:t>
                  </w:r>
                </w:p>
              </w:tc>
              <w:tc>
                <w:tcPr>
                  <w:tcW w:w="2087" w:type="dxa"/>
                  <w:vAlign w:val="center"/>
                </w:tcPr>
                <w:p w14:paraId="520ABE02">
                  <w:pPr>
                    <w:contextualSpacing/>
                    <w:jc w:val="center"/>
                    <w:textAlignment w:val="baseline"/>
                    <w:rPr>
                      <w:bCs/>
                      <w:kern w:val="0"/>
                      <w:szCs w:val="21"/>
                      <w:highlight w:val="yellow"/>
                      <w:lang w:val="zh-CN"/>
                    </w:rPr>
                  </w:pPr>
                  <w:r>
                    <w:rPr>
                      <w:rFonts w:hint="eastAsia"/>
                      <w:kern w:val="0"/>
                      <w:szCs w:val="21"/>
                      <w:lang w:val="zh-CN"/>
                    </w:rPr>
                    <w:t>1.9554</w:t>
                  </w:r>
                </w:p>
              </w:tc>
              <w:tc>
                <w:tcPr>
                  <w:tcW w:w="2572" w:type="dxa"/>
                  <w:vAlign w:val="center"/>
                </w:tcPr>
                <w:p w14:paraId="520ABE03">
                  <w:pPr>
                    <w:contextualSpacing/>
                    <w:jc w:val="center"/>
                    <w:textAlignment w:val="baseline"/>
                    <w:rPr>
                      <w:bCs/>
                      <w:kern w:val="0"/>
                      <w:szCs w:val="21"/>
                      <w:lang w:val="zh-CN"/>
                    </w:rPr>
                  </w:pPr>
                  <w:r>
                    <w:rPr>
                      <w:kern w:val="0"/>
                      <w:szCs w:val="21"/>
                      <w:lang w:val="zh-CN"/>
                    </w:rPr>
                    <w:t>2.6009</w:t>
                  </w:r>
                </w:p>
              </w:tc>
              <w:tc>
                <w:tcPr>
                  <w:tcW w:w="2066" w:type="dxa"/>
                  <w:vAlign w:val="center"/>
                </w:tcPr>
                <w:p w14:paraId="520ABE04">
                  <w:pPr>
                    <w:contextualSpacing/>
                    <w:jc w:val="center"/>
                    <w:textAlignment w:val="baseline"/>
                    <w:rPr>
                      <w:kern w:val="0"/>
                      <w:szCs w:val="21"/>
                      <w:lang w:val="zh-CN"/>
                    </w:rPr>
                  </w:pPr>
                  <w:r>
                    <w:rPr>
                      <w:rFonts w:hint="eastAsia"/>
                      <w:kern w:val="0"/>
                      <w:szCs w:val="21"/>
                      <w:lang w:val="zh-CN"/>
                    </w:rPr>
                    <w:t>0.0595</w:t>
                  </w:r>
                </w:p>
              </w:tc>
            </w:tr>
            <w:tr w14:paraId="520ABE0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36" w:type="dxa"/>
                  <w:vAlign w:val="center"/>
                </w:tcPr>
                <w:p w14:paraId="520ABE06">
                  <w:pPr>
                    <w:adjustRightInd w:val="0"/>
                    <w:snapToGrid w:val="0"/>
                    <w:jc w:val="center"/>
                    <w:rPr>
                      <w:bCs/>
                      <w:szCs w:val="21"/>
                    </w:rPr>
                  </w:pPr>
                  <w:r>
                    <w:rPr>
                      <w:bCs/>
                      <w:szCs w:val="21"/>
                    </w:rPr>
                    <w:t>8</w:t>
                  </w:r>
                </w:p>
              </w:tc>
              <w:tc>
                <w:tcPr>
                  <w:tcW w:w="1078" w:type="dxa"/>
                  <w:vAlign w:val="center"/>
                </w:tcPr>
                <w:p w14:paraId="520ABE07">
                  <w:pPr>
                    <w:adjustRightInd w:val="0"/>
                    <w:snapToGrid w:val="0"/>
                    <w:jc w:val="center"/>
                    <w:rPr>
                      <w:szCs w:val="21"/>
                    </w:rPr>
                  </w:pPr>
                  <w:r>
                    <w:rPr>
                      <w:rFonts w:hint="eastAsia"/>
                      <w:szCs w:val="21"/>
                    </w:rPr>
                    <w:t>氨</w:t>
                  </w:r>
                </w:p>
              </w:tc>
              <w:tc>
                <w:tcPr>
                  <w:tcW w:w="2087" w:type="dxa"/>
                  <w:vAlign w:val="center"/>
                </w:tcPr>
                <w:p w14:paraId="520ABE08">
                  <w:pPr>
                    <w:contextualSpacing/>
                    <w:jc w:val="center"/>
                    <w:textAlignment w:val="baseline"/>
                    <w:rPr>
                      <w:kern w:val="0"/>
                      <w:szCs w:val="21"/>
                      <w:highlight w:val="yellow"/>
                      <w:lang w:val="zh-CN"/>
                    </w:rPr>
                  </w:pPr>
                  <w:r>
                    <w:rPr>
                      <w:rFonts w:hint="eastAsia"/>
                      <w:kern w:val="0"/>
                      <w:szCs w:val="21"/>
                      <w:lang w:val="zh-CN"/>
                    </w:rPr>
                    <w:t>/</w:t>
                  </w:r>
                </w:p>
              </w:tc>
              <w:tc>
                <w:tcPr>
                  <w:tcW w:w="2572" w:type="dxa"/>
                  <w:vAlign w:val="center"/>
                </w:tcPr>
                <w:p w14:paraId="520ABE09">
                  <w:pPr>
                    <w:snapToGrid w:val="0"/>
                    <w:jc w:val="center"/>
                    <w:rPr>
                      <w:kern w:val="0"/>
                      <w:szCs w:val="21"/>
                      <w:lang w:val="zh-CN"/>
                    </w:rPr>
                  </w:pPr>
                  <w:r>
                    <w:rPr>
                      <w:rFonts w:hint="eastAsia"/>
                      <w:kern w:val="0"/>
                      <w:szCs w:val="21"/>
                      <w:lang w:val="zh-CN"/>
                    </w:rPr>
                    <w:t>/</w:t>
                  </w:r>
                </w:p>
              </w:tc>
              <w:tc>
                <w:tcPr>
                  <w:tcW w:w="2066" w:type="dxa"/>
                  <w:vAlign w:val="center"/>
                </w:tcPr>
                <w:p w14:paraId="520ABE0A">
                  <w:pPr>
                    <w:contextualSpacing/>
                    <w:jc w:val="center"/>
                    <w:textAlignment w:val="baseline"/>
                    <w:rPr>
                      <w:kern w:val="0"/>
                      <w:szCs w:val="21"/>
                      <w:lang w:val="zh-CN"/>
                    </w:rPr>
                  </w:pPr>
                  <w:r>
                    <w:rPr>
                      <w:rFonts w:hint="eastAsia"/>
                      <w:kern w:val="0"/>
                      <w:szCs w:val="21"/>
                      <w:lang w:val="zh-CN"/>
                    </w:rPr>
                    <w:t>0.045</w:t>
                  </w:r>
                </w:p>
              </w:tc>
            </w:tr>
            <w:tr w14:paraId="520ABE1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36" w:type="dxa"/>
                  <w:vAlign w:val="center"/>
                </w:tcPr>
                <w:p w14:paraId="520ABE0C">
                  <w:pPr>
                    <w:adjustRightInd w:val="0"/>
                    <w:snapToGrid w:val="0"/>
                    <w:jc w:val="center"/>
                    <w:rPr>
                      <w:bCs/>
                      <w:szCs w:val="21"/>
                    </w:rPr>
                  </w:pPr>
                  <w:r>
                    <w:rPr>
                      <w:rFonts w:hint="eastAsia"/>
                      <w:bCs/>
                      <w:szCs w:val="21"/>
                    </w:rPr>
                    <w:t>9</w:t>
                  </w:r>
                </w:p>
              </w:tc>
              <w:tc>
                <w:tcPr>
                  <w:tcW w:w="1078" w:type="dxa"/>
                  <w:vAlign w:val="center"/>
                </w:tcPr>
                <w:p w14:paraId="520ABE0D">
                  <w:pPr>
                    <w:adjustRightInd w:val="0"/>
                    <w:snapToGrid w:val="0"/>
                    <w:jc w:val="center"/>
                    <w:rPr>
                      <w:szCs w:val="21"/>
                    </w:rPr>
                  </w:pPr>
                  <w:r>
                    <w:rPr>
                      <w:szCs w:val="21"/>
                    </w:rPr>
                    <w:t>VOC</w:t>
                  </w:r>
                  <w:r>
                    <w:rPr>
                      <w:rFonts w:hint="eastAsia"/>
                      <w:szCs w:val="21"/>
                    </w:rPr>
                    <w:t>s</w:t>
                  </w:r>
                  <w:r>
                    <w:rPr>
                      <w:rFonts w:hint="eastAsia"/>
                      <w:bCs/>
                      <w:kern w:val="0"/>
                      <w:szCs w:val="21"/>
                      <w:lang w:val="zh-CN"/>
                    </w:rPr>
                    <w:t>*</w:t>
                  </w:r>
                </w:p>
              </w:tc>
              <w:tc>
                <w:tcPr>
                  <w:tcW w:w="2087" w:type="dxa"/>
                  <w:vAlign w:val="center"/>
                </w:tcPr>
                <w:p w14:paraId="520ABE0E">
                  <w:pPr>
                    <w:contextualSpacing/>
                    <w:jc w:val="center"/>
                    <w:textAlignment w:val="baseline"/>
                    <w:rPr>
                      <w:bCs/>
                      <w:kern w:val="0"/>
                      <w:szCs w:val="21"/>
                      <w:highlight w:val="yellow"/>
                      <w:lang w:val="zh-CN"/>
                    </w:rPr>
                  </w:pPr>
                  <w:r>
                    <w:rPr>
                      <w:rFonts w:hint="eastAsia"/>
                      <w:bCs/>
                      <w:kern w:val="0"/>
                      <w:szCs w:val="21"/>
                      <w:lang w:val="zh-CN"/>
                    </w:rPr>
                    <w:t>3.3834</w:t>
                  </w:r>
                </w:p>
              </w:tc>
              <w:tc>
                <w:tcPr>
                  <w:tcW w:w="2572" w:type="dxa"/>
                  <w:vAlign w:val="center"/>
                </w:tcPr>
                <w:p w14:paraId="520ABE0F">
                  <w:pPr>
                    <w:snapToGrid w:val="0"/>
                    <w:jc w:val="center"/>
                    <w:rPr>
                      <w:bCs/>
                      <w:kern w:val="0"/>
                      <w:szCs w:val="21"/>
                      <w:lang w:val="zh-CN"/>
                    </w:rPr>
                  </w:pPr>
                  <w:r>
                    <w:rPr>
                      <w:rFonts w:hint="eastAsia"/>
                      <w:bCs/>
                      <w:kern w:val="0"/>
                      <w:szCs w:val="21"/>
                      <w:lang w:val="zh-CN"/>
                    </w:rPr>
                    <w:t>4</w:t>
                  </w:r>
                  <w:r>
                    <w:rPr>
                      <w:bCs/>
                      <w:kern w:val="0"/>
                      <w:szCs w:val="21"/>
                      <w:lang w:val="zh-CN"/>
                    </w:rPr>
                    <w:t>.</w:t>
                  </w:r>
                  <w:r>
                    <w:rPr>
                      <w:rFonts w:hint="eastAsia"/>
                      <w:bCs/>
                      <w:kern w:val="0"/>
                      <w:szCs w:val="21"/>
                      <w:lang w:val="zh-CN"/>
                    </w:rPr>
                    <w:t>9384</w:t>
                  </w:r>
                </w:p>
              </w:tc>
              <w:tc>
                <w:tcPr>
                  <w:tcW w:w="2066" w:type="dxa"/>
                  <w:vAlign w:val="center"/>
                </w:tcPr>
                <w:p w14:paraId="520ABE10">
                  <w:pPr>
                    <w:contextualSpacing/>
                    <w:jc w:val="center"/>
                    <w:textAlignment w:val="baseline"/>
                    <w:rPr>
                      <w:kern w:val="0"/>
                      <w:szCs w:val="21"/>
                      <w:lang w:val="zh-CN"/>
                    </w:rPr>
                  </w:pPr>
                  <w:r>
                    <w:rPr>
                      <w:rFonts w:hint="eastAsia"/>
                      <w:kern w:val="0"/>
                      <w:szCs w:val="21"/>
                      <w:lang w:val="zh-CN"/>
                    </w:rPr>
                    <w:t>0.6209</w:t>
                  </w:r>
                </w:p>
              </w:tc>
            </w:tr>
            <w:tr w14:paraId="7A8067D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36" w:type="dxa"/>
                  <w:vAlign w:val="center"/>
                </w:tcPr>
                <w:p w14:paraId="1752DAB5">
                  <w:pPr>
                    <w:adjustRightInd w:val="0"/>
                    <w:snapToGrid w:val="0"/>
                    <w:jc w:val="center"/>
                    <w:rPr>
                      <w:bCs/>
                      <w:szCs w:val="21"/>
                    </w:rPr>
                  </w:pPr>
                  <w:r>
                    <w:rPr>
                      <w:rFonts w:hint="eastAsia"/>
                      <w:bCs/>
                      <w:szCs w:val="21"/>
                    </w:rPr>
                    <w:t>10</w:t>
                  </w:r>
                </w:p>
              </w:tc>
              <w:tc>
                <w:tcPr>
                  <w:tcW w:w="1078" w:type="dxa"/>
                  <w:vAlign w:val="center"/>
                </w:tcPr>
                <w:p w14:paraId="609D053A">
                  <w:pPr>
                    <w:adjustRightInd w:val="0"/>
                    <w:snapToGrid w:val="0"/>
                    <w:jc w:val="center"/>
                    <w:rPr>
                      <w:szCs w:val="21"/>
                    </w:rPr>
                  </w:pPr>
                  <w:r>
                    <w:rPr>
                      <w:rFonts w:hint="eastAsia"/>
                      <w:szCs w:val="21"/>
                    </w:rPr>
                    <w:t>SO</w:t>
                  </w:r>
                  <w:r>
                    <w:rPr>
                      <w:rFonts w:hint="eastAsia"/>
                      <w:szCs w:val="21"/>
                      <w:vertAlign w:val="subscript"/>
                    </w:rPr>
                    <w:t>2</w:t>
                  </w:r>
                  <w:r>
                    <w:rPr>
                      <w:rFonts w:hint="eastAsia"/>
                      <w:bCs/>
                      <w:kern w:val="0"/>
                      <w:szCs w:val="21"/>
                      <w:lang w:val="zh-CN"/>
                    </w:rPr>
                    <w:t>*</w:t>
                  </w:r>
                </w:p>
              </w:tc>
              <w:tc>
                <w:tcPr>
                  <w:tcW w:w="2087" w:type="dxa"/>
                  <w:vAlign w:val="center"/>
                </w:tcPr>
                <w:p w14:paraId="02DE7A1C">
                  <w:pPr>
                    <w:contextualSpacing/>
                    <w:jc w:val="center"/>
                    <w:textAlignment w:val="baseline"/>
                    <w:rPr>
                      <w:bCs/>
                      <w:kern w:val="0"/>
                      <w:szCs w:val="21"/>
                      <w:lang w:val="zh-CN"/>
                    </w:rPr>
                  </w:pPr>
                  <w:r>
                    <w:rPr>
                      <w:rFonts w:hint="eastAsia"/>
                      <w:bCs/>
                      <w:kern w:val="0"/>
                      <w:szCs w:val="21"/>
                      <w:lang w:val="zh-CN"/>
                    </w:rPr>
                    <w:t>0.0351</w:t>
                  </w:r>
                </w:p>
              </w:tc>
              <w:tc>
                <w:tcPr>
                  <w:tcW w:w="2572" w:type="dxa"/>
                  <w:vAlign w:val="center"/>
                </w:tcPr>
                <w:p w14:paraId="2BFF3733">
                  <w:pPr>
                    <w:snapToGrid w:val="0"/>
                    <w:jc w:val="center"/>
                    <w:rPr>
                      <w:bCs/>
                      <w:kern w:val="0"/>
                      <w:szCs w:val="21"/>
                      <w:lang w:val="zh-CN"/>
                    </w:rPr>
                  </w:pPr>
                  <w:r>
                    <w:rPr>
                      <w:rFonts w:hint="eastAsia"/>
                      <w:bCs/>
                      <w:kern w:val="0"/>
                      <w:szCs w:val="21"/>
                      <w:lang w:val="zh-CN"/>
                    </w:rPr>
                    <w:t>0.0351</w:t>
                  </w:r>
                </w:p>
              </w:tc>
              <w:tc>
                <w:tcPr>
                  <w:tcW w:w="2066" w:type="dxa"/>
                  <w:vAlign w:val="center"/>
                </w:tcPr>
                <w:p w14:paraId="78F56DC0">
                  <w:pPr>
                    <w:contextualSpacing/>
                    <w:jc w:val="center"/>
                    <w:textAlignment w:val="baseline"/>
                    <w:rPr>
                      <w:kern w:val="0"/>
                      <w:szCs w:val="21"/>
                      <w:lang w:val="zh-CN"/>
                    </w:rPr>
                  </w:pPr>
                  <w:r>
                    <w:rPr>
                      <w:rFonts w:hint="eastAsia"/>
                      <w:kern w:val="0"/>
                      <w:szCs w:val="21"/>
                      <w:lang w:val="zh-CN"/>
                    </w:rPr>
                    <w:t>/</w:t>
                  </w:r>
                </w:p>
              </w:tc>
            </w:tr>
          </w:tbl>
          <w:p w14:paraId="4EBB7005">
            <w:pPr>
              <w:adjustRightInd w:val="0"/>
              <w:snapToGrid w:val="0"/>
              <w:rPr>
                <w:rFonts w:eastAsia="黑体"/>
                <w:szCs w:val="21"/>
              </w:rPr>
            </w:pPr>
            <w:r>
              <w:rPr>
                <w:rFonts w:hint="eastAsia" w:eastAsia="黑体"/>
                <w:szCs w:val="21"/>
              </w:rPr>
              <w:t>注：①硫化氢经燃烧后会产生SO</w:t>
            </w:r>
            <w:r>
              <w:rPr>
                <w:rFonts w:hint="eastAsia" w:eastAsia="黑体"/>
                <w:szCs w:val="21"/>
                <w:vertAlign w:val="subscript"/>
              </w:rPr>
              <w:t>2</w:t>
            </w:r>
            <w:r>
              <w:rPr>
                <w:rFonts w:hint="eastAsia" w:eastAsia="黑体"/>
                <w:szCs w:val="21"/>
              </w:rPr>
              <w:t>，故对硫化废气排放的SO</w:t>
            </w:r>
            <w:r>
              <w:rPr>
                <w:rFonts w:hint="eastAsia" w:eastAsia="黑体"/>
                <w:szCs w:val="21"/>
                <w:vertAlign w:val="subscript"/>
              </w:rPr>
              <w:t>2</w:t>
            </w:r>
            <w:r>
              <w:rPr>
                <w:rFonts w:hint="eastAsia" w:eastAsia="黑体"/>
                <w:szCs w:val="21"/>
              </w:rPr>
              <w:t>进行核算。根据河南析源环境检测有限公司2023年6月20日对硫化工段废气治理设施活性炭吸脱附-催化燃烧装置进出口的检测报告，满负荷情况下该治理设施对硫化氢的去除量为0.0187t/a，则SO</w:t>
            </w:r>
            <w:r>
              <w:rPr>
                <w:rFonts w:hint="eastAsia" w:eastAsia="黑体"/>
                <w:szCs w:val="21"/>
                <w:vertAlign w:val="subscript"/>
              </w:rPr>
              <w:t>2</w:t>
            </w:r>
            <w:r>
              <w:rPr>
                <w:rFonts w:hint="eastAsia" w:eastAsia="黑体"/>
                <w:szCs w:val="21"/>
              </w:rPr>
              <w:t>排放量为0.0351t/a。</w:t>
            </w:r>
          </w:p>
          <w:p w14:paraId="1C50006E">
            <w:pPr>
              <w:adjustRightInd w:val="0"/>
              <w:snapToGrid w:val="0"/>
              <w:rPr>
                <w:rFonts w:eastAsia="黑体"/>
                <w:szCs w:val="21"/>
              </w:rPr>
            </w:pPr>
            <w:r>
              <w:rPr>
                <w:rFonts w:hint="eastAsia" w:eastAsia="黑体"/>
                <w:szCs w:val="21"/>
              </w:rPr>
              <w:t>②因原环评中未给出铬酸雾、硫酸雾、氯化氢、氰化氢、SO</w:t>
            </w:r>
            <w:r>
              <w:rPr>
                <w:rFonts w:hint="eastAsia" w:eastAsia="黑体"/>
                <w:szCs w:val="21"/>
                <w:vertAlign w:val="subscript"/>
              </w:rPr>
              <w:t>2</w:t>
            </w:r>
            <w:r>
              <w:rPr>
                <w:rFonts w:hint="eastAsia" w:eastAsia="黑体"/>
                <w:szCs w:val="21"/>
              </w:rPr>
              <w:t>的许可排放量，故本次实际排放量作为许可排放量。</w:t>
            </w:r>
          </w:p>
          <w:p w14:paraId="637322AE">
            <w:pPr>
              <w:adjustRightInd w:val="0"/>
              <w:snapToGrid w:val="0"/>
              <w:rPr>
                <w:b/>
                <w:sz w:val="24"/>
              </w:rPr>
            </w:pPr>
            <w:r>
              <w:rPr>
                <w:rFonts w:hint="eastAsia" w:eastAsia="黑体"/>
                <w:szCs w:val="21"/>
              </w:rPr>
              <w:t>③原环评中未给出DA012、DA013、DA016、DA024的许可排放量，本次实际排放量作为许可排放量，则全厂许可排放量为3.8151+0.2533+0.68+0.046+0.144=4.9384t/a。</w:t>
            </w:r>
          </w:p>
          <w:p w14:paraId="520ABE15">
            <w:pPr>
              <w:adjustRightInd w:val="0"/>
              <w:snapToGrid w:val="0"/>
              <w:spacing w:line="460" w:lineRule="exact"/>
              <w:ind w:firstLine="482" w:firstLineChars="200"/>
              <w:rPr>
                <w:b/>
                <w:sz w:val="24"/>
              </w:rPr>
            </w:pPr>
            <w:r>
              <w:rPr>
                <w:rFonts w:hint="eastAsia"/>
                <w:b/>
                <w:sz w:val="24"/>
              </w:rPr>
              <w:t>（3）</w:t>
            </w:r>
            <w:r>
              <w:rPr>
                <w:b/>
                <w:sz w:val="24"/>
              </w:rPr>
              <w:t>噪声</w:t>
            </w:r>
          </w:p>
          <w:p w14:paraId="520ABE16">
            <w:pPr>
              <w:spacing w:line="460" w:lineRule="exact"/>
              <w:ind w:firstLine="480" w:firstLineChars="200"/>
              <w:rPr>
                <w:sz w:val="24"/>
              </w:rPr>
            </w:pPr>
            <w:r>
              <w:rPr>
                <w:rFonts w:hint="eastAsia"/>
                <w:sz w:val="24"/>
              </w:rPr>
              <w:t>解放路厂区现有工程主要高噪声设备为机械加工设备等，</w:t>
            </w:r>
            <w:r>
              <w:rPr>
                <w:rFonts w:hint="eastAsia"/>
                <w:bCs/>
                <w:sz w:val="24"/>
              </w:rPr>
              <w:t>采取设备减振、厂房隔声等措施后能够达标排放。</w:t>
            </w:r>
            <w:r>
              <w:rPr>
                <w:sz w:val="24"/>
              </w:rPr>
              <w:t>根据</w:t>
            </w:r>
            <w:r>
              <w:rPr>
                <w:rFonts w:hint="eastAsia"/>
                <w:sz w:val="24"/>
              </w:rPr>
              <w:t>河南鑫成环测检测技术有限公司2025年4月</w:t>
            </w:r>
            <w:r>
              <w:rPr>
                <w:sz w:val="24"/>
              </w:rPr>
              <w:t>2</w:t>
            </w:r>
            <w:r>
              <w:rPr>
                <w:rFonts w:hint="eastAsia"/>
                <w:sz w:val="24"/>
              </w:rPr>
              <w:t>9日对厂界四周噪声检测结果可知</w:t>
            </w:r>
            <w:r>
              <w:rPr>
                <w:rFonts w:hint="eastAsia"/>
                <w:bCs/>
                <w:sz w:val="24"/>
              </w:rPr>
              <w:t>，</w:t>
            </w:r>
            <w:r>
              <w:rPr>
                <w:rFonts w:hint="eastAsia"/>
                <w:sz w:val="24"/>
              </w:rPr>
              <w:t>检</w:t>
            </w:r>
            <w:r>
              <w:rPr>
                <w:sz w:val="24"/>
              </w:rPr>
              <w:t>测期间，</w:t>
            </w:r>
            <w:r>
              <w:rPr>
                <w:rFonts w:hint="eastAsia"/>
                <w:sz w:val="24"/>
              </w:rPr>
              <w:t>东、南、北各</w:t>
            </w:r>
            <w:r>
              <w:rPr>
                <w:sz w:val="24"/>
              </w:rPr>
              <w:t>厂界</w:t>
            </w:r>
            <w:r>
              <w:rPr>
                <w:rFonts w:hint="eastAsia"/>
                <w:sz w:val="24"/>
              </w:rPr>
              <w:t>（西厂界为共用墙，不具备检测条件）昼间噪声值在53</w:t>
            </w:r>
            <w:r>
              <w:rPr>
                <w:sz w:val="24"/>
              </w:rPr>
              <w:t>~</w:t>
            </w:r>
            <w:r>
              <w:rPr>
                <w:rFonts w:hint="eastAsia"/>
                <w:sz w:val="24"/>
              </w:rPr>
              <w:t>57</w:t>
            </w:r>
            <w:r>
              <w:rPr>
                <w:sz w:val="24"/>
              </w:rPr>
              <w:t>dB</w:t>
            </w:r>
            <w:r>
              <w:rPr>
                <w:rFonts w:hint="eastAsia"/>
                <w:sz w:val="24"/>
              </w:rPr>
              <w:t>(</w:t>
            </w:r>
            <w:r>
              <w:rPr>
                <w:sz w:val="24"/>
              </w:rPr>
              <w:t>A</w:t>
            </w:r>
            <w:r>
              <w:rPr>
                <w:rFonts w:hint="eastAsia"/>
                <w:sz w:val="24"/>
              </w:rPr>
              <w:t>)之间、夜间噪声值在44~</w:t>
            </w:r>
            <w:r>
              <w:rPr>
                <w:sz w:val="24"/>
              </w:rPr>
              <w:t>4</w:t>
            </w:r>
            <w:r>
              <w:rPr>
                <w:rFonts w:hint="eastAsia"/>
                <w:sz w:val="24"/>
              </w:rPr>
              <w:t>8</w:t>
            </w:r>
            <w:r>
              <w:rPr>
                <w:sz w:val="24"/>
              </w:rPr>
              <w:t>dB</w:t>
            </w:r>
            <w:r>
              <w:rPr>
                <w:rFonts w:hint="eastAsia"/>
                <w:sz w:val="24"/>
              </w:rPr>
              <w:t>(</w:t>
            </w:r>
            <w:r>
              <w:rPr>
                <w:sz w:val="24"/>
              </w:rPr>
              <w:t>A</w:t>
            </w:r>
            <w:r>
              <w:rPr>
                <w:rFonts w:hint="eastAsia"/>
                <w:sz w:val="24"/>
              </w:rPr>
              <w:t>)之间，可以满足《工业企业厂界环境噪声排放标准》（</w:t>
            </w:r>
            <w:r>
              <w:rPr>
                <w:sz w:val="24"/>
              </w:rPr>
              <w:t>GB12348-2008</w:t>
            </w:r>
            <w:r>
              <w:rPr>
                <w:rFonts w:hint="eastAsia"/>
                <w:sz w:val="24"/>
              </w:rPr>
              <w:t>）2类标准，即昼间</w:t>
            </w:r>
            <w:r>
              <w:rPr>
                <w:sz w:val="24"/>
              </w:rPr>
              <w:t>6</w:t>
            </w:r>
            <w:r>
              <w:rPr>
                <w:rFonts w:hint="eastAsia"/>
                <w:sz w:val="24"/>
              </w:rPr>
              <w:t>0</w:t>
            </w:r>
            <w:r>
              <w:rPr>
                <w:sz w:val="24"/>
              </w:rPr>
              <w:t>dB</w:t>
            </w:r>
            <w:r>
              <w:rPr>
                <w:rFonts w:hint="eastAsia"/>
                <w:sz w:val="24"/>
              </w:rPr>
              <w:t>(</w:t>
            </w:r>
            <w:r>
              <w:rPr>
                <w:sz w:val="24"/>
              </w:rPr>
              <w:t>A</w:t>
            </w:r>
            <w:r>
              <w:rPr>
                <w:rFonts w:hint="eastAsia"/>
                <w:sz w:val="24"/>
              </w:rPr>
              <w:t>)、夜间5</w:t>
            </w:r>
            <w:r>
              <w:rPr>
                <w:sz w:val="24"/>
              </w:rPr>
              <w:t>0dB(A</w:t>
            </w:r>
            <w:r>
              <w:rPr>
                <w:rFonts w:hint="eastAsia"/>
                <w:sz w:val="24"/>
              </w:rPr>
              <w:t>)。</w:t>
            </w:r>
          </w:p>
          <w:p w14:paraId="520ABE17">
            <w:pPr>
              <w:spacing w:line="460" w:lineRule="exact"/>
              <w:ind w:firstLine="482" w:firstLineChars="200"/>
              <w:rPr>
                <w:b/>
                <w:sz w:val="24"/>
              </w:rPr>
            </w:pPr>
            <w:r>
              <w:rPr>
                <w:rFonts w:hint="eastAsia"/>
                <w:b/>
                <w:sz w:val="24"/>
              </w:rPr>
              <w:t>（4）固废</w:t>
            </w:r>
          </w:p>
          <w:p w14:paraId="520ABE18">
            <w:pPr>
              <w:spacing w:line="460" w:lineRule="exact"/>
              <w:ind w:firstLine="480" w:firstLineChars="200"/>
              <w:rPr>
                <w:sz w:val="24"/>
              </w:rPr>
            </w:pPr>
            <w:r>
              <w:rPr>
                <w:rFonts w:hint="eastAsia"/>
                <w:sz w:val="24"/>
              </w:rPr>
              <w:t>解放路厂区已建工程产生的一般固废主要为废金属屑41t</w:t>
            </w:r>
            <w:r>
              <w:rPr>
                <w:sz w:val="24"/>
              </w:rPr>
              <w:t>/</w:t>
            </w:r>
            <w:r>
              <w:rPr>
                <w:rFonts w:hint="eastAsia"/>
                <w:sz w:val="24"/>
              </w:rPr>
              <w:t>a；危险废物主要为废矿物油72.46t</w:t>
            </w:r>
            <w:r>
              <w:rPr>
                <w:sz w:val="24"/>
              </w:rPr>
              <w:t>/</w:t>
            </w:r>
            <w:r>
              <w:rPr>
                <w:rFonts w:hint="eastAsia"/>
                <w:sz w:val="24"/>
              </w:rPr>
              <w:t>a，废乳化液52.46t</w:t>
            </w:r>
            <w:r>
              <w:rPr>
                <w:sz w:val="24"/>
              </w:rPr>
              <w:t>/</w:t>
            </w:r>
            <w:r>
              <w:rPr>
                <w:rFonts w:hint="eastAsia"/>
                <w:sz w:val="24"/>
              </w:rPr>
              <w:t>a，含硌废液26.91t</w:t>
            </w:r>
            <w:r>
              <w:rPr>
                <w:sz w:val="24"/>
              </w:rPr>
              <w:t>/</w:t>
            </w:r>
            <w:r>
              <w:rPr>
                <w:rFonts w:hint="eastAsia"/>
                <w:sz w:val="24"/>
              </w:rPr>
              <w:t>a，含镍废液43.28t</w:t>
            </w:r>
            <w:r>
              <w:rPr>
                <w:sz w:val="24"/>
              </w:rPr>
              <w:t>/</w:t>
            </w:r>
            <w:r>
              <w:rPr>
                <w:rFonts w:hint="eastAsia"/>
                <w:sz w:val="24"/>
              </w:rPr>
              <w:t>a，表面处理废液84.22t</w:t>
            </w:r>
            <w:r>
              <w:rPr>
                <w:sz w:val="24"/>
              </w:rPr>
              <w:t>/</w:t>
            </w:r>
            <w:r>
              <w:rPr>
                <w:rFonts w:hint="eastAsia"/>
                <w:sz w:val="24"/>
              </w:rPr>
              <w:t>a，涂料废物12.14t</w:t>
            </w:r>
            <w:r>
              <w:rPr>
                <w:sz w:val="24"/>
              </w:rPr>
              <w:t>/</w:t>
            </w:r>
            <w:r>
              <w:rPr>
                <w:rFonts w:hint="eastAsia"/>
                <w:sz w:val="24"/>
              </w:rPr>
              <w:t>a，含铬污泥28.58t</w:t>
            </w:r>
            <w:r>
              <w:rPr>
                <w:sz w:val="24"/>
              </w:rPr>
              <w:t>/</w:t>
            </w:r>
            <w:r>
              <w:rPr>
                <w:rFonts w:hint="eastAsia"/>
                <w:sz w:val="24"/>
              </w:rPr>
              <w:t>a，废弃包装物29.46t</w:t>
            </w:r>
            <w:r>
              <w:rPr>
                <w:sz w:val="24"/>
              </w:rPr>
              <w:t>/</w:t>
            </w:r>
            <w:r>
              <w:rPr>
                <w:rFonts w:hint="eastAsia"/>
                <w:sz w:val="24"/>
              </w:rPr>
              <w:t>a，废活性炭8.87t</w:t>
            </w:r>
            <w:r>
              <w:rPr>
                <w:sz w:val="24"/>
              </w:rPr>
              <w:t>/</w:t>
            </w:r>
            <w:r>
              <w:rPr>
                <w:rFonts w:hint="eastAsia"/>
                <w:sz w:val="24"/>
              </w:rPr>
              <w:t>a，废弃树脂1.23t</w:t>
            </w:r>
            <w:r>
              <w:rPr>
                <w:sz w:val="24"/>
              </w:rPr>
              <w:t>/</w:t>
            </w:r>
            <w:r>
              <w:rPr>
                <w:rFonts w:hint="eastAsia"/>
                <w:sz w:val="24"/>
              </w:rPr>
              <w:t>a，废化学品0.97t</w:t>
            </w:r>
            <w:r>
              <w:rPr>
                <w:sz w:val="24"/>
              </w:rPr>
              <w:t>/</w:t>
            </w:r>
            <w:r>
              <w:rPr>
                <w:rFonts w:hint="eastAsia"/>
                <w:sz w:val="24"/>
              </w:rPr>
              <w:t>a，废槽体4.12t</w:t>
            </w:r>
            <w:r>
              <w:rPr>
                <w:sz w:val="24"/>
              </w:rPr>
              <w:t>/</w:t>
            </w:r>
            <w:r>
              <w:rPr>
                <w:rFonts w:hint="eastAsia"/>
                <w:sz w:val="24"/>
              </w:rPr>
              <w:t>a，废石英砂10.96t</w:t>
            </w:r>
            <w:r>
              <w:rPr>
                <w:sz w:val="24"/>
              </w:rPr>
              <w:t>/</w:t>
            </w:r>
            <w:r>
              <w:rPr>
                <w:rFonts w:hint="eastAsia"/>
                <w:sz w:val="24"/>
              </w:rPr>
              <w:t>a，废过滤膜2.4t</w:t>
            </w:r>
            <w:r>
              <w:rPr>
                <w:sz w:val="24"/>
              </w:rPr>
              <w:t>/</w:t>
            </w:r>
            <w:r>
              <w:rPr>
                <w:rFonts w:hint="eastAsia"/>
                <w:sz w:val="24"/>
              </w:rPr>
              <w:t>a，废催化剂0.34t</w:t>
            </w:r>
            <w:r>
              <w:rPr>
                <w:sz w:val="24"/>
              </w:rPr>
              <w:t>/</w:t>
            </w:r>
            <w:r>
              <w:rPr>
                <w:rFonts w:hint="eastAsia"/>
                <w:sz w:val="24"/>
              </w:rPr>
              <w:t>a。含油废金属屑</w:t>
            </w:r>
            <w:r>
              <w:rPr>
                <w:rFonts w:hint="eastAsia"/>
                <w:bCs/>
                <w:sz w:val="24"/>
              </w:rPr>
              <w:t>放置在危废贮存库内将废乳化液过滤收集后作为危险废物交由有资质的单位进行安全处置，废金属屑静置至无乳化液滴漏后打包外售综合利用</w:t>
            </w:r>
            <w:r>
              <w:rPr>
                <w:rFonts w:hint="eastAsia"/>
                <w:sz w:val="24"/>
              </w:rPr>
              <w:t>，其他危险废物收集暂存于危废贮存库，</w:t>
            </w:r>
            <w:r>
              <w:rPr>
                <w:sz w:val="24"/>
              </w:rPr>
              <w:t>定期</w:t>
            </w:r>
            <w:r>
              <w:rPr>
                <w:rFonts w:hint="eastAsia"/>
                <w:sz w:val="24"/>
              </w:rPr>
              <w:t>交由有</w:t>
            </w:r>
            <w:r>
              <w:rPr>
                <w:sz w:val="24"/>
              </w:rPr>
              <w:t>危废处理资质单位安全处</w:t>
            </w:r>
            <w:r>
              <w:rPr>
                <w:rFonts w:hint="eastAsia"/>
                <w:sz w:val="24"/>
              </w:rPr>
              <w:t>置。</w:t>
            </w:r>
          </w:p>
          <w:p w14:paraId="520ABE19">
            <w:pPr>
              <w:spacing w:line="460" w:lineRule="exact"/>
              <w:ind w:firstLine="480" w:firstLineChars="200"/>
              <w:rPr>
                <w:sz w:val="24"/>
              </w:rPr>
            </w:pPr>
            <w:r>
              <w:rPr>
                <w:rFonts w:hint="eastAsia"/>
                <w:sz w:val="24"/>
              </w:rPr>
              <w:t>解放路厂区在建工程产生的一般固废主要为除尘器收集粉尘0.3505t/a，评价要求，除尘器收集粉尘在一般固废暂存间暂存后定期外售。危险废物主要为废矿物油10.675t/a，废活性炭0.7592t/a，废催化剂0.02t/5a，碳氢清洗剂蒸馏釜残2t/a。评价要求，危险废物收集暂存于危废贮存库，危废贮存库暂存后定期交由有危废处理资质单位安全处置。</w:t>
            </w:r>
          </w:p>
          <w:p w14:paraId="520ABE1A">
            <w:pPr>
              <w:spacing w:line="460" w:lineRule="exact"/>
              <w:ind w:firstLine="480" w:firstLineChars="200"/>
              <w:rPr>
                <w:bCs/>
                <w:kern w:val="0"/>
                <w:sz w:val="24"/>
              </w:rPr>
            </w:pPr>
            <w:r>
              <w:rPr>
                <w:rFonts w:hint="eastAsia"/>
                <w:sz w:val="24"/>
              </w:rPr>
              <w:t>现有工程设置了1座1</w:t>
            </w:r>
            <w:r>
              <w:rPr>
                <w:sz w:val="24"/>
              </w:rPr>
              <w:t>53</w:t>
            </w:r>
            <w:r>
              <w:rPr>
                <w:rFonts w:hint="eastAsia"/>
                <w:sz w:val="24"/>
              </w:rPr>
              <w:t>m</w:t>
            </w:r>
            <w:r>
              <w:rPr>
                <w:rFonts w:hint="eastAsia"/>
                <w:sz w:val="24"/>
                <w:vertAlign w:val="superscript"/>
              </w:rPr>
              <w:t>2</w:t>
            </w:r>
            <w:r>
              <w:rPr>
                <w:rFonts w:hint="eastAsia"/>
                <w:sz w:val="24"/>
              </w:rPr>
              <w:t>的</w:t>
            </w:r>
            <w:r>
              <w:rPr>
                <w:sz w:val="24"/>
              </w:rPr>
              <w:t>一般固废间</w:t>
            </w:r>
            <w:r>
              <w:rPr>
                <w:rFonts w:hint="eastAsia"/>
                <w:sz w:val="24"/>
              </w:rPr>
              <w:t>，已采取防渗漏、防雨淋、防扬尘设施，满足</w:t>
            </w:r>
            <w:r>
              <w:rPr>
                <w:sz w:val="24"/>
              </w:rPr>
              <w:t>《一般工业固体废物贮存和填埋污染控制标准》（GB18599-2020）的</w:t>
            </w:r>
            <w:r>
              <w:rPr>
                <w:rFonts w:hint="eastAsia"/>
                <w:sz w:val="24"/>
              </w:rPr>
              <w:t>防渗漏、防雨淋、防扬尘要求。</w:t>
            </w:r>
            <w:r>
              <w:rPr>
                <w:rFonts w:hint="eastAsia"/>
                <w:bCs/>
                <w:kern w:val="0"/>
                <w:sz w:val="24"/>
              </w:rPr>
              <w:t>现有工程已设置了</w:t>
            </w:r>
            <w:r>
              <w:rPr>
                <w:bCs/>
                <w:kern w:val="0"/>
                <w:sz w:val="24"/>
              </w:rPr>
              <w:t>9</w:t>
            </w:r>
            <w:r>
              <w:rPr>
                <w:rFonts w:hint="eastAsia"/>
                <w:bCs/>
                <w:kern w:val="0"/>
                <w:sz w:val="24"/>
              </w:rPr>
              <w:t>座共</w:t>
            </w:r>
            <w:r>
              <w:rPr>
                <w:bCs/>
                <w:kern w:val="0"/>
                <w:sz w:val="24"/>
              </w:rPr>
              <w:t>216</w:t>
            </w:r>
            <w:r>
              <w:rPr>
                <w:rFonts w:hint="eastAsia"/>
                <w:bCs/>
                <w:kern w:val="0"/>
                <w:sz w:val="24"/>
              </w:rPr>
              <w:t>m</w:t>
            </w:r>
            <w:r>
              <w:rPr>
                <w:rFonts w:hint="eastAsia"/>
                <w:bCs/>
                <w:kern w:val="0"/>
                <w:sz w:val="24"/>
                <w:vertAlign w:val="superscript"/>
              </w:rPr>
              <w:t>2</w:t>
            </w:r>
            <w:r>
              <w:rPr>
                <w:rFonts w:hint="eastAsia"/>
                <w:bCs/>
                <w:kern w:val="0"/>
                <w:sz w:val="24"/>
              </w:rPr>
              <w:t>的危废贮存库，满足</w:t>
            </w:r>
            <w:r>
              <w:rPr>
                <w:bCs/>
                <w:kern w:val="0"/>
                <w:sz w:val="24"/>
              </w:rPr>
              <w:t>防风、防晒、防雨淋</w:t>
            </w:r>
            <w:r>
              <w:rPr>
                <w:rFonts w:hint="eastAsia"/>
                <w:bCs/>
                <w:kern w:val="0"/>
                <w:sz w:val="24"/>
              </w:rPr>
              <w:t>的</w:t>
            </w:r>
            <w:r>
              <w:rPr>
                <w:bCs/>
                <w:kern w:val="0"/>
                <w:sz w:val="24"/>
              </w:rPr>
              <w:t>“三防”要求，地面采取了硬化和防腐防渗设施，满足</w:t>
            </w:r>
            <w:r>
              <w:rPr>
                <w:rFonts w:hint="eastAsia"/>
                <w:bCs/>
                <w:kern w:val="0"/>
                <w:sz w:val="24"/>
              </w:rPr>
              <w:t>《危险废物贮存污染控制标准》（GB18597-2023）</w:t>
            </w:r>
            <w:r>
              <w:rPr>
                <w:bCs/>
                <w:kern w:val="0"/>
                <w:sz w:val="24"/>
              </w:rPr>
              <w:t>的要求。</w:t>
            </w:r>
          </w:p>
          <w:p w14:paraId="520ABE1B">
            <w:pPr>
              <w:adjustRightInd w:val="0"/>
              <w:snapToGrid w:val="0"/>
              <w:spacing w:line="460" w:lineRule="exact"/>
              <w:ind w:firstLine="482" w:firstLineChars="200"/>
              <w:rPr>
                <w:b/>
                <w:kern w:val="0"/>
                <w:sz w:val="24"/>
              </w:rPr>
            </w:pPr>
            <w:r>
              <w:rPr>
                <w:rFonts w:hint="eastAsia"/>
                <w:b/>
                <w:kern w:val="0"/>
                <w:sz w:val="24"/>
              </w:rPr>
              <w:t>（5）环境风险</w:t>
            </w:r>
          </w:p>
          <w:p w14:paraId="520ABE1C">
            <w:pPr>
              <w:adjustRightInd w:val="0"/>
              <w:snapToGrid w:val="0"/>
              <w:spacing w:line="460" w:lineRule="exact"/>
              <w:ind w:firstLine="480" w:firstLineChars="200"/>
              <w:rPr>
                <w:kern w:val="0"/>
                <w:sz w:val="24"/>
              </w:rPr>
            </w:pPr>
            <w:r>
              <w:rPr>
                <w:rFonts w:hint="eastAsia"/>
                <w:kern w:val="0"/>
                <w:sz w:val="24"/>
              </w:rPr>
              <w:t>根据《新乡航空工业（集团）有限公司（解放路厂区）突发环境事件专项应急预案》，解放路厂区现有工程可能发生的突发环境事件主要为：①汽油储存间汽油泄漏遇火引起火灾事故；②电镀车间电镀槽破裂导致槽液泄漏事故；③油漆/稀释剂库泄漏引起火灾事件；④危废间危险固体废物泄漏突发环境；⑤污水处理设施非正常运行突发环境事件；⑥废气治理设施非正常运行突发环境事件。</w:t>
            </w:r>
          </w:p>
          <w:p w14:paraId="520ABE1D">
            <w:pPr>
              <w:adjustRightInd w:val="0"/>
              <w:snapToGrid w:val="0"/>
              <w:spacing w:line="460" w:lineRule="exact"/>
              <w:ind w:firstLine="480" w:firstLineChars="200"/>
              <w:rPr>
                <w:kern w:val="0"/>
                <w:sz w:val="24"/>
              </w:rPr>
            </w:pPr>
            <w:r>
              <w:rPr>
                <w:rFonts w:hint="eastAsia"/>
                <w:kern w:val="0"/>
                <w:sz w:val="24"/>
              </w:rPr>
              <w:t>现有工程涉及的风险物质主要为：硫酸、盐酸、磷酸、硝酸、铬酐、氰化钠、氯化镍、硫酸镍、汽油等。</w:t>
            </w:r>
          </w:p>
          <w:p w14:paraId="520ABE1E">
            <w:pPr>
              <w:adjustRightInd w:val="0"/>
              <w:snapToGrid w:val="0"/>
              <w:spacing w:line="460" w:lineRule="exact"/>
              <w:ind w:firstLine="480" w:firstLineChars="200"/>
              <w:rPr>
                <w:kern w:val="0"/>
                <w:sz w:val="24"/>
              </w:rPr>
            </w:pPr>
            <w:r>
              <w:rPr>
                <w:rFonts w:hint="eastAsia"/>
                <w:kern w:val="0"/>
                <w:sz w:val="24"/>
              </w:rPr>
              <w:t>企业针对每种物质均进行了应急处理规定，设置有应急处置卡，分工明确、处置措施合理可行，可及时行动，将事故风险降至最低。并且在汽油储存间、电镀车间、电镀车间污水处理设施、危废贮存库、环氧漆和稀料贮存区、全厂污水处理站等风险物质分布场地均设置有</w:t>
            </w:r>
            <w:r>
              <w:rPr>
                <w:kern w:val="0"/>
                <w:sz w:val="24"/>
              </w:rPr>
              <w:t>环境风险防控</w:t>
            </w:r>
            <w:r>
              <w:rPr>
                <w:rFonts w:hint="eastAsia"/>
                <w:kern w:val="0"/>
                <w:sz w:val="24"/>
              </w:rPr>
              <w:t>及</w:t>
            </w:r>
            <w:r>
              <w:rPr>
                <w:kern w:val="0"/>
                <w:sz w:val="24"/>
              </w:rPr>
              <w:t>应急措施</w:t>
            </w:r>
            <w:r>
              <w:rPr>
                <w:rFonts w:hint="eastAsia"/>
                <w:kern w:val="0"/>
                <w:sz w:val="24"/>
              </w:rPr>
              <w:t>。</w:t>
            </w:r>
          </w:p>
          <w:p w14:paraId="520ABE1F">
            <w:pPr>
              <w:adjustRightInd w:val="0"/>
              <w:snapToGrid w:val="0"/>
              <w:spacing w:line="460" w:lineRule="exact"/>
              <w:ind w:firstLine="480" w:firstLineChars="200"/>
              <w:rPr>
                <w:kern w:val="0"/>
                <w:sz w:val="24"/>
              </w:rPr>
            </w:pPr>
            <w:r>
              <w:rPr>
                <w:kern w:val="0"/>
                <w:sz w:val="24"/>
              </w:rPr>
              <w:t>（1）</w:t>
            </w:r>
            <w:r>
              <w:rPr>
                <w:rFonts w:hint="eastAsia"/>
                <w:kern w:val="0"/>
                <w:sz w:val="24"/>
              </w:rPr>
              <w:t>汽油储存间：配备了灭火器、灭火毯、容器盖</w:t>
            </w:r>
            <w:r>
              <w:rPr>
                <w:kern w:val="0"/>
                <w:sz w:val="24"/>
              </w:rPr>
              <w:t>消防沙池等</w:t>
            </w:r>
            <w:r>
              <w:rPr>
                <w:rFonts w:hint="eastAsia"/>
                <w:kern w:val="0"/>
                <w:sz w:val="24"/>
              </w:rPr>
              <w:t>；汽油储存间内设置有2套七氟丙烷气体灭火系统、2套可燃气体报警系统、若干</w:t>
            </w:r>
            <w:r>
              <w:rPr>
                <w:kern w:val="0"/>
                <w:sz w:val="24"/>
              </w:rPr>
              <w:t>6kg悬挂式超细干粉灭火器；防毒面具等消防设备储备完善；各关键位置设置若干警示牌。</w:t>
            </w:r>
          </w:p>
          <w:p w14:paraId="520ABE20">
            <w:pPr>
              <w:adjustRightInd w:val="0"/>
              <w:snapToGrid w:val="0"/>
              <w:spacing w:line="460" w:lineRule="exact"/>
              <w:ind w:firstLine="480" w:firstLineChars="200"/>
              <w:rPr>
                <w:kern w:val="0"/>
                <w:sz w:val="24"/>
              </w:rPr>
            </w:pPr>
            <w:r>
              <w:rPr>
                <w:rFonts w:hint="eastAsia"/>
                <w:kern w:val="0"/>
                <w:sz w:val="24"/>
              </w:rPr>
              <w:t>（2）电镀车间：电镀车间电镀槽或酸洗槽外设置有导流槽，电镀车间外分别设置有含铬废水、含氰废水、含镍废水和酸碱废水调节池4个（容积分别为：60m</w:t>
            </w:r>
            <w:r>
              <w:rPr>
                <w:rFonts w:hint="eastAsia"/>
                <w:kern w:val="0"/>
                <w:sz w:val="24"/>
                <w:vertAlign w:val="superscript"/>
              </w:rPr>
              <w:t>3</w:t>
            </w:r>
            <w:r>
              <w:rPr>
                <w:rFonts w:hint="eastAsia"/>
                <w:kern w:val="0"/>
                <w:sz w:val="24"/>
              </w:rPr>
              <w:t>、24m</w:t>
            </w:r>
            <w:r>
              <w:rPr>
                <w:rFonts w:hint="eastAsia"/>
                <w:kern w:val="0"/>
                <w:sz w:val="24"/>
                <w:vertAlign w:val="superscript"/>
              </w:rPr>
              <w:t>3</w:t>
            </w:r>
            <w:r>
              <w:rPr>
                <w:rFonts w:hint="eastAsia"/>
                <w:kern w:val="0"/>
                <w:sz w:val="24"/>
              </w:rPr>
              <w:t>、32m</w:t>
            </w:r>
            <w:r>
              <w:rPr>
                <w:rFonts w:hint="eastAsia"/>
                <w:kern w:val="0"/>
                <w:sz w:val="24"/>
                <w:vertAlign w:val="superscript"/>
              </w:rPr>
              <w:t>3</w:t>
            </w:r>
            <w:r>
              <w:rPr>
                <w:rFonts w:hint="eastAsia"/>
                <w:kern w:val="0"/>
                <w:sz w:val="24"/>
              </w:rPr>
              <w:t>和60m</w:t>
            </w:r>
            <w:r>
              <w:rPr>
                <w:rFonts w:hint="eastAsia"/>
                <w:kern w:val="0"/>
                <w:sz w:val="24"/>
                <w:vertAlign w:val="superscript"/>
              </w:rPr>
              <w:t>3</w:t>
            </w:r>
            <w:r>
              <w:rPr>
                <w:rFonts w:hint="eastAsia"/>
                <w:kern w:val="0"/>
                <w:sz w:val="24"/>
              </w:rPr>
              <w:t>）。电镀车间电镀槽、酸洗槽外设导流槽已做好防渗、防腐处理。车间外设事故池，容积为：135m</w:t>
            </w:r>
            <w:r>
              <w:rPr>
                <w:rFonts w:hint="eastAsia"/>
                <w:kern w:val="0"/>
                <w:sz w:val="24"/>
                <w:vertAlign w:val="superscript"/>
              </w:rPr>
              <w:t>3</w:t>
            </w:r>
            <w:r>
              <w:rPr>
                <w:rFonts w:hint="eastAsia"/>
                <w:kern w:val="0"/>
                <w:sz w:val="24"/>
              </w:rPr>
              <w:t>，在调节池不能容纳时，可将事故废水泵入车间外事故池，分批送电镀车间废水处理站进行处理。</w:t>
            </w:r>
          </w:p>
          <w:p w14:paraId="520ABE21">
            <w:pPr>
              <w:adjustRightInd w:val="0"/>
              <w:snapToGrid w:val="0"/>
              <w:spacing w:line="460" w:lineRule="exact"/>
              <w:ind w:firstLine="480" w:firstLineChars="200"/>
              <w:rPr>
                <w:kern w:val="0"/>
                <w:sz w:val="24"/>
              </w:rPr>
            </w:pPr>
            <w:r>
              <w:rPr>
                <w:rFonts w:hint="eastAsia"/>
                <w:kern w:val="0"/>
                <w:sz w:val="24"/>
              </w:rPr>
              <w:t>（3）电镀车间污水处理设施：设置车间污水处理站事故应急池，污水处理站事故池为60m</w:t>
            </w:r>
            <w:r>
              <w:rPr>
                <w:rFonts w:hint="eastAsia"/>
                <w:kern w:val="0"/>
                <w:sz w:val="24"/>
                <w:vertAlign w:val="superscript"/>
              </w:rPr>
              <w:t>3</w:t>
            </w:r>
            <w:r>
              <w:rPr>
                <w:rFonts w:hint="eastAsia"/>
                <w:kern w:val="0"/>
                <w:sz w:val="24"/>
              </w:rPr>
              <w:t>。</w:t>
            </w:r>
          </w:p>
          <w:p w14:paraId="520ABE22">
            <w:pPr>
              <w:adjustRightInd w:val="0"/>
              <w:snapToGrid w:val="0"/>
              <w:spacing w:line="460" w:lineRule="exact"/>
              <w:ind w:firstLine="480" w:firstLineChars="200"/>
              <w:rPr>
                <w:kern w:val="0"/>
                <w:sz w:val="24"/>
              </w:rPr>
            </w:pPr>
            <w:r>
              <w:rPr>
                <w:rFonts w:hint="eastAsia"/>
                <w:kern w:val="0"/>
                <w:sz w:val="24"/>
              </w:rPr>
              <w:t>（4）危废间：</w:t>
            </w:r>
            <w:r>
              <w:rPr>
                <w:kern w:val="0"/>
                <w:sz w:val="24"/>
              </w:rPr>
              <w:t>配备了灭火器、</w:t>
            </w:r>
            <w:r>
              <w:rPr>
                <w:rFonts w:hint="eastAsia"/>
                <w:kern w:val="0"/>
                <w:sz w:val="24"/>
              </w:rPr>
              <w:t>消防沙池等，地面采取了硬化和防腐防渗设施，满足《危险废物贮存污染控制标准》（GB18597-2023）防风、防晒、防雨淋的“三防”要求。</w:t>
            </w:r>
            <w:r>
              <w:rPr>
                <w:kern w:val="0"/>
                <w:sz w:val="24"/>
              </w:rPr>
              <w:t>防毒面具等消防设备储备完善；各关键位置设置若干警示牌。</w:t>
            </w:r>
          </w:p>
          <w:p w14:paraId="520ABE23">
            <w:pPr>
              <w:adjustRightInd w:val="0"/>
              <w:snapToGrid w:val="0"/>
              <w:spacing w:line="460" w:lineRule="exact"/>
              <w:ind w:firstLine="480" w:firstLineChars="200"/>
              <w:rPr>
                <w:kern w:val="0"/>
                <w:sz w:val="24"/>
              </w:rPr>
            </w:pPr>
            <w:r>
              <w:rPr>
                <w:rFonts w:hint="eastAsia"/>
                <w:kern w:val="0"/>
                <w:sz w:val="24"/>
              </w:rPr>
              <w:t>（5）全厂污水处理设施：设置污水处理站事故应急池，污水处理站事故池为40m</w:t>
            </w:r>
            <w:r>
              <w:rPr>
                <w:rFonts w:hint="eastAsia"/>
                <w:kern w:val="0"/>
                <w:sz w:val="24"/>
                <w:vertAlign w:val="superscript"/>
              </w:rPr>
              <w:t>3</w:t>
            </w:r>
            <w:r>
              <w:rPr>
                <w:rFonts w:hint="eastAsia"/>
                <w:kern w:val="0"/>
                <w:sz w:val="24"/>
              </w:rPr>
              <w:t>。</w:t>
            </w:r>
          </w:p>
          <w:p w14:paraId="520ABE24">
            <w:pPr>
              <w:adjustRightInd w:val="0"/>
              <w:snapToGrid w:val="0"/>
              <w:spacing w:line="460" w:lineRule="exact"/>
              <w:ind w:firstLine="480" w:firstLineChars="200"/>
              <w:rPr>
                <w:b/>
                <w:bCs/>
                <w:sz w:val="24"/>
              </w:rPr>
            </w:pPr>
            <w:r>
              <w:rPr>
                <w:rFonts w:hint="eastAsia"/>
                <w:kern w:val="0"/>
                <w:sz w:val="24"/>
              </w:rPr>
              <w:t>（6）环氧漆和稀料贮存区：贮存区设</w:t>
            </w:r>
            <w:r>
              <w:rPr>
                <w:kern w:val="0"/>
                <w:sz w:val="24"/>
              </w:rPr>
              <w:t>置了</w:t>
            </w:r>
            <w:r>
              <w:rPr>
                <w:rFonts w:hint="eastAsia"/>
                <w:kern w:val="0"/>
                <w:sz w:val="24"/>
              </w:rPr>
              <w:t>4个干粉灭火器，环氧漆及稀料库房贮存区设置防静电托盘。</w:t>
            </w:r>
            <w:r>
              <w:rPr>
                <w:kern w:val="0"/>
                <w:sz w:val="24"/>
              </w:rPr>
              <w:t>各关键位置设置若干警示牌。</w:t>
            </w:r>
          </w:p>
          <w:p w14:paraId="520ABE25">
            <w:pPr>
              <w:spacing w:line="460" w:lineRule="exact"/>
              <w:ind w:firstLine="482" w:firstLineChars="200"/>
              <w:rPr>
                <w:b/>
                <w:bCs/>
                <w:sz w:val="24"/>
              </w:rPr>
            </w:pPr>
            <w:r>
              <w:rPr>
                <w:rFonts w:hint="eastAsia"/>
                <w:b/>
                <w:bCs/>
                <w:sz w:val="24"/>
              </w:rPr>
              <w:t>（6）现有工程污染物排放量</w:t>
            </w:r>
          </w:p>
          <w:p w14:paraId="520ABE26">
            <w:pPr>
              <w:snapToGrid w:val="0"/>
              <w:spacing w:line="460" w:lineRule="exact"/>
              <w:ind w:firstLine="480" w:firstLineChars="200"/>
              <w:rPr>
                <w:kern w:val="0"/>
                <w:sz w:val="24"/>
              </w:rPr>
            </w:pPr>
            <w:r>
              <w:rPr>
                <w:rFonts w:hint="eastAsia"/>
                <w:kern w:val="0"/>
                <w:sz w:val="24"/>
              </w:rPr>
              <w:t>解放路厂区现有项目污染物实际排放总量及已批复允许排放总量情况见下表：</w:t>
            </w:r>
          </w:p>
          <w:p w14:paraId="520ABE27">
            <w:pPr>
              <w:snapToGrid w:val="0"/>
              <w:spacing w:line="460" w:lineRule="exact"/>
              <w:ind w:firstLine="480" w:firstLineChars="200"/>
              <w:rPr>
                <w:rFonts w:eastAsia="黑体"/>
                <w:sz w:val="24"/>
              </w:rPr>
            </w:pPr>
            <w:r>
              <w:rPr>
                <w:rFonts w:hint="eastAsia" w:eastAsia="黑体"/>
                <w:sz w:val="24"/>
              </w:rPr>
              <w:t>表35           解放路厂区现有工程污染物排放量          单位：t/a</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645"/>
              <w:gridCol w:w="962"/>
              <w:gridCol w:w="1946"/>
              <w:gridCol w:w="2393"/>
              <w:gridCol w:w="2393"/>
            </w:tblGrid>
            <w:tr w14:paraId="520ABE2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64" w:type="pct"/>
                  <w:gridSpan w:val="2"/>
                  <w:vMerge w:val="restart"/>
                  <w:vAlign w:val="center"/>
                </w:tcPr>
                <w:p w14:paraId="520ABE28">
                  <w:pPr>
                    <w:jc w:val="center"/>
                    <w:rPr>
                      <w:b/>
                      <w:szCs w:val="20"/>
                    </w:rPr>
                  </w:pPr>
                  <w:r>
                    <w:rPr>
                      <w:b/>
                      <w:szCs w:val="20"/>
                    </w:rPr>
                    <w:t>污染物</w:t>
                  </w:r>
                </w:p>
              </w:tc>
              <w:tc>
                <w:tcPr>
                  <w:tcW w:w="2602" w:type="pct"/>
                  <w:gridSpan w:val="2"/>
                  <w:vAlign w:val="center"/>
                </w:tcPr>
                <w:p w14:paraId="520ABE29">
                  <w:pPr>
                    <w:jc w:val="center"/>
                    <w:rPr>
                      <w:b/>
                      <w:szCs w:val="20"/>
                    </w:rPr>
                  </w:pPr>
                  <w:r>
                    <w:rPr>
                      <w:rFonts w:hint="eastAsia"/>
                      <w:b/>
                      <w:szCs w:val="21"/>
                    </w:rPr>
                    <w:t>已建工程</w:t>
                  </w:r>
                </w:p>
              </w:tc>
              <w:tc>
                <w:tcPr>
                  <w:tcW w:w="1434" w:type="pct"/>
                  <w:vAlign w:val="center"/>
                </w:tcPr>
                <w:p w14:paraId="520ABE2A">
                  <w:pPr>
                    <w:jc w:val="center"/>
                    <w:rPr>
                      <w:b/>
                      <w:szCs w:val="21"/>
                      <w:highlight w:val="yellow"/>
                    </w:rPr>
                  </w:pPr>
                  <w:r>
                    <w:rPr>
                      <w:rFonts w:hint="eastAsia"/>
                      <w:b/>
                      <w:szCs w:val="20"/>
                    </w:rPr>
                    <w:t>在建工程</w:t>
                  </w:r>
                </w:p>
              </w:tc>
            </w:tr>
            <w:tr w14:paraId="520ABE30">
              <w:tblPrEx>
                <w:tblCellMar>
                  <w:top w:w="0" w:type="dxa"/>
                  <w:left w:w="0" w:type="dxa"/>
                  <w:bottom w:w="0" w:type="dxa"/>
                  <w:right w:w="0" w:type="dxa"/>
                </w:tblCellMar>
              </w:tblPrEx>
              <w:trPr>
                <w:trHeight w:val="397" w:hRule="atLeast"/>
                <w:jc w:val="center"/>
              </w:trPr>
              <w:tc>
                <w:tcPr>
                  <w:tcW w:w="964" w:type="pct"/>
                  <w:gridSpan w:val="2"/>
                  <w:vMerge w:val="continue"/>
                  <w:vAlign w:val="center"/>
                </w:tcPr>
                <w:p w14:paraId="520ABE2C">
                  <w:pPr>
                    <w:jc w:val="center"/>
                    <w:rPr>
                      <w:b/>
                      <w:szCs w:val="20"/>
                      <w:highlight w:val="yellow"/>
                    </w:rPr>
                  </w:pPr>
                </w:p>
              </w:tc>
              <w:tc>
                <w:tcPr>
                  <w:tcW w:w="1167" w:type="pct"/>
                  <w:vAlign w:val="center"/>
                </w:tcPr>
                <w:p w14:paraId="520ABE2D">
                  <w:pPr>
                    <w:jc w:val="center"/>
                    <w:rPr>
                      <w:b/>
                      <w:szCs w:val="21"/>
                    </w:rPr>
                  </w:pPr>
                  <w:r>
                    <w:rPr>
                      <w:b/>
                      <w:szCs w:val="21"/>
                    </w:rPr>
                    <w:t>实际排放量</w:t>
                  </w:r>
                </w:p>
              </w:tc>
              <w:tc>
                <w:tcPr>
                  <w:tcW w:w="1435" w:type="pct"/>
                  <w:vAlign w:val="center"/>
                </w:tcPr>
                <w:p w14:paraId="520ABE2E">
                  <w:pPr>
                    <w:jc w:val="center"/>
                    <w:rPr>
                      <w:b/>
                      <w:szCs w:val="21"/>
                    </w:rPr>
                  </w:pPr>
                  <w:r>
                    <w:rPr>
                      <w:rFonts w:hint="eastAsia"/>
                      <w:b/>
                      <w:szCs w:val="21"/>
                    </w:rPr>
                    <w:t>允许排放量</w:t>
                  </w:r>
                </w:p>
              </w:tc>
              <w:tc>
                <w:tcPr>
                  <w:tcW w:w="1434" w:type="pct"/>
                  <w:vAlign w:val="center"/>
                </w:tcPr>
                <w:p w14:paraId="520ABE2F">
                  <w:pPr>
                    <w:jc w:val="center"/>
                    <w:rPr>
                      <w:b/>
                      <w:szCs w:val="21"/>
                      <w:highlight w:val="yellow"/>
                    </w:rPr>
                  </w:pPr>
                  <w:r>
                    <w:rPr>
                      <w:rFonts w:hint="eastAsia"/>
                      <w:b/>
                      <w:szCs w:val="20"/>
                    </w:rPr>
                    <w:t>环评批复量(t/a</w:t>
                  </w:r>
                  <w:r>
                    <w:rPr>
                      <w:b/>
                      <w:szCs w:val="20"/>
                    </w:rPr>
                    <w:t>)</w:t>
                  </w:r>
                </w:p>
              </w:tc>
            </w:tr>
            <w:tr w14:paraId="520ABE3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restart"/>
                  <w:vAlign w:val="center"/>
                </w:tcPr>
                <w:p w14:paraId="520ABE31">
                  <w:pPr>
                    <w:adjustRightInd w:val="0"/>
                    <w:snapToGrid w:val="0"/>
                    <w:jc w:val="center"/>
                    <w:rPr>
                      <w:szCs w:val="21"/>
                    </w:rPr>
                  </w:pPr>
                  <w:r>
                    <w:rPr>
                      <w:kern w:val="0"/>
                      <w:szCs w:val="21"/>
                    </w:rPr>
                    <w:t>废水</w:t>
                  </w:r>
                </w:p>
              </w:tc>
              <w:tc>
                <w:tcPr>
                  <w:tcW w:w="577" w:type="pct"/>
                  <w:vAlign w:val="center"/>
                </w:tcPr>
                <w:p w14:paraId="520ABE32">
                  <w:pPr>
                    <w:snapToGrid w:val="0"/>
                    <w:jc w:val="center"/>
                    <w:rPr>
                      <w:szCs w:val="21"/>
                    </w:rPr>
                  </w:pPr>
                  <w:r>
                    <w:rPr>
                      <w:szCs w:val="21"/>
                    </w:rPr>
                    <w:t>COD</w:t>
                  </w:r>
                </w:p>
              </w:tc>
              <w:tc>
                <w:tcPr>
                  <w:tcW w:w="1167" w:type="pct"/>
                  <w:vAlign w:val="center"/>
                </w:tcPr>
                <w:p w14:paraId="520ABE33">
                  <w:pPr>
                    <w:snapToGrid w:val="0"/>
                    <w:jc w:val="center"/>
                    <w:rPr>
                      <w:rFonts w:eastAsia="等线"/>
                      <w:szCs w:val="21"/>
                      <w:highlight w:val="yellow"/>
                    </w:rPr>
                  </w:pPr>
                  <w:r>
                    <w:rPr>
                      <w:rFonts w:eastAsia="等线"/>
                      <w:szCs w:val="21"/>
                    </w:rPr>
                    <w:t>2.571</w:t>
                  </w:r>
                </w:p>
              </w:tc>
              <w:tc>
                <w:tcPr>
                  <w:tcW w:w="1435" w:type="pct"/>
                  <w:vAlign w:val="center"/>
                </w:tcPr>
                <w:p w14:paraId="520ABE34">
                  <w:pPr>
                    <w:jc w:val="center"/>
                    <w:rPr>
                      <w:szCs w:val="21"/>
                      <w:highlight w:val="yellow"/>
                    </w:rPr>
                  </w:pPr>
                  <w:r>
                    <w:rPr>
                      <w:rFonts w:eastAsia="等线"/>
                    </w:rPr>
                    <w:t>4.4734</w:t>
                  </w:r>
                </w:p>
              </w:tc>
              <w:tc>
                <w:tcPr>
                  <w:tcW w:w="1434" w:type="pct"/>
                  <w:vAlign w:val="center"/>
                </w:tcPr>
                <w:p w14:paraId="520ABE35">
                  <w:pPr>
                    <w:jc w:val="center"/>
                    <w:rPr>
                      <w:rFonts w:eastAsia="等线"/>
                    </w:rPr>
                  </w:pPr>
                  <w:r>
                    <w:rPr>
                      <w:rFonts w:hint="eastAsia"/>
                      <w:szCs w:val="21"/>
                    </w:rPr>
                    <w:t>0.0007</w:t>
                  </w:r>
                </w:p>
              </w:tc>
            </w:tr>
            <w:tr w14:paraId="520ABE3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0ABE37">
                  <w:pPr>
                    <w:adjustRightInd w:val="0"/>
                    <w:snapToGrid w:val="0"/>
                    <w:jc w:val="center"/>
                    <w:rPr>
                      <w:szCs w:val="21"/>
                    </w:rPr>
                  </w:pPr>
                </w:p>
              </w:tc>
              <w:tc>
                <w:tcPr>
                  <w:tcW w:w="577" w:type="pct"/>
                  <w:vAlign w:val="center"/>
                </w:tcPr>
                <w:p w14:paraId="520ABE38">
                  <w:pPr>
                    <w:snapToGrid w:val="0"/>
                    <w:jc w:val="center"/>
                    <w:rPr>
                      <w:szCs w:val="21"/>
                    </w:rPr>
                  </w:pPr>
                  <w:r>
                    <w:rPr>
                      <w:szCs w:val="21"/>
                    </w:rPr>
                    <w:t>NH</w:t>
                  </w:r>
                  <w:r>
                    <w:rPr>
                      <w:szCs w:val="21"/>
                      <w:vertAlign w:val="subscript"/>
                    </w:rPr>
                    <w:t>3</w:t>
                  </w:r>
                  <w:r>
                    <w:rPr>
                      <w:szCs w:val="21"/>
                    </w:rPr>
                    <w:t>-N</w:t>
                  </w:r>
                </w:p>
              </w:tc>
              <w:tc>
                <w:tcPr>
                  <w:tcW w:w="1167" w:type="pct"/>
                  <w:vAlign w:val="center"/>
                </w:tcPr>
                <w:p w14:paraId="520ABE39">
                  <w:pPr>
                    <w:snapToGrid w:val="0"/>
                    <w:jc w:val="center"/>
                    <w:rPr>
                      <w:rFonts w:eastAsia="等线"/>
                      <w:szCs w:val="21"/>
                      <w:highlight w:val="yellow"/>
                    </w:rPr>
                  </w:pPr>
                  <w:r>
                    <w:rPr>
                      <w:rFonts w:eastAsia="等线"/>
                      <w:szCs w:val="21"/>
                    </w:rPr>
                    <w:t>0.2571</w:t>
                  </w:r>
                </w:p>
              </w:tc>
              <w:tc>
                <w:tcPr>
                  <w:tcW w:w="1435" w:type="pct"/>
                  <w:vAlign w:val="center"/>
                </w:tcPr>
                <w:p w14:paraId="520ABE3A">
                  <w:pPr>
                    <w:jc w:val="center"/>
                    <w:rPr>
                      <w:szCs w:val="21"/>
                      <w:highlight w:val="yellow"/>
                    </w:rPr>
                  </w:pPr>
                  <w:r>
                    <w:rPr>
                      <w:rFonts w:eastAsia="等线"/>
                    </w:rPr>
                    <w:t>0.5735</w:t>
                  </w:r>
                </w:p>
              </w:tc>
              <w:tc>
                <w:tcPr>
                  <w:tcW w:w="1434" w:type="pct"/>
                  <w:vAlign w:val="center"/>
                </w:tcPr>
                <w:p w14:paraId="520ABE3B">
                  <w:pPr>
                    <w:jc w:val="center"/>
                    <w:rPr>
                      <w:rFonts w:eastAsia="等线"/>
                    </w:rPr>
                  </w:pPr>
                  <w:r>
                    <w:rPr>
                      <w:rFonts w:hint="eastAsia"/>
                      <w:szCs w:val="21"/>
                    </w:rPr>
                    <w:t>0.0001</w:t>
                  </w:r>
                </w:p>
              </w:tc>
            </w:tr>
            <w:tr w14:paraId="520ABE4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0ABE3D">
                  <w:pPr>
                    <w:adjustRightInd w:val="0"/>
                    <w:snapToGrid w:val="0"/>
                    <w:jc w:val="center"/>
                    <w:rPr>
                      <w:szCs w:val="21"/>
                    </w:rPr>
                  </w:pPr>
                </w:p>
              </w:tc>
              <w:tc>
                <w:tcPr>
                  <w:tcW w:w="577" w:type="pct"/>
                  <w:vAlign w:val="center"/>
                </w:tcPr>
                <w:p w14:paraId="520ABE3E">
                  <w:pPr>
                    <w:snapToGrid w:val="0"/>
                    <w:jc w:val="center"/>
                    <w:rPr>
                      <w:szCs w:val="21"/>
                    </w:rPr>
                  </w:pPr>
                  <w:r>
                    <w:rPr>
                      <w:szCs w:val="21"/>
                    </w:rPr>
                    <w:t>TP</w:t>
                  </w:r>
                </w:p>
              </w:tc>
              <w:tc>
                <w:tcPr>
                  <w:tcW w:w="1167" w:type="pct"/>
                  <w:vAlign w:val="center"/>
                </w:tcPr>
                <w:p w14:paraId="520ABE3F">
                  <w:pPr>
                    <w:snapToGrid w:val="0"/>
                    <w:jc w:val="center"/>
                    <w:rPr>
                      <w:rFonts w:eastAsia="等线"/>
                      <w:szCs w:val="21"/>
                      <w:highlight w:val="yellow"/>
                    </w:rPr>
                  </w:pPr>
                  <w:r>
                    <w:rPr>
                      <w:rFonts w:eastAsia="等线"/>
                      <w:szCs w:val="21"/>
                    </w:rPr>
                    <w:t>0.0257</w:t>
                  </w:r>
                </w:p>
              </w:tc>
              <w:tc>
                <w:tcPr>
                  <w:tcW w:w="1435" w:type="pct"/>
                  <w:vAlign w:val="center"/>
                </w:tcPr>
                <w:p w14:paraId="520ABE40">
                  <w:pPr>
                    <w:jc w:val="center"/>
                    <w:rPr>
                      <w:szCs w:val="21"/>
                      <w:highlight w:val="yellow"/>
                    </w:rPr>
                  </w:pPr>
                  <w:r>
                    <w:rPr>
                      <w:rFonts w:eastAsia="等线"/>
                    </w:rPr>
                    <w:t>0.0401</w:t>
                  </w:r>
                </w:p>
              </w:tc>
              <w:tc>
                <w:tcPr>
                  <w:tcW w:w="1434" w:type="pct"/>
                  <w:vAlign w:val="center"/>
                </w:tcPr>
                <w:p w14:paraId="520ABE41">
                  <w:pPr>
                    <w:jc w:val="center"/>
                    <w:rPr>
                      <w:rFonts w:eastAsia="等线"/>
                    </w:rPr>
                  </w:pPr>
                  <w:r>
                    <w:rPr>
                      <w:rFonts w:hint="eastAsia"/>
                      <w:szCs w:val="21"/>
                    </w:rPr>
                    <w:t>/</w:t>
                  </w:r>
                </w:p>
              </w:tc>
            </w:tr>
            <w:tr w14:paraId="520ABE4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0ABE43">
                  <w:pPr>
                    <w:adjustRightInd w:val="0"/>
                    <w:snapToGrid w:val="0"/>
                    <w:jc w:val="center"/>
                    <w:rPr>
                      <w:szCs w:val="21"/>
                    </w:rPr>
                  </w:pPr>
                </w:p>
              </w:tc>
              <w:tc>
                <w:tcPr>
                  <w:tcW w:w="577" w:type="pct"/>
                  <w:vAlign w:val="center"/>
                </w:tcPr>
                <w:p w14:paraId="520ABE44">
                  <w:pPr>
                    <w:snapToGrid w:val="0"/>
                    <w:jc w:val="center"/>
                    <w:rPr>
                      <w:szCs w:val="21"/>
                    </w:rPr>
                  </w:pPr>
                  <w:r>
                    <w:rPr>
                      <w:szCs w:val="21"/>
                    </w:rPr>
                    <w:t>TN</w:t>
                  </w:r>
                </w:p>
              </w:tc>
              <w:tc>
                <w:tcPr>
                  <w:tcW w:w="1167" w:type="pct"/>
                  <w:vAlign w:val="center"/>
                </w:tcPr>
                <w:p w14:paraId="520ABE45">
                  <w:pPr>
                    <w:snapToGrid w:val="0"/>
                    <w:jc w:val="center"/>
                    <w:rPr>
                      <w:rFonts w:eastAsia="等线"/>
                      <w:szCs w:val="21"/>
                      <w:highlight w:val="yellow"/>
                    </w:rPr>
                  </w:pPr>
                  <w:r>
                    <w:rPr>
                      <w:rFonts w:eastAsia="等线"/>
                      <w:szCs w:val="21"/>
                    </w:rPr>
                    <w:t>0.7713</w:t>
                  </w:r>
                </w:p>
              </w:tc>
              <w:tc>
                <w:tcPr>
                  <w:tcW w:w="1435" w:type="pct"/>
                  <w:vAlign w:val="center"/>
                </w:tcPr>
                <w:p w14:paraId="520ABE46">
                  <w:pPr>
                    <w:jc w:val="center"/>
                    <w:rPr>
                      <w:szCs w:val="21"/>
                      <w:highlight w:val="yellow"/>
                    </w:rPr>
                  </w:pPr>
                  <w:r>
                    <w:rPr>
                      <w:rFonts w:eastAsia="等线"/>
                    </w:rPr>
                    <w:t>1.4567</w:t>
                  </w:r>
                </w:p>
              </w:tc>
              <w:tc>
                <w:tcPr>
                  <w:tcW w:w="1434" w:type="pct"/>
                  <w:vAlign w:val="center"/>
                </w:tcPr>
                <w:p w14:paraId="520ABE47">
                  <w:pPr>
                    <w:jc w:val="center"/>
                    <w:rPr>
                      <w:rFonts w:eastAsia="等线"/>
                    </w:rPr>
                  </w:pPr>
                  <w:r>
                    <w:rPr>
                      <w:rFonts w:hint="eastAsia"/>
                      <w:szCs w:val="21"/>
                    </w:rPr>
                    <w:t>0.0002</w:t>
                  </w:r>
                </w:p>
              </w:tc>
            </w:tr>
            <w:tr w14:paraId="520ABE4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restart"/>
                  <w:vAlign w:val="center"/>
                </w:tcPr>
                <w:p w14:paraId="520ABE49">
                  <w:pPr>
                    <w:adjustRightInd w:val="0"/>
                    <w:snapToGrid w:val="0"/>
                    <w:jc w:val="center"/>
                    <w:rPr>
                      <w:szCs w:val="21"/>
                      <w:highlight w:val="yellow"/>
                    </w:rPr>
                  </w:pPr>
                  <w:r>
                    <w:rPr>
                      <w:rFonts w:hint="eastAsia"/>
                      <w:szCs w:val="21"/>
                    </w:rPr>
                    <w:t>废气</w:t>
                  </w:r>
                </w:p>
              </w:tc>
              <w:tc>
                <w:tcPr>
                  <w:tcW w:w="577" w:type="pct"/>
                  <w:vAlign w:val="center"/>
                </w:tcPr>
                <w:p w14:paraId="520ABE4A">
                  <w:pPr>
                    <w:snapToGrid w:val="0"/>
                    <w:jc w:val="center"/>
                    <w:rPr>
                      <w:szCs w:val="21"/>
                      <w:highlight w:val="yellow"/>
                    </w:rPr>
                  </w:pPr>
                  <w:r>
                    <w:rPr>
                      <w:szCs w:val="21"/>
                    </w:rPr>
                    <w:t>铬酸雾</w:t>
                  </w:r>
                </w:p>
              </w:tc>
              <w:tc>
                <w:tcPr>
                  <w:tcW w:w="1167" w:type="pct"/>
                  <w:vAlign w:val="center"/>
                </w:tcPr>
                <w:p w14:paraId="520ABE4B">
                  <w:pPr>
                    <w:snapToGrid w:val="0"/>
                    <w:jc w:val="center"/>
                    <w:rPr>
                      <w:szCs w:val="21"/>
                      <w:highlight w:val="yellow"/>
                    </w:rPr>
                  </w:pPr>
                  <w:r>
                    <w:rPr>
                      <w:rFonts w:eastAsia="等线"/>
                      <w:szCs w:val="21"/>
                    </w:rPr>
                    <w:t>0.00</w:t>
                  </w:r>
                  <w:r>
                    <w:rPr>
                      <w:rFonts w:hint="eastAsia" w:eastAsia="等线"/>
                      <w:szCs w:val="21"/>
                    </w:rPr>
                    <w:t>79</w:t>
                  </w:r>
                </w:p>
              </w:tc>
              <w:tc>
                <w:tcPr>
                  <w:tcW w:w="1435" w:type="pct"/>
                  <w:vAlign w:val="center"/>
                </w:tcPr>
                <w:p w14:paraId="520ABE4C">
                  <w:pPr>
                    <w:jc w:val="center"/>
                    <w:rPr>
                      <w:szCs w:val="21"/>
                      <w:highlight w:val="yellow"/>
                    </w:rPr>
                  </w:pPr>
                  <w:r>
                    <w:rPr>
                      <w:rFonts w:eastAsia="等线"/>
                      <w:szCs w:val="21"/>
                    </w:rPr>
                    <w:t>0.00</w:t>
                  </w:r>
                  <w:r>
                    <w:rPr>
                      <w:rFonts w:hint="eastAsia" w:eastAsia="等线"/>
                      <w:szCs w:val="21"/>
                    </w:rPr>
                    <w:t>79</w:t>
                  </w:r>
                </w:p>
              </w:tc>
              <w:tc>
                <w:tcPr>
                  <w:tcW w:w="1434" w:type="pct"/>
                  <w:vAlign w:val="center"/>
                </w:tcPr>
                <w:p w14:paraId="520ABE4D">
                  <w:pPr>
                    <w:jc w:val="center"/>
                    <w:rPr>
                      <w:szCs w:val="21"/>
                      <w:highlight w:val="yellow"/>
                    </w:rPr>
                  </w:pPr>
                  <w:r>
                    <w:rPr>
                      <w:rFonts w:hint="eastAsia"/>
                    </w:rPr>
                    <w:t>/</w:t>
                  </w:r>
                </w:p>
              </w:tc>
            </w:tr>
            <w:tr w14:paraId="520ABE5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0ABE4F">
                  <w:pPr>
                    <w:adjustRightInd w:val="0"/>
                    <w:snapToGrid w:val="0"/>
                    <w:jc w:val="center"/>
                    <w:rPr>
                      <w:szCs w:val="21"/>
                      <w:highlight w:val="yellow"/>
                    </w:rPr>
                  </w:pPr>
                </w:p>
              </w:tc>
              <w:tc>
                <w:tcPr>
                  <w:tcW w:w="577" w:type="pct"/>
                  <w:vAlign w:val="center"/>
                </w:tcPr>
                <w:p w14:paraId="520ABE50">
                  <w:pPr>
                    <w:snapToGrid w:val="0"/>
                    <w:jc w:val="center"/>
                    <w:rPr>
                      <w:szCs w:val="21"/>
                      <w:highlight w:val="yellow"/>
                    </w:rPr>
                  </w:pPr>
                  <w:r>
                    <w:rPr>
                      <w:szCs w:val="21"/>
                    </w:rPr>
                    <w:t>硫酸雾</w:t>
                  </w:r>
                </w:p>
              </w:tc>
              <w:tc>
                <w:tcPr>
                  <w:tcW w:w="1167" w:type="pct"/>
                  <w:vAlign w:val="center"/>
                </w:tcPr>
                <w:p w14:paraId="520ABE51">
                  <w:pPr>
                    <w:snapToGrid w:val="0"/>
                    <w:jc w:val="center"/>
                    <w:rPr>
                      <w:szCs w:val="21"/>
                      <w:highlight w:val="yellow"/>
                    </w:rPr>
                  </w:pPr>
                  <w:r>
                    <w:rPr>
                      <w:rFonts w:hint="eastAsia" w:eastAsia="等线"/>
                      <w:kern w:val="0"/>
                      <w:szCs w:val="21"/>
                      <w:lang w:val="zh-CN"/>
                    </w:rPr>
                    <w:t>2.243</w:t>
                  </w:r>
                </w:p>
              </w:tc>
              <w:tc>
                <w:tcPr>
                  <w:tcW w:w="1435" w:type="pct"/>
                  <w:vAlign w:val="center"/>
                </w:tcPr>
                <w:p w14:paraId="520ABE52">
                  <w:pPr>
                    <w:jc w:val="center"/>
                    <w:rPr>
                      <w:szCs w:val="21"/>
                      <w:highlight w:val="yellow"/>
                    </w:rPr>
                  </w:pPr>
                  <w:r>
                    <w:rPr>
                      <w:rFonts w:hint="eastAsia" w:eastAsia="等线"/>
                      <w:kern w:val="0"/>
                      <w:szCs w:val="21"/>
                      <w:lang w:val="zh-CN"/>
                    </w:rPr>
                    <w:t>2.243</w:t>
                  </w:r>
                </w:p>
              </w:tc>
              <w:tc>
                <w:tcPr>
                  <w:tcW w:w="1434" w:type="pct"/>
                  <w:vAlign w:val="center"/>
                </w:tcPr>
                <w:p w14:paraId="520ABE53">
                  <w:pPr>
                    <w:jc w:val="center"/>
                    <w:rPr>
                      <w:szCs w:val="21"/>
                      <w:highlight w:val="yellow"/>
                    </w:rPr>
                  </w:pPr>
                  <w:r>
                    <w:rPr>
                      <w:rFonts w:hint="eastAsia"/>
                      <w:kern w:val="0"/>
                      <w:szCs w:val="21"/>
                      <w:lang w:val="zh-CN"/>
                    </w:rPr>
                    <w:t>/</w:t>
                  </w:r>
                </w:p>
              </w:tc>
            </w:tr>
            <w:tr w14:paraId="520ABE5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0ABE55">
                  <w:pPr>
                    <w:adjustRightInd w:val="0"/>
                    <w:snapToGrid w:val="0"/>
                    <w:jc w:val="center"/>
                    <w:rPr>
                      <w:szCs w:val="21"/>
                      <w:highlight w:val="yellow"/>
                    </w:rPr>
                  </w:pPr>
                </w:p>
              </w:tc>
              <w:tc>
                <w:tcPr>
                  <w:tcW w:w="577" w:type="pct"/>
                  <w:vAlign w:val="center"/>
                </w:tcPr>
                <w:p w14:paraId="520ABE56">
                  <w:pPr>
                    <w:snapToGrid w:val="0"/>
                    <w:jc w:val="center"/>
                    <w:rPr>
                      <w:szCs w:val="21"/>
                      <w:highlight w:val="yellow"/>
                    </w:rPr>
                  </w:pPr>
                  <w:r>
                    <w:rPr>
                      <w:szCs w:val="21"/>
                    </w:rPr>
                    <w:t>氯化氢</w:t>
                  </w:r>
                </w:p>
              </w:tc>
              <w:tc>
                <w:tcPr>
                  <w:tcW w:w="1167" w:type="pct"/>
                  <w:vAlign w:val="center"/>
                </w:tcPr>
                <w:p w14:paraId="520ABE57">
                  <w:pPr>
                    <w:snapToGrid w:val="0"/>
                    <w:jc w:val="center"/>
                    <w:rPr>
                      <w:szCs w:val="21"/>
                      <w:highlight w:val="yellow"/>
                    </w:rPr>
                  </w:pPr>
                  <w:r>
                    <w:rPr>
                      <w:rFonts w:hint="eastAsia" w:eastAsia="等线"/>
                      <w:kern w:val="0"/>
                      <w:szCs w:val="21"/>
                      <w:lang w:val="zh-CN"/>
                    </w:rPr>
                    <w:t>0.6769</w:t>
                  </w:r>
                </w:p>
              </w:tc>
              <w:tc>
                <w:tcPr>
                  <w:tcW w:w="1435" w:type="pct"/>
                  <w:vAlign w:val="center"/>
                </w:tcPr>
                <w:p w14:paraId="520ABE58">
                  <w:pPr>
                    <w:jc w:val="center"/>
                    <w:rPr>
                      <w:szCs w:val="21"/>
                      <w:highlight w:val="yellow"/>
                    </w:rPr>
                  </w:pPr>
                  <w:r>
                    <w:rPr>
                      <w:rFonts w:hint="eastAsia" w:eastAsia="等线"/>
                      <w:kern w:val="0"/>
                      <w:szCs w:val="21"/>
                      <w:lang w:val="zh-CN"/>
                    </w:rPr>
                    <w:t>0.6769</w:t>
                  </w:r>
                </w:p>
              </w:tc>
              <w:tc>
                <w:tcPr>
                  <w:tcW w:w="1434" w:type="pct"/>
                  <w:vAlign w:val="center"/>
                </w:tcPr>
                <w:p w14:paraId="520ABE59">
                  <w:pPr>
                    <w:jc w:val="center"/>
                    <w:rPr>
                      <w:szCs w:val="21"/>
                      <w:highlight w:val="yellow"/>
                    </w:rPr>
                  </w:pPr>
                  <w:r>
                    <w:rPr>
                      <w:rFonts w:hint="eastAsia"/>
                      <w:kern w:val="0"/>
                      <w:szCs w:val="21"/>
                      <w:lang w:val="zh-CN"/>
                    </w:rPr>
                    <w:t>/</w:t>
                  </w:r>
                </w:p>
              </w:tc>
            </w:tr>
            <w:tr w14:paraId="520ABE6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0ABE5B">
                  <w:pPr>
                    <w:adjustRightInd w:val="0"/>
                    <w:snapToGrid w:val="0"/>
                    <w:jc w:val="center"/>
                    <w:rPr>
                      <w:szCs w:val="21"/>
                      <w:highlight w:val="yellow"/>
                    </w:rPr>
                  </w:pPr>
                </w:p>
              </w:tc>
              <w:tc>
                <w:tcPr>
                  <w:tcW w:w="577" w:type="pct"/>
                  <w:vAlign w:val="center"/>
                </w:tcPr>
                <w:p w14:paraId="520ABE5C">
                  <w:pPr>
                    <w:snapToGrid w:val="0"/>
                    <w:jc w:val="center"/>
                    <w:rPr>
                      <w:szCs w:val="21"/>
                      <w:highlight w:val="yellow"/>
                    </w:rPr>
                  </w:pPr>
                  <w:r>
                    <w:rPr>
                      <w:szCs w:val="21"/>
                    </w:rPr>
                    <w:t>氰化氢</w:t>
                  </w:r>
                </w:p>
              </w:tc>
              <w:tc>
                <w:tcPr>
                  <w:tcW w:w="1167" w:type="pct"/>
                  <w:vAlign w:val="center"/>
                </w:tcPr>
                <w:p w14:paraId="520ABE5D">
                  <w:pPr>
                    <w:snapToGrid w:val="0"/>
                    <w:jc w:val="center"/>
                    <w:rPr>
                      <w:szCs w:val="21"/>
                      <w:highlight w:val="yellow"/>
                    </w:rPr>
                  </w:pPr>
                  <w:r>
                    <w:rPr>
                      <w:rFonts w:hint="eastAsia" w:eastAsia="等线"/>
                      <w:kern w:val="0"/>
                      <w:szCs w:val="21"/>
                      <w:lang w:val="zh-CN"/>
                    </w:rPr>
                    <w:t>0.0041</w:t>
                  </w:r>
                </w:p>
              </w:tc>
              <w:tc>
                <w:tcPr>
                  <w:tcW w:w="1435" w:type="pct"/>
                  <w:vAlign w:val="center"/>
                </w:tcPr>
                <w:p w14:paraId="520ABE5E">
                  <w:pPr>
                    <w:jc w:val="center"/>
                    <w:rPr>
                      <w:szCs w:val="21"/>
                      <w:highlight w:val="yellow"/>
                    </w:rPr>
                  </w:pPr>
                  <w:r>
                    <w:rPr>
                      <w:rFonts w:hint="eastAsia" w:eastAsia="等线"/>
                      <w:kern w:val="0"/>
                      <w:szCs w:val="21"/>
                      <w:lang w:val="zh-CN"/>
                    </w:rPr>
                    <w:t>0.0041</w:t>
                  </w:r>
                </w:p>
              </w:tc>
              <w:tc>
                <w:tcPr>
                  <w:tcW w:w="1434" w:type="pct"/>
                  <w:vAlign w:val="center"/>
                </w:tcPr>
                <w:p w14:paraId="520ABE5F">
                  <w:pPr>
                    <w:jc w:val="center"/>
                    <w:rPr>
                      <w:szCs w:val="21"/>
                      <w:highlight w:val="yellow"/>
                    </w:rPr>
                  </w:pPr>
                  <w:r>
                    <w:rPr>
                      <w:rFonts w:hint="eastAsia"/>
                      <w:kern w:val="0"/>
                      <w:szCs w:val="21"/>
                      <w:lang w:val="zh-CN"/>
                    </w:rPr>
                    <w:t>/</w:t>
                  </w:r>
                </w:p>
              </w:tc>
            </w:tr>
            <w:tr w14:paraId="520ABE6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0ABE61">
                  <w:pPr>
                    <w:adjustRightInd w:val="0"/>
                    <w:snapToGrid w:val="0"/>
                    <w:jc w:val="center"/>
                    <w:rPr>
                      <w:szCs w:val="21"/>
                      <w:highlight w:val="yellow"/>
                    </w:rPr>
                  </w:pPr>
                </w:p>
              </w:tc>
              <w:tc>
                <w:tcPr>
                  <w:tcW w:w="577" w:type="pct"/>
                  <w:vAlign w:val="center"/>
                </w:tcPr>
                <w:p w14:paraId="520ABE62">
                  <w:pPr>
                    <w:snapToGrid w:val="0"/>
                    <w:jc w:val="center"/>
                    <w:rPr>
                      <w:szCs w:val="21"/>
                      <w:highlight w:val="yellow"/>
                    </w:rPr>
                  </w:pPr>
                  <w:r>
                    <w:rPr>
                      <w:szCs w:val="21"/>
                    </w:rPr>
                    <w:t>氮氧化物</w:t>
                  </w:r>
                </w:p>
              </w:tc>
              <w:tc>
                <w:tcPr>
                  <w:tcW w:w="1167" w:type="pct"/>
                  <w:vAlign w:val="center"/>
                </w:tcPr>
                <w:p w14:paraId="520ABE63">
                  <w:pPr>
                    <w:snapToGrid w:val="0"/>
                    <w:jc w:val="center"/>
                    <w:rPr>
                      <w:szCs w:val="21"/>
                      <w:highlight w:val="yellow"/>
                    </w:rPr>
                  </w:pPr>
                  <w:r>
                    <w:rPr>
                      <w:rFonts w:hint="eastAsia" w:eastAsia="等线"/>
                      <w:kern w:val="0"/>
                      <w:szCs w:val="21"/>
                      <w:lang w:val="zh-CN"/>
                    </w:rPr>
                    <w:t>2.035</w:t>
                  </w:r>
                </w:p>
              </w:tc>
              <w:tc>
                <w:tcPr>
                  <w:tcW w:w="1435" w:type="pct"/>
                  <w:vAlign w:val="center"/>
                </w:tcPr>
                <w:p w14:paraId="520ABE64">
                  <w:pPr>
                    <w:jc w:val="center"/>
                    <w:rPr>
                      <w:szCs w:val="21"/>
                      <w:highlight w:val="yellow"/>
                    </w:rPr>
                  </w:pPr>
                  <w:r>
                    <w:rPr>
                      <w:rFonts w:hint="eastAsia" w:eastAsia="等线"/>
                      <w:kern w:val="0"/>
                      <w:szCs w:val="21"/>
                      <w:lang w:val="zh-CN"/>
                    </w:rPr>
                    <w:t>2.035</w:t>
                  </w:r>
                </w:p>
              </w:tc>
              <w:tc>
                <w:tcPr>
                  <w:tcW w:w="1434" w:type="pct"/>
                  <w:vAlign w:val="center"/>
                </w:tcPr>
                <w:p w14:paraId="520ABE65">
                  <w:pPr>
                    <w:jc w:val="center"/>
                    <w:rPr>
                      <w:szCs w:val="21"/>
                      <w:highlight w:val="yellow"/>
                    </w:rPr>
                  </w:pPr>
                  <w:r>
                    <w:rPr>
                      <w:rFonts w:hint="eastAsia"/>
                      <w:kern w:val="0"/>
                      <w:szCs w:val="21"/>
                      <w:lang w:val="zh-CN"/>
                    </w:rPr>
                    <w:t>/</w:t>
                  </w:r>
                </w:p>
              </w:tc>
            </w:tr>
            <w:tr w14:paraId="520ABE6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0ABE67">
                  <w:pPr>
                    <w:adjustRightInd w:val="0"/>
                    <w:snapToGrid w:val="0"/>
                    <w:jc w:val="center"/>
                    <w:rPr>
                      <w:szCs w:val="21"/>
                      <w:highlight w:val="yellow"/>
                    </w:rPr>
                  </w:pPr>
                </w:p>
              </w:tc>
              <w:tc>
                <w:tcPr>
                  <w:tcW w:w="577" w:type="pct"/>
                  <w:vAlign w:val="center"/>
                </w:tcPr>
                <w:p w14:paraId="520ABE68">
                  <w:pPr>
                    <w:snapToGrid w:val="0"/>
                    <w:jc w:val="center"/>
                    <w:rPr>
                      <w:szCs w:val="21"/>
                      <w:highlight w:val="yellow"/>
                    </w:rPr>
                  </w:pPr>
                  <w:r>
                    <w:rPr>
                      <w:szCs w:val="21"/>
                    </w:rPr>
                    <w:t>硫化氢</w:t>
                  </w:r>
                </w:p>
              </w:tc>
              <w:tc>
                <w:tcPr>
                  <w:tcW w:w="1167" w:type="pct"/>
                  <w:vAlign w:val="center"/>
                </w:tcPr>
                <w:p w14:paraId="520ABE69">
                  <w:pPr>
                    <w:snapToGrid w:val="0"/>
                    <w:jc w:val="center"/>
                    <w:rPr>
                      <w:szCs w:val="21"/>
                      <w:highlight w:val="yellow"/>
                    </w:rPr>
                  </w:pPr>
                  <w:r>
                    <w:rPr>
                      <w:rFonts w:eastAsia="等线"/>
                      <w:kern w:val="0"/>
                      <w:szCs w:val="21"/>
                      <w:lang w:val="zh-CN"/>
                    </w:rPr>
                    <w:t>0.000</w:t>
                  </w:r>
                  <w:r>
                    <w:rPr>
                      <w:rFonts w:hint="eastAsia" w:eastAsia="等线"/>
                      <w:kern w:val="0"/>
                      <w:szCs w:val="21"/>
                      <w:lang w:val="zh-CN"/>
                    </w:rPr>
                    <w:t>5</w:t>
                  </w:r>
                </w:p>
              </w:tc>
              <w:tc>
                <w:tcPr>
                  <w:tcW w:w="1435" w:type="pct"/>
                  <w:vAlign w:val="center"/>
                </w:tcPr>
                <w:p w14:paraId="520ABE6A">
                  <w:pPr>
                    <w:jc w:val="center"/>
                    <w:rPr>
                      <w:szCs w:val="21"/>
                      <w:highlight w:val="yellow"/>
                    </w:rPr>
                  </w:pPr>
                  <w:r>
                    <w:rPr>
                      <w:rFonts w:eastAsia="等线"/>
                      <w:kern w:val="0"/>
                      <w:szCs w:val="21"/>
                      <w:lang w:val="zh-CN"/>
                    </w:rPr>
                    <w:t>0.000</w:t>
                  </w:r>
                  <w:r>
                    <w:rPr>
                      <w:rFonts w:hint="eastAsia" w:eastAsia="等线"/>
                      <w:kern w:val="0"/>
                      <w:szCs w:val="21"/>
                      <w:lang w:val="zh-CN"/>
                    </w:rPr>
                    <w:t>54</w:t>
                  </w:r>
                </w:p>
              </w:tc>
              <w:tc>
                <w:tcPr>
                  <w:tcW w:w="1434" w:type="pct"/>
                  <w:vAlign w:val="center"/>
                </w:tcPr>
                <w:p w14:paraId="520ABE6B">
                  <w:pPr>
                    <w:jc w:val="center"/>
                    <w:rPr>
                      <w:szCs w:val="21"/>
                      <w:highlight w:val="yellow"/>
                    </w:rPr>
                  </w:pPr>
                  <w:r>
                    <w:rPr>
                      <w:rFonts w:hint="eastAsia"/>
                      <w:kern w:val="0"/>
                      <w:szCs w:val="21"/>
                      <w:lang w:val="zh-CN"/>
                    </w:rPr>
                    <w:t>/</w:t>
                  </w:r>
                </w:p>
              </w:tc>
            </w:tr>
            <w:tr w14:paraId="520ABE7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0ABE6D">
                  <w:pPr>
                    <w:adjustRightInd w:val="0"/>
                    <w:snapToGrid w:val="0"/>
                    <w:jc w:val="center"/>
                    <w:rPr>
                      <w:szCs w:val="21"/>
                      <w:highlight w:val="yellow"/>
                    </w:rPr>
                  </w:pPr>
                </w:p>
              </w:tc>
              <w:tc>
                <w:tcPr>
                  <w:tcW w:w="577" w:type="pct"/>
                  <w:vAlign w:val="center"/>
                </w:tcPr>
                <w:p w14:paraId="520ABE6E">
                  <w:pPr>
                    <w:snapToGrid w:val="0"/>
                    <w:jc w:val="center"/>
                    <w:rPr>
                      <w:bCs/>
                      <w:szCs w:val="21"/>
                      <w:highlight w:val="yellow"/>
                    </w:rPr>
                  </w:pPr>
                  <w:r>
                    <w:rPr>
                      <w:szCs w:val="21"/>
                    </w:rPr>
                    <w:t>颗粒物</w:t>
                  </w:r>
                </w:p>
              </w:tc>
              <w:tc>
                <w:tcPr>
                  <w:tcW w:w="1167" w:type="pct"/>
                  <w:vAlign w:val="center"/>
                </w:tcPr>
                <w:p w14:paraId="520ABE6F">
                  <w:pPr>
                    <w:snapToGrid w:val="0"/>
                    <w:jc w:val="center"/>
                    <w:rPr>
                      <w:bCs/>
                      <w:highlight w:val="yellow"/>
                    </w:rPr>
                  </w:pPr>
                  <w:r>
                    <w:rPr>
                      <w:rFonts w:hint="eastAsia"/>
                      <w:kern w:val="0"/>
                      <w:szCs w:val="21"/>
                      <w:lang w:val="zh-CN"/>
                    </w:rPr>
                    <w:t>1.9554</w:t>
                  </w:r>
                </w:p>
              </w:tc>
              <w:tc>
                <w:tcPr>
                  <w:tcW w:w="1435" w:type="pct"/>
                  <w:vAlign w:val="center"/>
                </w:tcPr>
                <w:p w14:paraId="520ABE70">
                  <w:pPr>
                    <w:jc w:val="center"/>
                    <w:rPr>
                      <w:bCs/>
                      <w:highlight w:val="yellow"/>
                    </w:rPr>
                  </w:pPr>
                  <w:r>
                    <w:rPr>
                      <w:kern w:val="0"/>
                      <w:szCs w:val="21"/>
                      <w:lang w:val="zh-CN"/>
                    </w:rPr>
                    <w:t>2.6009</w:t>
                  </w:r>
                </w:p>
              </w:tc>
              <w:tc>
                <w:tcPr>
                  <w:tcW w:w="1434" w:type="pct"/>
                  <w:vAlign w:val="center"/>
                </w:tcPr>
                <w:p w14:paraId="520ABE71">
                  <w:pPr>
                    <w:jc w:val="center"/>
                    <w:rPr>
                      <w:szCs w:val="21"/>
                      <w:highlight w:val="yellow"/>
                    </w:rPr>
                  </w:pPr>
                  <w:r>
                    <w:rPr>
                      <w:rFonts w:hint="eastAsia"/>
                      <w:kern w:val="0"/>
                      <w:szCs w:val="21"/>
                      <w:lang w:val="zh-CN"/>
                    </w:rPr>
                    <w:t>0.0595</w:t>
                  </w:r>
                </w:p>
              </w:tc>
            </w:tr>
            <w:tr w14:paraId="520ABE7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0ABE73">
                  <w:pPr>
                    <w:adjustRightInd w:val="0"/>
                    <w:snapToGrid w:val="0"/>
                    <w:jc w:val="center"/>
                    <w:rPr>
                      <w:szCs w:val="21"/>
                      <w:highlight w:val="yellow"/>
                    </w:rPr>
                  </w:pPr>
                </w:p>
              </w:tc>
              <w:tc>
                <w:tcPr>
                  <w:tcW w:w="577" w:type="pct"/>
                  <w:vAlign w:val="center"/>
                </w:tcPr>
                <w:p w14:paraId="520ABE74">
                  <w:pPr>
                    <w:snapToGrid w:val="0"/>
                    <w:jc w:val="center"/>
                    <w:rPr>
                      <w:bCs/>
                      <w:szCs w:val="21"/>
                      <w:highlight w:val="yellow"/>
                    </w:rPr>
                  </w:pPr>
                  <w:r>
                    <w:rPr>
                      <w:rFonts w:hint="eastAsia"/>
                      <w:szCs w:val="21"/>
                    </w:rPr>
                    <w:t>氨</w:t>
                  </w:r>
                </w:p>
              </w:tc>
              <w:tc>
                <w:tcPr>
                  <w:tcW w:w="1167" w:type="pct"/>
                  <w:vAlign w:val="center"/>
                </w:tcPr>
                <w:p w14:paraId="520ABE75">
                  <w:pPr>
                    <w:snapToGrid w:val="0"/>
                    <w:jc w:val="center"/>
                    <w:rPr>
                      <w:bCs/>
                      <w:highlight w:val="yellow"/>
                    </w:rPr>
                  </w:pPr>
                  <w:r>
                    <w:rPr>
                      <w:rFonts w:hint="eastAsia"/>
                      <w:kern w:val="0"/>
                      <w:szCs w:val="21"/>
                      <w:lang w:val="zh-CN"/>
                    </w:rPr>
                    <w:t>/</w:t>
                  </w:r>
                </w:p>
              </w:tc>
              <w:tc>
                <w:tcPr>
                  <w:tcW w:w="1435" w:type="pct"/>
                  <w:vAlign w:val="center"/>
                </w:tcPr>
                <w:p w14:paraId="520ABE76">
                  <w:pPr>
                    <w:jc w:val="center"/>
                    <w:rPr>
                      <w:bCs/>
                      <w:highlight w:val="yellow"/>
                    </w:rPr>
                  </w:pPr>
                  <w:r>
                    <w:rPr>
                      <w:rFonts w:hint="eastAsia"/>
                      <w:kern w:val="0"/>
                      <w:szCs w:val="21"/>
                      <w:lang w:val="zh-CN"/>
                    </w:rPr>
                    <w:t>/</w:t>
                  </w:r>
                </w:p>
              </w:tc>
              <w:tc>
                <w:tcPr>
                  <w:tcW w:w="1434" w:type="pct"/>
                  <w:vAlign w:val="center"/>
                </w:tcPr>
                <w:p w14:paraId="520ABE77">
                  <w:pPr>
                    <w:jc w:val="center"/>
                    <w:rPr>
                      <w:szCs w:val="21"/>
                      <w:highlight w:val="yellow"/>
                    </w:rPr>
                  </w:pPr>
                  <w:r>
                    <w:rPr>
                      <w:rFonts w:hint="eastAsia"/>
                      <w:kern w:val="0"/>
                      <w:szCs w:val="21"/>
                      <w:lang w:val="zh-CN"/>
                    </w:rPr>
                    <w:t>0.045</w:t>
                  </w:r>
                </w:p>
              </w:tc>
            </w:tr>
            <w:tr w14:paraId="520ABE7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0ABE79">
                  <w:pPr>
                    <w:adjustRightInd w:val="0"/>
                    <w:snapToGrid w:val="0"/>
                    <w:jc w:val="center"/>
                    <w:rPr>
                      <w:szCs w:val="21"/>
                      <w:highlight w:val="yellow"/>
                    </w:rPr>
                  </w:pPr>
                </w:p>
              </w:tc>
              <w:tc>
                <w:tcPr>
                  <w:tcW w:w="577" w:type="pct"/>
                  <w:vAlign w:val="center"/>
                </w:tcPr>
                <w:p w14:paraId="520ABE7A">
                  <w:pPr>
                    <w:snapToGrid w:val="0"/>
                    <w:jc w:val="center"/>
                    <w:rPr>
                      <w:szCs w:val="21"/>
                      <w:highlight w:val="yellow"/>
                    </w:rPr>
                  </w:pPr>
                  <w:r>
                    <w:rPr>
                      <w:szCs w:val="21"/>
                    </w:rPr>
                    <w:t>VOC</w:t>
                  </w:r>
                  <w:r>
                    <w:rPr>
                      <w:rFonts w:hint="eastAsia"/>
                      <w:szCs w:val="21"/>
                    </w:rPr>
                    <w:t>s</w:t>
                  </w:r>
                </w:p>
              </w:tc>
              <w:tc>
                <w:tcPr>
                  <w:tcW w:w="1167" w:type="pct"/>
                  <w:vAlign w:val="center"/>
                </w:tcPr>
                <w:p w14:paraId="520ABE7B">
                  <w:pPr>
                    <w:snapToGrid w:val="0"/>
                    <w:jc w:val="center"/>
                    <w:rPr>
                      <w:kern w:val="0"/>
                      <w:szCs w:val="21"/>
                      <w:lang w:val="zh-CN"/>
                    </w:rPr>
                  </w:pPr>
                  <w:r>
                    <w:rPr>
                      <w:rFonts w:hint="eastAsia"/>
                      <w:bCs/>
                      <w:kern w:val="0"/>
                      <w:szCs w:val="21"/>
                      <w:lang w:val="zh-CN"/>
                    </w:rPr>
                    <w:t>3.3834</w:t>
                  </w:r>
                </w:p>
              </w:tc>
              <w:tc>
                <w:tcPr>
                  <w:tcW w:w="1435" w:type="pct"/>
                  <w:vAlign w:val="center"/>
                </w:tcPr>
                <w:p w14:paraId="520ABE7C">
                  <w:pPr>
                    <w:jc w:val="center"/>
                    <w:rPr>
                      <w:szCs w:val="21"/>
                      <w:highlight w:val="yellow"/>
                    </w:rPr>
                  </w:pPr>
                  <w:r>
                    <w:rPr>
                      <w:rFonts w:hint="eastAsia"/>
                      <w:bCs/>
                      <w:kern w:val="0"/>
                      <w:szCs w:val="21"/>
                      <w:lang w:val="zh-CN"/>
                    </w:rPr>
                    <w:t>4</w:t>
                  </w:r>
                  <w:r>
                    <w:rPr>
                      <w:bCs/>
                      <w:kern w:val="0"/>
                      <w:szCs w:val="21"/>
                      <w:lang w:val="zh-CN"/>
                    </w:rPr>
                    <w:t>.</w:t>
                  </w:r>
                  <w:r>
                    <w:rPr>
                      <w:rFonts w:hint="eastAsia"/>
                      <w:bCs/>
                      <w:kern w:val="0"/>
                      <w:szCs w:val="21"/>
                      <w:lang w:val="zh-CN"/>
                    </w:rPr>
                    <w:t>9384</w:t>
                  </w:r>
                </w:p>
              </w:tc>
              <w:tc>
                <w:tcPr>
                  <w:tcW w:w="1434" w:type="pct"/>
                  <w:vAlign w:val="center"/>
                </w:tcPr>
                <w:p w14:paraId="520ABE7D">
                  <w:pPr>
                    <w:jc w:val="center"/>
                    <w:rPr>
                      <w:szCs w:val="21"/>
                      <w:highlight w:val="yellow"/>
                    </w:rPr>
                  </w:pPr>
                  <w:r>
                    <w:rPr>
                      <w:rFonts w:hint="eastAsia"/>
                      <w:kern w:val="0"/>
                      <w:szCs w:val="21"/>
                      <w:lang w:val="zh-CN"/>
                    </w:rPr>
                    <w:t>0.6209</w:t>
                  </w:r>
                </w:p>
              </w:tc>
            </w:tr>
            <w:tr w14:paraId="3312F1A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87" w:type="pct"/>
                  <w:vMerge w:val="continue"/>
                  <w:vAlign w:val="center"/>
                </w:tcPr>
                <w:p w14:paraId="5255AF76">
                  <w:pPr>
                    <w:adjustRightInd w:val="0"/>
                    <w:snapToGrid w:val="0"/>
                    <w:jc w:val="center"/>
                    <w:rPr>
                      <w:szCs w:val="21"/>
                      <w:highlight w:val="yellow"/>
                    </w:rPr>
                  </w:pPr>
                </w:p>
              </w:tc>
              <w:tc>
                <w:tcPr>
                  <w:tcW w:w="577" w:type="pct"/>
                  <w:vAlign w:val="center"/>
                </w:tcPr>
                <w:p w14:paraId="3C3914E3">
                  <w:pPr>
                    <w:snapToGrid w:val="0"/>
                    <w:jc w:val="center"/>
                    <w:rPr>
                      <w:szCs w:val="21"/>
                    </w:rPr>
                  </w:pPr>
                  <w:r>
                    <w:rPr>
                      <w:rFonts w:hint="eastAsia"/>
                      <w:szCs w:val="21"/>
                    </w:rPr>
                    <w:t>SO</w:t>
                  </w:r>
                  <w:r>
                    <w:rPr>
                      <w:rFonts w:hint="eastAsia"/>
                      <w:szCs w:val="21"/>
                      <w:vertAlign w:val="subscript"/>
                    </w:rPr>
                    <w:t>2</w:t>
                  </w:r>
                </w:p>
              </w:tc>
              <w:tc>
                <w:tcPr>
                  <w:tcW w:w="1167" w:type="pct"/>
                  <w:vAlign w:val="center"/>
                </w:tcPr>
                <w:p w14:paraId="74E32C31">
                  <w:pPr>
                    <w:snapToGrid w:val="0"/>
                    <w:jc w:val="center"/>
                    <w:rPr>
                      <w:bCs/>
                      <w:kern w:val="0"/>
                      <w:szCs w:val="21"/>
                      <w:lang w:val="zh-CN"/>
                    </w:rPr>
                  </w:pPr>
                  <w:r>
                    <w:rPr>
                      <w:rFonts w:hint="eastAsia"/>
                      <w:bCs/>
                      <w:kern w:val="0"/>
                      <w:szCs w:val="21"/>
                      <w:lang w:val="zh-CN"/>
                    </w:rPr>
                    <w:t>0.0351</w:t>
                  </w:r>
                </w:p>
              </w:tc>
              <w:tc>
                <w:tcPr>
                  <w:tcW w:w="1435" w:type="pct"/>
                  <w:vAlign w:val="center"/>
                </w:tcPr>
                <w:p w14:paraId="4A234AF0">
                  <w:pPr>
                    <w:jc w:val="center"/>
                    <w:rPr>
                      <w:bCs/>
                      <w:kern w:val="0"/>
                      <w:szCs w:val="21"/>
                      <w:lang w:val="zh-CN"/>
                    </w:rPr>
                  </w:pPr>
                  <w:r>
                    <w:rPr>
                      <w:rFonts w:hint="eastAsia"/>
                      <w:bCs/>
                      <w:kern w:val="0"/>
                      <w:szCs w:val="21"/>
                      <w:lang w:val="zh-CN"/>
                    </w:rPr>
                    <w:t>0.0351</w:t>
                  </w:r>
                </w:p>
              </w:tc>
              <w:tc>
                <w:tcPr>
                  <w:tcW w:w="1434" w:type="pct"/>
                  <w:vAlign w:val="center"/>
                </w:tcPr>
                <w:p w14:paraId="46FEABD5">
                  <w:pPr>
                    <w:jc w:val="center"/>
                    <w:rPr>
                      <w:kern w:val="0"/>
                      <w:szCs w:val="21"/>
                      <w:lang w:val="zh-CN"/>
                    </w:rPr>
                  </w:pPr>
                  <w:r>
                    <w:rPr>
                      <w:rFonts w:hint="eastAsia"/>
                      <w:kern w:val="0"/>
                      <w:szCs w:val="21"/>
                      <w:lang w:val="zh-CN"/>
                    </w:rPr>
                    <w:t>/</w:t>
                  </w:r>
                </w:p>
              </w:tc>
            </w:tr>
          </w:tbl>
          <w:p w14:paraId="04A81CD2">
            <w:pPr>
              <w:spacing w:line="460" w:lineRule="exact"/>
              <w:ind w:firstLine="482" w:firstLineChars="200"/>
              <w:rPr>
                <w:b/>
                <w:bCs/>
                <w:sz w:val="24"/>
              </w:rPr>
            </w:pPr>
            <w:r>
              <w:rPr>
                <w:b/>
                <w:bCs/>
                <w:sz w:val="24"/>
              </w:rPr>
              <w:t>三、</w:t>
            </w:r>
            <w:r>
              <w:rPr>
                <w:rFonts w:hint="eastAsia"/>
                <w:b/>
                <w:bCs/>
                <w:sz w:val="24"/>
              </w:rPr>
              <w:t>以新带老削减情况</w:t>
            </w:r>
          </w:p>
          <w:p w14:paraId="406662B4">
            <w:pPr>
              <w:spacing w:line="460" w:lineRule="exact"/>
              <w:ind w:firstLine="480" w:firstLineChars="200"/>
              <w:rPr>
                <w:sz w:val="24"/>
              </w:rPr>
            </w:pPr>
            <w:r>
              <w:rPr>
                <w:rFonts w:hint="eastAsia"/>
                <w:sz w:val="24"/>
              </w:rPr>
              <w:t>1、建设路厂区</w:t>
            </w:r>
          </w:p>
          <w:p w14:paraId="30FC2396">
            <w:pPr>
              <w:spacing w:line="460" w:lineRule="exact"/>
              <w:ind w:firstLine="480" w:firstLineChars="200"/>
              <w:rPr>
                <w:sz w:val="24"/>
              </w:rPr>
            </w:pPr>
            <w:r>
              <w:rPr>
                <w:rFonts w:hint="eastAsia"/>
                <w:sz w:val="24"/>
              </w:rPr>
              <w:t>（1）废水</w:t>
            </w:r>
          </w:p>
          <w:p w14:paraId="44AAADDC">
            <w:pPr>
              <w:spacing w:line="460" w:lineRule="exact"/>
              <w:ind w:firstLine="480" w:firstLineChars="200"/>
              <w:rPr>
                <w:sz w:val="24"/>
              </w:rPr>
            </w:pPr>
            <w:r>
              <w:rPr>
                <w:rFonts w:hint="eastAsia"/>
                <w:sz w:val="24"/>
              </w:rPr>
              <w:t>某型号战斗机（因涉密不能明确）配套阀类产品生产过程采用超声波进行清洗，清洗产生的废水经厂区综合污水处理站处理后排入小尚庄污水处理厂进行处理。现由于战斗机机型更新迭代，减少其配套的阀类产品100套/年，可减少超声波废水排放量约0.4t/d（100t/a）。小尚庄污水处理厂排放标准为COD 50mg/L、氨氮5mg/L、TP 0.5mg/L、TN 15mg/L，则本项目建成后厂区废水污染物排放量减少COD 0.005t/a、氨氮0.0005t/a、TP 0.00005t/a、TN 0.0015t/a。</w:t>
            </w:r>
          </w:p>
          <w:p w14:paraId="46E8E881">
            <w:pPr>
              <w:spacing w:line="440" w:lineRule="exact"/>
              <w:ind w:firstLine="480" w:firstLineChars="200"/>
              <w:rPr>
                <w:sz w:val="24"/>
              </w:rPr>
            </w:pPr>
            <w:r>
              <w:rPr>
                <w:rFonts w:hint="eastAsia"/>
                <w:sz w:val="24"/>
              </w:rPr>
              <w:t>（2）废气</w:t>
            </w:r>
          </w:p>
          <w:p w14:paraId="0F39B3EB">
            <w:pPr>
              <w:spacing w:line="440" w:lineRule="exact"/>
              <w:ind w:firstLine="480" w:firstLineChars="200"/>
              <w:rPr>
                <w:sz w:val="24"/>
              </w:rPr>
            </w:pPr>
            <w:r>
              <w:rPr>
                <w:rFonts w:hint="eastAsia"/>
                <w:sz w:val="24"/>
              </w:rPr>
              <w:t>①吹砂废气</w:t>
            </w:r>
          </w:p>
          <w:p w14:paraId="1BA28FB3">
            <w:pPr>
              <w:spacing w:line="440" w:lineRule="exact"/>
              <w:ind w:firstLine="480" w:firstLineChars="200"/>
              <w:rPr>
                <w:sz w:val="24"/>
              </w:rPr>
            </w:pPr>
            <w:r>
              <w:rPr>
                <w:rFonts w:hint="eastAsia"/>
                <w:sz w:val="24"/>
              </w:rPr>
              <w:t>本项目新增抛丸设备分担原进入吹砂设备处理的一部分工件，根据吹砂设备所在环评，105</w:t>
            </w:r>
            <w:r>
              <w:rPr>
                <w:sz w:val="24"/>
              </w:rPr>
              <w:t>厂</w:t>
            </w:r>
            <w:r>
              <w:rPr>
                <w:rFonts w:hint="eastAsia"/>
                <w:sz w:val="24"/>
              </w:rPr>
              <w:t>需要喷砂的金属工件年用量为180</w:t>
            </w:r>
            <w:r>
              <w:rPr>
                <w:sz w:val="24"/>
              </w:rPr>
              <w:t>t/a</w:t>
            </w:r>
            <w:r>
              <w:rPr>
                <w:rFonts w:hint="eastAsia"/>
                <w:sz w:val="24"/>
              </w:rPr>
              <w:t>。</w:t>
            </w:r>
            <w:r>
              <w:rPr>
                <w:sz w:val="24"/>
              </w:rPr>
              <w:t>其中</w:t>
            </w:r>
            <w:r>
              <w:rPr>
                <w:rFonts w:hint="eastAsia"/>
                <w:sz w:val="24"/>
              </w:rPr>
              <w:t>1/2工件进入本项目新增的抛丸机中进行处理，产生的废气与吹砂废气分别经密闭管道收集后一起进入“袋式除尘器+水喷淋TA019”中进行处理，处理后经15m高排气筒DA019排放。根据原环评，喷砂废气经处理后排放量为0.0039t/a。本项目建成后，经喷砂机处理的工件减少1/2，则其排放的颗粒物排放量减少0.002t/a。因此，建设路厂区废气污染物以新带老削减量为颗粒物0.002t/a。</w:t>
            </w:r>
          </w:p>
          <w:p w14:paraId="7EDF9214">
            <w:pPr>
              <w:spacing w:line="440" w:lineRule="exact"/>
              <w:ind w:firstLine="480" w:firstLineChars="200"/>
              <w:rPr>
                <w:sz w:val="24"/>
              </w:rPr>
            </w:pPr>
            <w:r>
              <w:rPr>
                <w:rFonts w:hint="eastAsia"/>
                <w:sz w:val="24"/>
              </w:rPr>
              <w:t>②试验废气</w:t>
            </w:r>
          </w:p>
          <w:p w14:paraId="0991EE52">
            <w:pPr>
              <w:spacing w:line="440" w:lineRule="exact"/>
              <w:ind w:firstLine="480" w:firstLineChars="200"/>
              <w:rPr>
                <w:sz w:val="24"/>
              </w:rPr>
            </w:pPr>
            <w:r>
              <w:rPr>
                <w:rFonts w:hint="eastAsia"/>
                <w:sz w:val="24"/>
              </w:rPr>
              <w:t>168#厂房油类试验产生的废气经集气罩收集后引入干式过滤+活性炭吸脱附-催化燃烧装置T</w:t>
            </w:r>
            <w:r>
              <w:rPr>
                <w:sz w:val="24"/>
              </w:rPr>
              <w:t>A01</w:t>
            </w:r>
            <w:r>
              <w:rPr>
                <w:rFonts w:hint="eastAsia"/>
                <w:sz w:val="24"/>
              </w:rPr>
              <w:t>7进行处理，处理后经</w:t>
            </w:r>
            <w:r>
              <w:rPr>
                <w:sz w:val="24"/>
              </w:rPr>
              <w:t>15</w:t>
            </w:r>
            <w:r>
              <w:rPr>
                <w:rFonts w:hint="eastAsia"/>
                <w:sz w:val="24"/>
              </w:rPr>
              <w:t>m高排气筒D</w:t>
            </w:r>
            <w:r>
              <w:rPr>
                <w:sz w:val="24"/>
              </w:rPr>
              <w:t>A01</w:t>
            </w:r>
            <w:r>
              <w:rPr>
                <w:rFonts w:hint="eastAsia"/>
                <w:sz w:val="24"/>
              </w:rPr>
              <w:t>7排放。现由于战斗机机型更新迭代，减少其配套阀类产品100套/年，该部分产品采用的现有1台液压高温综合性能试验台淘汰，试验台年使用15#航空液压油量为0.6t/a。根据企业现有工程液压油类试验台实际运行统计数据，油类物质的日常挥发损耗约占总量的</w:t>
            </w:r>
            <w:r>
              <w:rPr>
                <w:sz w:val="24"/>
              </w:rPr>
              <w:t>2</w:t>
            </w:r>
            <w:r>
              <w:rPr>
                <w:rFonts w:hint="eastAsia"/>
                <w:sz w:val="24"/>
              </w:rPr>
              <w:t>%~5%左右，本次评价按照最不利原则考虑，按照5%计，则液压高温综合性能试验台非甲烷总烃产生量为0.03t/a。试验台废气收集效率以95%计，则非甲烷总烃收集量为0.0285t/a，无组织排放量为0.0015t/a。活性炭对有机废气的设计去除效率（即吸附率）不低于90%，催化燃烧对活性炭吸附后脱附的有机废气的设计去除效率不低于97%，活性炭吸附后废气和催化燃烧后废气经同1根排气筒D</w:t>
            </w:r>
            <w:r>
              <w:rPr>
                <w:sz w:val="24"/>
              </w:rPr>
              <w:t>A01</w:t>
            </w:r>
            <w:r>
              <w:rPr>
                <w:rFonts w:hint="eastAsia"/>
                <w:sz w:val="24"/>
              </w:rPr>
              <w:t>7排放，则有组织排放量为0.0037t/a。</w:t>
            </w:r>
          </w:p>
          <w:p w14:paraId="6AEB0907">
            <w:pPr>
              <w:spacing w:line="440" w:lineRule="exact"/>
              <w:ind w:firstLine="480" w:firstLineChars="200"/>
              <w:rPr>
                <w:sz w:val="24"/>
              </w:rPr>
            </w:pPr>
            <w:r>
              <w:rPr>
                <w:rFonts w:hint="eastAsia"/>
                <w:sz w:val="24"/>
              </w:rPr>
              <w:t>综上，本项目建成后DA017减少非甲烷总烃排放量0.0052t/a。</w:t>
            </w:r>
          </w:p>
          <w:p w14:paraId="61086DBA">
            <w:pPr>
              <w:spacing w:line="440" w:lineRule="exact"/>
              <w:ind w:firstLine="480" w:firstLineChars="200"/>
              <w:rPr>
                <w:sz w:val="24"/>
              </w:rPr>
            </w:pPr>
            <w:r>
              <w:rPr>
                <w:rFonts w:hint="eastAsia"/>
                <w:sz w:val="24"/>
              </w:rPr>
              <w:t>2、解放路厂区</w:t>
            </w:r>
          </w:p>
          <w:p w14:paraId="5F7EA184">
            <w:pPr>
              <w:adjustRightInd w:val="0"/>
              <w:snapToGrid w:val="0"/>
              <w:spacing w:line="440" w:lineRule="exact"/>
              <w:ind w:firstLine="480" w:firstLineChars="200"/>
              <w:rPr>
                <w:sz w:val="24"/>
              </w:rPr>
            </w:pPr>
            <w:r>
              <w:rPr>
                <w:rFonts w:hint="eastAsia"/>
                <w:sz w:val="24"/>
              </w:rPr>
              <w:t>本项目新增高温硫化机及烘箱分担需要硫化处理的工件，建成后与现有的硫化废气一起经集气罩收集后引入现有的活性炭吸脱附-催化燃烧装置处理，处理后经15m高排气筒DA025排放。根据表29，现有硫化工段废气污染物排放量为非甲烷总烃0.0031t/a、硫化氢0.0005t/a、SO</w:t>
            </w:r>
            <w:r>
              <w:rPr>
                <w:rFonts w:hint="eastAsia"/>
                <w:sz w:val="24"/>
                <w:vertAlign w:val="subscript"/>
              </w:rPr>
              <w:t>2</w:t>
            </w:r>
            <w:r>
              <w:rPr>
                <w:rFonts w:hint="eastAsia"/>
                <w:sz w:val="24"/>
              </w:rPr>
              <w:t xml:space="preserve"> 0.0351t/a。现有硫化工段硫化件处理量为438万件，本项目建成后，现有硫化工段减少工件处理量约11.2万件，则硫化工段减少的有组织废气污染物排放量为非甲烷总烃0.0001t/a、硫化氢0.00001t/a、SO</w:t>
            </w:r>
            <w:r>
              <w:rPr>
                <w:rFonts w:hint="eastAsia"/>
                <w:sz w:val="24"/>
                <w:vertAlign w:val="subscript"/>
              </w:rPr>
              <w:t>2</w:t>
            </w:r>
            <w:r>
              <w:rPr>
                <w:rFonts w:hint="eastAsia"/>
                <w:sz w:val="24"/>
              </w:rPr>
              <w:t xml:space="preserve"> 0.0009t/a。</w:t>
            </w:r>
          </w:p>
          <w:p w14:paraId="12477949">
            <w:pPr>
              <w:adjustRightInd w:val="0"/>
              <w:snapToGrid w:val="0"/>
              <w:spacing w:line="440" w:lineRule="exact"/>
              <w:ind w:firstLine="480" w:firstLineChars="200"/>
              <w:rPr>
                <w:sz w:val="24"/>
              </w:rPr>
            </w:pPr>
            <w:r>
              <w:rPr>
                <w:rFonts w:hint="eastAsia"/>
                <w:sz w:val="24"/>
              </w:rPr>
              <w:t>根据河南中弘国泰检测技术有限公司2022年4月7日对硫化工段废气治理设施活性炭吸脱附-催化燃烧装置进出口的检测报告，该治理设施对非甲烷总烃的去除效率为91%，根据河南析源环境检测有限公司2023年6月20日对硫化工段废气治理设施活性炭吸脱附-催化燃烧装置进出口的检测报告，该治理设施对硫化氢的去除效率为97.4~97.8%，本次以97.4%计。集气罩收集效率以90%计，则现有硫化工段废气污染物产排量见下表。</w:t>
            </w:r>
          </w:p>
          <w:p w14:paraId="7DA75FF4">
            <w:pPr>
              <w:snapToGrid w:val="0"/>
              <w:spacing w:line="460" w:lineRule="exact"/>
              <w:ind w:firstLine="480" w:firstLineChars="200"/>
              <w:rPr>
                <w:sz w:val="24"/>
              </w:rPr>
            </w:pPr>
            <w:r>
              <w:rPr>
                <w:rFonts w:hint="eastAsia" w:eastAsia="黑体"/>
                <w:sz w:val="24"/>
              </w:rPr>
              <w:t>表36        解放路厂区现有硫化工段废气污染物排放量       单位：t/a</w:t>
            </w:r>
          </w:p>
          <w:tbl>
            <w:tblPr>
              <w:tblStyle w:val="19"/>
              <w:tblW w:w="0" w:type="auto"/>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1170"/>
              <w:gridCol w:w="992"/>
              <w:gridCol w:w="1276"/>
              <w:gridCol w:w="1134"/>
              <w:gridCol w:w="1134"/>
              <w:gridCol w:w="1311"/>
              <w:gridCol w:w="1312"/>
            </w:tblGrid>
            <w:tr w14:paraId="05DB340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70" w:type="dxa"/>
                  <w:vAlign w:val="center"/>
                </w:tcPr>
                <w:p w14:paraId="773D15EF">
                  <w:pPr>
                    <w:adjustRightInd w:val="0"/>
                    <w:snapToGrid w:val="0"/>
                    <w:jc w:val="center"/>
                    <w:rPr>
                      <w:b/>
                      <w:bCs/>
                      <w:szCs w:val="21"/>
                    </w:rPr>
                  </w:pPr>
                  <w:r>
                    <w:rPr>
                      <w:rFonts w:hint="eastAsia"/>
                      <w:b/>
                      <w:bCs/>
                      <w:szCs w:val="21"/>
                    </w:rPr>
                    <w:t>污染物</w:t>
                  </w:r>
                </w:p>
              </w:tc>
              <w:tc>
                <w:tcPr>
                  <w:tcW w:w="992" w:type="dxa"/>
                  <w:vAlign w:val="center"/>
                </w:tcPr>
                <w:p w14:paraId="7D7F6908">
                  <w:pPr>
                    <w:adjustRightInd w:val="0"/>
                    <w:snapToGrid w:val="0"/>
                    <w:jc w:val="center"/>
                    <w:rPr>
                      <w:b/>
                      <w:bCs/>
                      <w:szCs w:val="21"/>
                    </w:rPr>
                  </w:pPr>
                  <w:r>
                    <w:rPr>
                      <w:rFonts w:hint="eastAsia"/>
                      <w:b/>
                      <w:bCs/>
                      <w:szCs w:val="21"/>
                    </w:rPr>
                    <w:t>排放量t/a</w:t>
                  </w:r>
                </w:p>
              </w:tc>
              <w:tc>
                <w:tcPr>
                  <w:tcW w:w="1276" w:type="dxa"/>
                  <w:vAlign w:val="center"/>
                </w:tcPr>
                <w:p w14:paraId="1BED57D0">
                  <w:pPr>
                    <w:adjustRightInd w:val="0"/>
                    <w:snapToGrid w:val="0"/>
                    <w:jc w:val="center"/>
                    <w:rPr>
                      <w:b/>
                      <w:bCs/>
                      <w:szCs w:val="21"/>
                    </w:rPr>
                  </w:pPr>
                  <w:r>
                    <w:rPr>
                      <w:rFonts w:hint="eastAsia"/>
                      <w:b/>
                      <w:bCs/>
                      <w:szCs w:val="21"/>
                    </w:rPr>
                    <w:t>处理效率</w:t>
                  </w:r>
                </w:p>
              </w:tc>
              <w:tc>
                <w:tcPr>
                  <w:tcW w:w="1134" w:type="dxa"/>
                  <w:vAlign w:val="center"/>
                </w:tcPr>
                <w:p w14:paraId="7B4E7C6F">
                  <w:pPr>
                    <w:adjustRightInd w:val="0"/>
                    <w:snapToGrid w:val="0"/>
                    <w:jc w:val="center"/>
                    <w:rPr>
                      <w:b/>
                      <w:bCs/>
                      <w:szCs w:val="21"/>
                    </w:rPr>
                  </w:pPr>
                  <w:r>
                    <w:rPr>
                      <w:rFonts w:hint="eastAsia"/>
                      <w:b/>
                      <w:bCs/>
                      <w:szCs w:val="21"/>
                    </w:rPr>
                    <w:t>收集量t/a</w:t>
                  </w:r>
                </w:p>
              </w:tc>
              <w:tc>
                <w:tcPr>
                  <w:tcW w:w="1134" w:type="dxa"/>
                  <w:vAlign w:val="center"/>
                </w:tcPr>
                <w:p w14:paraId="0D089F2B">
                  <w:pPr>
                    <w:adjustRightInd w:val="0"/>
                    <w:snapToGrid w:val="0"/>
                    <w:jc w:val="center"/>
                    <w:rPr>
                      <w:b/>
                      <w:bCs/>
                      <w:szCs w:val="21"/>
                    </w:rPr>
                  </w:pPr>
                  <w:r>
                    <w:rPr>
                      <w:rFonts w:hint="eastAsia"/>
                      <w:b/>
                      <w:bCs/>
                      <w:szCs w:val="21"/>
                    </w:rPr>
                    <w:t>收集效率</w:t>
                  </w:r>
                </w:p>
              </w:tc>
              <w:tc>
                <w:tcPr>
                  <w:tcW w:w="1311" w:type="dxa"/>
                  <w:vAlign w:val="center"/>
                </w:tcPr>
                <w:p w14:paraId="1918CFFF">
                  <w:pPr>
                    <w:adjustRightInd w:val="0"/>
                    <w:snapToGrid w:val="0"/>
                    <w:jc w:val="center"/>
                    <w:rPr>
                      <w:b/>
                      <w:bCs/>
                      <w:szCs w:val="21"/>
                    </w:rPr>
                  </w:pPr>
                  <w:r>
                    <w:rPr>
                      <w:rFonts w:hint="eastAsia"/>
                      <w:b/>
                      <w:bCs/>
                      <w:szCs w:val="21"/>
                    </w:rPr>
                    <w:t>产生量t/a</w:t>
                  </w:r>
                </w:p>
              </w:tc>
              <w:tc>
                <w:tcPr>
                  <w:tcW w:w="1312" w:type="dxa"/>
                  <w:vAlign w:val="center"/>
                </w:tcPr>
                <w:p w14:paraId="1ECEFD61">
                  <w:pPr>
                    <w:adjustRightInd w:val="0"/>
                    <w:snapToGrid w:val="0"/>
                    <w:jc w:val="center"/>
                    <w:rPr>
                      <w:b/>
                      <w:bCs/>
                      <w:szCs w:val="21"/>
                    </w:rPr>
                  </w:pPr>
                  <w:r>
                    <w:rPr>
                      <w:rFonts w:hint="eastAsia"/>
                      <w:b/>
                      <w:bCs/>
                      <w:szCs w:val="21"/>
                    </w:rPr>
                    <w:t>无组织废气排放量t/a</w:t>
                  </w:r>
                </w:p>
              </w:tc>
            </w:tr>
            <w:tr w14:paraId="20BFC2B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70" w:type="dxa"/>
                  <w:vAlign w:val="center"/>
                </w:tcPr>
                <w:p w14:paraId="4567B673">
                  <w:pPr>
                    <w:adjustRightInd w:val="0"/>
                    <w:snapToGrid w:val="0"/>
                    <w:jc w:val="center"/>
                    <w:rPr>
                      <w:szCs w:val="21"/>
                    </w:rPr>
                  </w:pPr>
                  <w:r>
                    <w:rPr>
                      <w:rFonts w:hint="eastAsia"/>
                      <w:szCs w:val="21"/>
                    </w:rPr>
                    <w:t>非甲烷总烃</w:t>
                  </w:r>
                </w:p>
              </w:tc>
              <w:tc>
                <w:tcPr>
                  <w:tcW w:w="992" w:type="dxa"/>
                  <w:vAlign w:val="center"/>
                </w:tcPr>
                <w:p w14:paraId="36CF45AD">
                  <w:pPr>
                    <w:adjustRightInd w:val="0"/>
                    <w:snapToGrid w:val="0"/>
                    <w:jc w:val="center"/>
                    <w:rPr>
                      <w:szCs w:val="21"/>
                    </w:rPr>
                  </w:pPr>
                  <w:r>
                    <w:rPr>
                      <w:rFonts w:hint="eastAsia"/>
                      <w:szCs w:val="21"/>
                    </w:rPr>
                    <w:t>0.0031</w:t>
                  </w:r>
                </w:p>
              </w:tc>
              <w:tc>
                <w:tcPr>
                  <w:tcW w:w="1276" w:type="dxa"/>
                  <w:vAlign w:val="center"/>
                </w:tcPr>
                <w:p w14:paraId="48B0C6E7">
                  <w:pPr>
                    <w:adjustRightInd w:val="0"/>
                    <w:snapToGrid w:val="0"/>
                    <w:jc w:val="center"/>
                    <w:rPr>
                      <w:szCs w:val="21"/>
                    </w:rPr>
                  </w:pPr>
                  <w:r>
                    <w:rPr>
                      <w:rFonts w:hint="eastAsia"/>
                      <w:szCs w:val="21"/>
                    </w:rPr>
                    <w:t>91%</w:t>
                  </w:r>
                </w:p>
              </w:tc>
              <w:tc>
                <w:tcPr>
                  <w:tcW w:w="1134" w:type="dxa"/>
                  <w:vAlign w:val="center"/>
                </w:tcPr>
                <w:p w14:paraId="40CB6994">
                  <w:pPr>
                    <w:adjustRightInd w:val="0"/>
                    <w:snapToGrid w:val="0"/>
                    <w:jc w:val="center"/>
                    <w:rPr>
                      <w:szCs w:val="21"/>
                    </w:rPr>
                  </w:pPr>
                  <w:r>
                    <w:rPr>
                      <w:rFonts w:hint="eastAsia"/>
                      <w:szCs w:val="21"/>
                    </w:rPr>
                    <w:t>0.0344</w:t>
                  </w:r>
                </w:p>
              </w:tc>
              <w:tc>
                <w:tcPr>
                  <w:tcW w:w="1134" w:type="dxa"/>
                  <w:vMerge w:val="restart"/>
                  <w:vAlign w:val="center"/>
                </w:tcPr>
                <w:p w14:paraId="569E2E8D">
                  <w:pPr>
                    <w:adjustRightInd w:val="0"/>
                    <w:snapToGrid w:val="0"/>
                    <w:jc w:val="center"/>
                    <w:rPr>
                      <w:szCs w:val="21"/>
                    </w:rPr>
                  </w:pPr>
                  <w:r>
                    <w:rPr>
                      <w:rFonts w:hint="eastAsia"/>
                      <w:szCs w:val="21"/>
                    </w:rPr>
                    <w:t>90%</w:t>
                  </w:r>
                </w:p>
              </w:tc>
              <w:tc>
                <w:tcPr>
                  <w:tcW w:w="1311" w:type="dxa"/>
                  <w:vAlign w:val="center"/>
                </w:tcPr>
                <w:p w14:paraId="76012708">
                  <w:pPr>
                    <w:adjustRightInd w:val="0"/>
                    <w:snapToGrid w:val="0"/>
                    <w:jc w:val="center"/>
                    <w:rPr>
                      <w:szCs w:val="21"/>
                    </w:rPr>
                  </w:pPr>
                  <w:r>
                    <w:rPr>
                      <w:rFonts w:hint="eastAsia"/>
                      <w:szCs w:val="21"/>
                    </w:rPr>
                    <w:t>0.0382</w:t>
                  </w:r>
                </w:p>
              </w:tc>
              <w:tc>
                <w:tcPr>
                  <w:tcW w:w="1312" w:type="dxa"/>
                  <w:vAlign w:val="center"/>
                </w:tcPr>
                <w:p w14:paraId="0D6CC49F">
                  <w:pPr>
                    <w:adjustRightInd w:val="0"/>
                    <w:snapToGrid w:val="0"/>
                    <w:jc w:val="center"/>
                    <w:rPr>
                      <w:szCs w:val="21"/>
                    </w:rPr>
                  </w:pPr>
                  <w:r>
                    <w:rPr>
                      <w:rFonts w:hint="eastAsia"/>
                      <w:szCs w:val="21"/>
                    </w:rPr>
                    <w:t>0.0038</w:t>
                  </w:r>
                </w:p>
              </w:tc>
            </w:tr>
            <w:tr w14:paraId="70B2C03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70" w:type="dxa"/>
                  <w:vAlign w:val="center"/>
                </w:tcPr>
                <w:p w14:paraId="779E57E5">
                  <w:pPr>
                    <w:adjustRightInd w:val="0"/>
                    <w:snapToGrid w:val="0"/>
                    <w:jc w:val="center"/>
                    <w:rPr>
                      <w:szCs w:val="21"/>
                    </w:rPr>
                  </w:pPr>
                  <w:r>
                    <w:rPr>
                      <w:rFonts w:hint="eastAsia"/>
                      <w:szCs w:val="21"/>
                    </w:rPr>
                    <w:t>硫化氢</w:t>
                  </w:r>
                </w:p>
              </w:tc>
              <w:tc>
                <w:tcPr>
                  <w:tcW w:w="992" w:type="dxa"/>
                  <w:vAlign w:val="center"/>
                </w:tcPr>
                <w:p w14:paraId="109EF5D7">
                  <w:pPr>
                    <w:adjustRightInd w:val="0"/>
                    <w:snapToGrid w:val="0"/>
                    <w:jc w:val="center"/>
                    <w:rPr>
                      <w:szCs w:val="21"/>
                    </w:rPr>
                  </w:pPr>
                  <w:r>
                    <w:rPr>
                      <w:rFonts w:hint="eastAsia"/>
                      <w:szCs w:val="21"/>
                    </w:rPr>
                    <w:t>0.0005</w:t>
                  </w:r>
                </w:p>
              </w:tc>
              <w:tc>
                <w:tcPr>
                  <w:tcW w:w="1276" w:type="dxa"/>
                  <w:vAlign w:val="center"/>
                </w:tcPr>
                <w:p w14:paraId="3D49E025">
                  <w:pPr>
                    <w:adjustRightInd w:val="0"/>
                    <w:snapToGrid w:val="0"/>
                    <w:jc w:val="center"/>
                    <w:rPr>
                      <w:szCs w:val="21"/>
                    </w:rPr>
                  </w:pPr>
                  <w:r>
                    <w:rPr>
                      <w:rFonts w:hint="eastAsia"/>
                      <w:szCs w:val="21"/>
                    </w:rPr>
                    <w:t>97.4%</w:t>
                  </w:r>
                </w:p>
              </w:tc>
              <w:tc>
                <w:tcPr>
                  <w:tcW w:w="1134" w:type="dxa"/>
                  <w:vAlign w:val="center"/>
                </w:tcPr>
                <w:p w14:paraId="5628B745">
                  <w:pPr>
                    <w:adjustRightInd w:val="0"/>
                    <w:snapToGrid w:val="0"/>
                    <w:jc w:val="center"/>
                    <w:rPr>
                      <w:szCs w:val="21"/>
                    </w:rPr>
                  </w:pPr>
                  <w:r>
                    <w:rPr>
                      <w:rFonts w:hint="eastAsia"/>
                      <w:szCs w:val="21"/>
                    </w:rPr>
                    <w:t>0.0192</w:t>
                  </w:r>
                </w:p>
              </w:tc>
              <w:tc>
                <w:tcPr>
                  <w:tcW w:w="1134" w:type="dxa"/>
                  <w:vMerge w:val="continue"/>
                  <w:vAlign w:val="center"/>
                </w:tcPr>
                <w:p w14:paraId="730BA502">
                  <w:pPr>
                    <w:adjustRightInd w:val="0"/>
                    <w:snapToGrid w:val="0"/>
                    <w:jc w:val="center"/>
                    <w:rPr>
                      <w:szCs w:val="21"/>
                    </w:rPr>
                  </w:pPr>
                </w:p>
              </w:tc>
              <w:tc>
                <w:tcPr>
                  <w:tcW w:w="1311" w:type="dxa"/>
                  <w:vAlign w:val="center"/>
                </w:tcPr>
                <w:p w14:paraId="1C14B92C">
                  <w:pPr>
                    <w:adjustRightInd w:val="0"/>
                    <w:snapToGrid w:val="0"/>
                    <w:jc w:val="center"/>
                    <w:rPr>
                      <w:szCs w:val="21"/>
                    </w:rPr>
                  </w:pPr>
                  <w:r>
                    <w:rPr>
                      <w:rFonts w:hint="eastAsia"/>
                      <w:szCs w:val="21"/>
                    </w:rPr>
                    <w:t>0.0213</w:t>
                  </w:r>
                </w:p>
              </w:tc>
              <w:tc>
                <w:tcPr>
                  <w:tcW w:w="1312" w:type="dxa"/>
                  <w:vAlign w:val="center"/>
                </w:tcPr>
                <w:p w14:paraId="20C640DA">
                  <w:pPr>
                    <w:adjustRightInd w:val="0"/>
                    <w:snapToGrid w:val="0"/>
                    <w:jc w:val="center"/>
                    <w:rPr>
                      <w:szCs w:val="21"/>
                    </w:rPr>
                  </w:pPr>
                  <w:r>
                    <w:rPr>
                      <w:rFonts w:hint="eastAsia"/>
                      <w:szCs w:val="21"/>
                    </w:rPr>
                    <w:t>0.0021</w:t>
                  </w:r>
                </w:p>
              </w:tc>
            </w:tr>
          </w:tbl>
          <w:p w14:paraId="7293D1C8">
            <w:pPr>
              <w:adjustRightInd w:val="0"/>
              <w:snapToGrid w:val="0"/>
              <w:spacing w:line="460" w:lineRule="exact"/>
              <w:ind w:firstLine="480" w:firstLineChars="200"/>
              <w:rPr>
                <w:sz w:val="24"/>
              </w:rPr>
            </w:pPr>
            <w:r>
              <w:rPr>
                <w:rFonts w:hint="eastAsia"/>
                <w:sz w:val="24"/>
              </w:rPr>
              <w:t>现有硫化工段硫化件处理量为438万件，本项目建成后，现有硫化工段减少工件处理量约11.2万件，则硫化工段减少的无组织废气污染物排放量为非甲烷总烃0.0001t/a、硫化氢0.00005t/a。</w:t>
            </w:r>
          </w:p>
          <w:p w14:paraId="5EFEF139">
            <w:pPr>
              <w:adjustRightInd w:val="0"/>
              <w:snapToGrid w:val="0"/>
              <w:spacing w:line="460" w:lineRule="exact"/>
              <w:ind w:firstLine="480" w:firstLineChars="200"/>
              <w:rPr>
                <w:sz w:val="24"/>
              </w:rPr>
            </w:pPr>
            <w:r>
              <w:rPr>
                <w:rFonts w:hint="eastAsia"/>
                <w:sz w:val="24"/>
              </w:rPr>
              <w:t>综上，建设路厂区污染物以新带老削减量为非甲烷总烃0.0052t/a、COD 0.005t/a、氨氮0.0005t/a、TP 0.00005t/a、TN 0.0015t/a；解放路厂区废气污染物以新带老削减量为非甲烷总烃0.0002t/a、硫化氢0.00006t/a、SO</w:t>
            </w:r>
            <w:r>
              <w:rPr>
                <w:rFonts w:hint="eastAsia"/>
                <w:sz w:val="24"/>
                <w:vertAlign w:val="subscript"/>
              </w:rPr>
              <w:t>2</w:t>
            </w:r>
            <w:r>
              <w:rPr>
                <w:rFonts w:hint="eastAsia"/>
                <w:sz w:val="24"/>
              </w:rPr>
              <w:t xml:space="preserve"> 0.0009t/a。</w:t>
            </w:r>
          </w:p>
          <w:p w14:paraId="1976F49F">
            <w:pPr>
              <w:spacing w:line="460" w:lineRule="exact"/>
              <w:ind w:firstLine="480" w:firstLineChars="200"/>
              <w:rPr>
                <w:sz w:val="24"/>
              </w:rPr>
            </w:pPr>
          </w:p>
          <w:p w14:paraId="6FE0B560">
            <w:pPr>
              <w:spacing w:line="460" w:lineRule="exact"/>
              <w:ind w:firstLine="480" w:firstLineChars="200"/>
              <w:rPr>
                <w:sz w:val="24"/>
              </w:rPr>
            </w:pPr>
          </w:p>
          <w:p w14:paraId="1C8552C3">
            <w:pPr>
              <w:spacing w:line="460" w:lineRule="exact"/>
              <w:ind w:firstLine="480" w:firstLineChars="200"/>
              <w:rPr>
                <w:sz w:val="24"/>
              </w:rPr>
            </w:pPr>
          </w:p>
          <w:p w14:paraId="0B230635">
            <w:pPr>
              <w:spacing w:line="460" w:lineRule="exact"/>
              <w:ind w:firstLine="480" w:firstLineChars="200"/>
              <w:rPr>
                <w:sz w:val="24"/>
              </w:rPr>
            </w:pPr>
          </w:p>
          <w:p w14:paraId="18D97FFC">
            <w:pPr>
              <w:spacing w:line="460" w:lineRule="exact"/>
              <w:ind w:firstLine="480" w:firstLineChars="200"/>
              <w:rPr>
                <w:sz w:val="24"/>
              </w:rPr>
            </w:pPr>
          </w:p>
          <w:p w14:paraId="50EAE5F9">
            <w:pPr>
              <w:spacing w:line="460" w:lineRule="exact"/>
              <w:ind w:firstLine="480" w:firstLineChars="200"/>
              <w:rPr>
                <w:sz w:val="24"/>
              </w:rPr>
            </w:pPr>
          </w:p>
          <w:p w14:paraId="47FB5C1B">
            <w:pPr>
              <w:spacing w:line="460" w:lineRule="exact"/>
              <w:ind w:firstLine="480" w:firstLineChars="200"/>
              <w:rPr>
                <w:sz w:val="24"/>
              </w:rPr>
            </w:pPr>
          </w:p>
          <w:p w14:paraId="32E578FF">
            <w:pPr>
              <w:spacing w:line="460" w:lineRule="exact"/>
              <w:ind w:firstLine="480" w:firstLineChars="200"/>
              <w:rPr>
                <w:sz w:val="24"/>
              </w:rPr>
            </w:pPr>
          </w:p>
          <w:p w14:paraId="6557CA78">
            <w:pPr>
              <w:spacing w:line="460" w:lineRule="exact"/>
              <w:ind w:firstLine="480" w:firstLineChars="200"/>
              <w:rPr>
                <w:sz w:val="24"/>
              </w:rPr>
            </w:pPr>
          </w:p>
          <w:p w14:paraId="73FF3D93">
            <w:pPr>
              <w:spacing w:line="460" w:lineRule="exact"/>
              <w:ind w:firstLine="480" w:firstLineChars="200"/>
              <w:rPr>
                <w:sz w:val="24"/>
              </w:rPr>
            </w:pPr>
          </w:p>
          <w:p w14:paraId="21EA2465">
            <w:pPr>
              <w:spacing w:line="460" w:lineRule="exact"/>
              <w:ind w:firstLine="480" w:firstLineChars="200"/>
              <w:rPr>
                <w:sz w:val="24"/>
              </w:rPr>
            </w:pPr>
          </w:p>
          <w:p w14:paraId="7066B964">
            <w:pPr>
              <w:spacing w:line="460" w:lineRule="exact"/>
              <w:ind w:firstLine="480" w:firstLineChars="200"/>
              <w:rPr>
                <w:sz w:val="24"/>
              </w:rPr>
            </w:pPr>
          </w:p>
          <w:p w14:paraId="2FE33594">
            <w:pPr>
              <w:spacing w:line="460" w:lineRule="exact"/>
              <w:ind w:firstLine="480" w:firstLineChars="200"/>
              <w:rPr>
                <w:sz w:val="24"/>
              </w:rPr>
            </w:pPr>
          </w:p>
          <w:p w14:paraId="30531C7D">
            <w:pPr>
              <w:spacing w:line="460" w:lineRule="exact"/>
              <w:ind w:firstLine="480" w:firstLineChars="200"/>
              <w:rPr>
                <w:sz w:val="24"/>
              </w:rPr>
            </w:pPr>
          </w:p>
          <w:p w14:paraId="55613404">
            <w:pPr>
              <w:spacing w:line="460" w:lineRule="exact"/>
              <w:ind w:firstLine="480" w:firstLineChars="200"/>
              <w:rPr>
                <w:sz w:val="24"/>
              </w:rPr>
            </w:pPr>
          </w:p>
          <w:p w14:paraId="0AC7BB9F">
            <w:pPr>
              <w:spacing w:line="460" w:lineRule="exact"/>
              <w:ind w:firstLine="480" w:firstLineChars="200"/>
              <w:rPr>
                <w:sz w:val="24"/>
              </w:rPr>
            </w:pPr>
          </w:p>
          <w:p w14:paraId="5753B0A7">
            <w:pPr>
              <w:spacing w:line="460" w:lineRule="exact"/>
              <w:ind w:firstLine="480" w:firstLineChars="200"/>
              <w:rPr>
                <w:sz w:val="24"/>
              </w:rPr>
            </w:pPr>
          </w:p>
          <w:p w14:paraId="453469F2">
            <w:pPr>
              <w:spacing w:line="460" w:lineRule="exact"/>
              <w:ind w:firstLine="480" w:firstLineChars="200"/>
              <w:rPr>
                <w:sz w:val="24"/>
              </w:rPr>
            </w:pPr>
          </w:p>
          <w:p w14:paraId="230C4E08">
            <w:pPr>
              <w:spacing w:line="460" w:lineRule="exact"/>
              <w:ind w:firstLine="480" w:firstLineChars="200"/>
              <w:rPr>
                <w:sz w:val="24"/>
              </w:rPr>
            </w:pPr>
          </w:p>
          <w:p w14:paraId="664798BE">
            <w:pPr>
              <w:spacing w:line="460" w:lineRule="exact"/>
              <w:ind w:firstLine="300" w:firstLineChars="200"/>
              <w:rPr>
                <w:rFonts w:hint="eastAsia" w:ascii="黑体" w:hAnsi="黑体" w:eastAsia="黑体"/>
                <w:snapToGrid w:val="0"/>
                <w:sz w:val="15"/>
                <w:szCs w:val="15"/>
                <w:highlight w:val="yellow"/>
              </w:rPr>
            </w:pPr>
          </w:p>
          <w:p w14:paraId="075005A3">
            <w:pPr>
              <w:spacing w:line="460" w:lineRule="exact"/>
              <w:ind w:firstLine="300" w:firstLineChars="200"/>
              <w:rPr>
                <w:rFonts w:hint="eastAsia" w:ascii="黑体" w:hAnsi="黑体" w:eastAsia="黑体"/>
                <w:snapToGrid w:val="0"/>
                <w:sz w:val="15"/>
                <w:szCs w:val="15"/>
                <w:highlight w:val="yellow"/>
              </w:rPr>
            </w:pPr>
          </w:p>
          <w:p w14:paraId="520ABE82">
            <w:pPr>
              <w:spacing w:line="460" w:lineRule="exact"/>
              <w:ind w:firstLine="300" w:firstLineChars="200"/>
              <w:rPr>
                <w:rFonts w:hint="eastAsia" w:ascii="黑体" w:hAnsi="黑体" w:eastAsia="黑体"/>
                <w:snapToGrid w:val="0"/>
                <w:sz w:val="15"/>
                <w:szCs w:val="15"/>
                <w:highlight w:val="yellow"/>
              </w:rPr>
            </w:pPr>
          </w:p>
        </w:tc>
      </w:tr>
    </w:tbl>
    <w:p w14:paraId="520ABE84">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pPr>
    </w:p>
    <w:p w14:paraId="520ABE85">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sectPr>
          <w:pgSz w:w="11906" w:h="16838"/>
          <w:pgMar w:top="1701" w:right="1531" w:bottom="1701" w:left="1531" w:header="851" w:footer="851" w:gutter="0"/>
          <w:cols w:space="720" w:num="1"/>
          <w:docGrid w:linePitch="312" w:charSpace="0"/>
        </w:sectPr>
      </w:pPr>
    </w:p>
    <w:p w14:paraId="520ABE86">
      <w:pPr>
        <w:pStyle w:val="16"/>
        <w:jc w:val="center"/>
        <w:outlineLvl w:val="0"/>
        <w:rPr>
          <w:rFonts w:hint="eastAsia" w:ascii="黑体" w:hAnsi="黑体" w:eastAsia="黑体"/>
          <w:snapToGrid w:val="0"/>
          <w:sz w:val="30"/>
          <w:szCs w:val="30"/>
        </w:rPr>
      </w:pPr>
      <w:r>
        <w:rPr>
          <w:rFonts w:hint="eastAsia" w:ascii="黑体" w:hAnsi="黑体" w:eastAsia="黑体"/>
          <w:snapToGrid w:val="0"/>
          <w:sz w:val="30"/>
          <w:szCs w:val="30"/>
        </w:rPr>
        <w:t>三、区域环境质量现状、环境保护目标及评价标准</w:t>
      </w:r>
    </w:p>
    <w:tbl>
      <w:tblPr>
        <w:tblStyle w:val="1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0"/>
        <w:gridCol w:w="8190"/>
      </w:tblGrid>
      <w:tr w14:paraId="520AC0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800" w:type="dxa"/>
            <w:vAlign w:val="center"/>
          </w:tcPr>
          <w:p w14:paraId="520ABE87">
            <w:pPr>
              <w:adjustRightInd w:val="0"/>
              <w:snapToGrid w:val="0"/>
              <w:jc w:val="center"/>
              <w:rPr>
                <w:rFonts w:hint="eastAsia" w:ascii="宋体" w:hAnsi="宋体" w:cs="宋体"/>
                <w:kern w:val="0"/>
                <w:szCs w:val="21"/>
              </w:rPr>
            </w:pPr>
            <w:r>
              <w:rPr>
                <w:rFonts w:hint="eastAsia" w:ascii="宋体" w:hAnsi="宋体" w:cs="宋体"/>
                <w:kern w:val="0"/>
                <w:szCs w:val="21"/>
              </w:rPr>
              <w:t>区域</w:t>
            </w:r>
          </w:p>
          <w:p w14:paraId="520ABE88">
            <w:pPr>
              <w:adjustRightInd w:val="0"/>
              <w:snapToGrid w:val="0"/>
              <w:jc w:val="center"/>
              <w:rPr>
                <w:rFonts w:hint="eastAsia" w:ascii="宋体" w:hAnsi="宋体" w:cs="宋体"/>
                <w:kern w:val="0"/>
                <w:szCs w:val="21"/>
              </w:rPr>
            </w:pPr>
            <w:r>
              <w:rPr>
                <w:rFonts w:hint="eastAsia" w:ascii="宋体" w:hAnsi="宋体" w:cs="宋体"/>
                <w:kern w:val="0"/>
                <w:szCs w:val="21"/>
              </w:rPr>
              <w:t>环境</w:t>
            </w:r>
          </w:p>
          <w:p w14:paraId="520ABE89">
            <w:pPr>
              <w:adjustRightInd w:val="0"/>
              <w:snapToGrid w:val="0"/>
              <w:jc w:val="center"/>
              <w:rPr>
                <w:rFonts w:hint="eastAsia" w:ascii="宋体" w:hAnsi="宋体" w:cs="宋体"/>
                <w:kern w:val="0"/>
                <w:szCs w:val="21"/>
              </w:rPr>
            </w:pPr>
            <w:r>
              <w:rPr>
                <w:rFonts w:hint="eastAsia" w:ascii="宋体" w:hAnsi="宋体" w:cs="宋体"/>
                <w:kern w:val="0"/>
                <w:szCs w:val="21"/>
              </w:rPr>
              <w:t>质量</w:t>
            </w:r>
          </w:p>
          <w:p w14:paraId="520ABE8A">
            <w:pPr>
              <w:adjustRightInd w:val="0"/>
              <w:snapToGrid w:val="0"/>
              <w:jc w:val="center"/>
              <w:rPr>
                <w:rFonts w:hint="eastAsia" w:ascii="宋体" w:hAnsi="宋体" w:cs="宋体"/>
                <w:kern w:val="0"/>
                <w:szCs w:val="21"/>
                <w:highlight w:val="yellow"/>
              </w:rPr>
            </w:pPr>
            <w:r>
              <w:rPr>
                <w:rFonts w:hint="eastAsia" w:ascii="宋体" w:hAnsi="宋体" w:cs="宋体"/>
                <w:kern w:val="0"/>
                <w:szCs w:val="21"/>
              </w:rPr>
              <w:t>现状</w:t>
            </w:r>
          </w:p>
        </w:tc>
        <w:tc>
          <w:tcPr>
            <w:tcW w:w="8190" w:type="dxa"/>
            <w:vAlign w:val="center"/>
          </w:tcPr>
          <w:p w14:paraId="520ABE8B">
            <w:pPr>
              <w:adjustRightInd w:val="0"/>
              <w:snapToGrid w:val="0"/>
              <w:spacing w:line="460" w:lineRule="exact"/>
              <w:rPr>
                <w:sz w:val="24"/>
              </w:rPr>
            </w:pPr>
            <w:r>
              <w:rPr>
                <w:sz w:val="24"/>
              </w:rPr>
              <w:t>根据现有环境监测资料，建设项目所在地环境质量状况如下：</w:t>
            </w:r>
          </w:p>
          <w:p w14:paraId="520ABE8C">
            <w:pPr>
              <w:adjustRightInd w:val="0"/>
              <w:snapToGrid w:val="0"/>
              <w:spacing w:line="460" w:lineRule="exact"/>
              <w:ind w:firstLine="482" w:firstLineChars="200"/>
              <w:rPr>
                <w:b/>
                <w:sz w:val="24"/>
              </w:rPr>
            </w:pPr>
            <w:r>
              <w:rPr>
                <w:b/>
                <w:sz w:val="24"/>
              </w:rPr>
              <w:t>1、环境空气质量现状</w:t>
            </w:r>
          </w:p>
          <w:p w14:paraId="520ABE8D">
            <w:pPr>
              <w:adjustRightInd w:val="0"/>
              <w:snapToGrid w:val="0"/>
              <w:spacing w:line="460" w:lineRule="exact"/>
              <w:ind w:firstLine="480" w:firstLineChars="200"/>
              <w:rPr>
                <w:sz w:val="24"/>
              </w:rPr>
            </w:pPr>
            <w:r>
              <w:rPr>
                <w:sz w:val="24"/>
              </w:rPr>
              <w:t>根据大气功能区划分原则，建设项目所在地为二类功能区，环境空气质量应执行《环境空气质量标准》（GB3095-2012）二级标准。根据新乡市生态环境局发布的</w:t>
            </w:r>
            <w:r>
              <w:rPr>
                <w:rFonts w:hint="eastAsia"/>
                <w:sz w:val="24"/>
              </w:rPr>
              <w:t>《202</w:t>
            </w:r>
            <w:r>
              <w:rPr>
                <w:sz w:val="24"/>
              </w:rPr>
              <w:t>4</w:t>
            </w:r>
            <w:r>
              <w:rPr>
                <w:rFonts w:hint="eastAsia"/>
                <w:sz w:val="24"/>
              </w:rPr>
              <w:t>年新乡市环境质量公报》</w:t>
            </w:r>
            <w:r>
              <w:rPr>
                <w:sz w:val="24"/>
              </w:rPr>
              <w:t>，区域空气质量现状数据如下表所示。</w:t>
            </w:r>
          </w:p>
          <w:p w14:paraId="520ABE8E">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37</w:t>
            </w:r>
            <w:r>
              <w:rPr>
                <w:rFonts w:eastAsia="黑体"/>
                <w:sz w:val="24"/>
              </w:rPr>
              <w:t xml:space="preserve">               区域空气质量现状评价表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806"/>
              <w:gridCol w:w="1761"/>
              <w:gridCol w:w="1701"/>
              <w:gridCol w:w="1570"/>
              <w:gridCol w:w="1134"/>
              <w:gridCol w:w="1002"/>
            </w:tblGrid>
            <w:tr w14:paraId="520ABE9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806" w:type="dxa"/>
                  <w:tcMar>
                    <w:top w:w="0" w:type="dxa"/>
                    <w:left w:w="28" w:type="dxa"/>
                    <w:bottom w:w="0" w:type="dxa"/>
                    <w:right w:w="28" w:type="dxa"/>
                  </w:tcMar>
                  <w:vAlign w:val="center"/>
                </w:tcPr>
                <w:p w14:paraId="520ABE8F">
                  <w:pPr>
                    <w:autoSpaceDE w:val="0"/>
                    <w:autoSpaceDN w:val="0"/>
                    <w:adjustRightInd w:val="0"/>
                    <w:snapToGrid w:val="0"/>
                    <w:contextualSpacing/>
                    <w:jc w:val="center"/>
                    <w:rPr>
                      <w:b/>
                      <w:szCs w:val="21"/>
                    </w:rPr>
                  </w:pPr>
                  <w:r>
                    <w:rPr>
                      <w:b/>
                      <w:szCs w:val="21"/>
                    </w:rPr>
                    <w:t>污染物</w:t>
                  </w:r>
                </w:p>
              </w:tc>
              <w:tc>
                <w:tcPr>
                  <w:tcW w:w="1761" w:type="dxa"/>
                  <w:tcMar>
                    <w:top w:w="0" w:type="dxa"/>
                    <w:left w:w="28" w:type="dxa"/>
                    <w:bottom w:w="0" w:type="dxa"/>
                    <w:right w:w="28" w:type="dxa"/>
                  </w:tcMar>
                  <w:vAlign w:val="center"/>
                </w:tcPr>
                <w:p w14:paraId="520ABE90">
                  <w:pPr>
                    <w:autoSpaceDE w:val="0"/>
                    <w:autoSpaceDN w:val="0"/>
                    <w:adjustRightInd w:val="0"/>
                    <w:snapToGrid w:val="0"/>
                    <w:contextualSpacing/>
                    <w:jc w:val="center"/>
                    <w:rPr>
                      <w:b/>
                      <w:szCs w:val="21"/>
                    </w:rPr>
                  </w:pPr>
                  <w:r>
                    <w:rPr>
                      <w:b/>
                      <w:szCs w:val="21"/>
                    </w:rPr>
                    <w:t>年评价指标</w:t>
                  </w:r>
                </w:p>
              </w:tc>
              <w:tc>
                <w:tcPr>
                  <w:tcW w:w="1701" w:type="dxa"/>
                  <w:tcMar>
                    <w:top w:w="0" w:type="dxa"/>
                    <w:left w:w="28" w:type="dxa"/>
                    <w:bottom w:w="0" w:type="dxa"/>
                    <w:right w:w="28" w:type="dxa"/>
                  </w:tcMar>
                  <w:vAlign w:val="center"/>
                </w:tcPr>
                <w:p w14:paraId="520ABE91">
                  <w:pPr>
                    <w:autoSpaceDE w:val="0"/>
                    <w:autoSpaceDN w:val="0"/>
                    <w:adjustRightInd w:val="0"/>
                    <w:snapToGrid w:val="0"/>
                    <w:contextualSpacing/>
                    <w:jc w:val="center"/>
                    <w:rPr>
                      <w:b/>
                      <w:szCs w:val="21"/>
                    </w:rPr>
                  </w:pPr>
                  <w:r>
                    <w:rPr>
                      <w:b/>
                      <w:szCs w:val="21"/>
                    </w:rPr>
                    <w:t>现状浓度/</w:t>
                  </w:r>
                  <w:r>
                    <w:rPr>
                      <w:rFonts w:hint="eastAsia"/>
                      <w:b/>
                      <w:szCs w:val="21"/>
                    </w:rPr>
                    <w:t>(</w:t>
                  </w:r>
                  <w:r>
                    <w:rPr>
                      <w:b/>
                      <w:szCs w:val="21"/>
                    </w:rPr>
                    <w:t>μg/m</w:t>
                  </w:r>
                  <w:r>
                    <w:rPr>
                      <w:b/>
                      <w:szCs w:val="21"/>
                      <w:vertAlign w:val="superscript"/>
                    </w:rPr>
                    <w:t>3</w:t>
                  </w:r>
                  <w:r>
                    <w:rPr>
                      <w:rFonts w:hint="eastAsia"/>
                      <w:b/>
                      <w:szCs w:val="21"/>
                    </w:rPr>
                    <w:t>)</w:t>
                  </w:r>
                </w:p>
              </w:tc>
              <w:tc>
                <w:tcPr>
                  <w:tcW w:w="1570" w:type="dxa"/>
                  <w:tcMar>
                    <w:top w:w="0" w:type="dxa"/>
                    <w:left w:w="28" w:type="dxa"/>
                    <w:bottom w:w="0" w:type="dxa"/>
                    <w:right w:w="28" w:type="dxa"/>
                  </w:tcMar>
                  <w:vAlign w:val="center"/>
                </w:tcPr>
                <w:p w14:paraId="520ABE92">
                  <w:pPr>
                    <w:autoSpaceDE w:val="0"/>
                    <w:autoSpaceDN w:val="0"/>
                    <w:adjustRightInd w:val="0"/>
                    <w:snapToGrid w:val="0"/>
                    <w:contextualSpacing/>
                    <w:jc w:val="center"/>
                    <w:rPr>
                      <w:b/>
                      <w:szCs w:val="21"/>
                    </w:rPr>
                  </w:pPr>
                  <w:r>
                    <w:rPr>
                      <w:b/>
                      <w:szCs w:val="21"/>
                    </w:rPr>
                    <w:t>标准值/</w:t>
                  </w:r>
                  <w:r>
                    <w:rPr>
                      <w:rFonts w:hint="eastAsia"/>
                      <w:b/>
                      <w:szCs w:val="21"/>
                    </w:rPr>
                    <w:t>(</w:t>
                  </w:r>
                  <w:r>
                    <w:rPr>
                      <w:b/>
                      <w:bCs/>
                      <w:szCs w:val="21"/>
                    </w:rPr>
                    <w:t>μ</w:t>
                  </w:r>
                  <w:r>
                    <w:rPr>
                      <w:b/>
                      <w:szCs w:val="21"/>
                    </w:rPr>
                    <w:t>g/m</w:t>
                  </w:r>
                  <w:r>
                    <w:rPr>
                      <w:b/>
                      <w:szCs w:val="21"/>
                      <w:vertAlign w:val="superscript"/>
                    </w:rPr>
                    <w:t>3</w:t>
                  </w:r>
                  <w:r>
                    <w:rPr>
                      <w:rFonts w:hint="eastAsia"/>
                      <w:b/>
                      <w:szCs w:val="21"/>
                    </w:rPr>
                    <w:t>)</w:t>
                  </w:r>
                </w:p>
              </w:tc>
              <w:tc>
                <w:tcPr>
                  <w:tcW w:w="1134" w:type="dxa"/>
                  <w:tcMar>
                    <w:top w:w="0" w:type="dxa"/>
                    <w:left w:w="28" w:type="dxa"/>
                    <w:bottom w:w="0" w:type="dxa"/>
                    <w:right w:w="28" w:type="dxa"/>
                  </w:tcMar>
                  <w:vAlign w:val="center"/>
                </w:tcPr>
                <w:p w14:paraId="520ABE93">
                  <w:pPr>
                    <w:autoSpaceDE w:val="0"/>
                    <w:autoSpaceDN w:val="0"/>
                    <w:adjustRightInd w:val="0"/>
                    <w:snapToGrid w:val="0"/>
                    <w:contextualSpacing/>
                    <w:jc w:val="center"/>
                    <w:rPr>
                      <w:b/>
                      <w:szCs w:val="21"/>
                    </w:rPr>
                  </w:pPr>
                  <w:r>
                    <w:rPr>
                      <w:b/>
                      <w:szCs w:val="21"/>
                    </w:rPr>
                    <w:t>占标率/%</w:t>
                  </w:r>
                </w:p>
              </w:tc>
              <w:tc>
                <w:tcPr>
                  <w:tcW w:w="1002" w:type="dxa"/>
                  <w:tcMar>
                    <w:top w:w="0" w:type="dxa"/>
                    <w:left w:w="28" w:type="dxa"/>
                    <w:bottom w:w="0" w:type="dxa"/>
                    <w:right w:w="28" w:type="dxa"/>
                  </w:tcMar>
                  <w:vAlign w:val="center"/>
                </w:tcPr>
                <w:p w14:paraId="520ABE94">
                  <w:pPr>
                    <w:autoSpaceDE w:val="0"/>
                    <w:autoSpaceDN w:val="0"/>
                    <w:adjustRightInd w:val="0"/>
                    <w:snapToGrid w:val="0"/>
                    <w:contextualSpacing/>
                    <w:jc w:val="center"/>
                    <w:rPr>
                      <w:b/>
                      <w:szCs w:val="21"/>
                    </w:rPr>
                  </w:pPr>
                  <w:r>
                    <w:rPr>
                      <w:b/>
                      <w:szCs w:val="21"/>
                    </w:rPr>
                    <w:t>达标情况</w:t>
                  </w:r>
                </w:p>
              </w:tc>
            </w:tr>
            <w:tr w14:paraId="520ABE9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806" w:type="dxa"/>
                  <w:tcMar>
                    <w:top w:w="0" w:type="dxa"/>
                    <w:left w:w="28" w:type="dxa"/>
                    <w:bottom w:w="0" w:type="dxa"/>
                    <w:right w:w="28" w:type="dxa"/>
                  </w:tcMar>
                  <w:vAlign w:val="center"/>
                </w:tcPr>
                <w:p w14:paraId="520ABE96">
                  <w:pPr>
                    <w:autoSpaceDE w:val="0"/>
                    <w:autoSpaceDN w:val="0"/>
                    <w:adjustRightInd w:val="0"/>
                    <w:snapToGrid w:val="0"/>
                    <w:contextualSpacing/>
                    <w:jc w:val="center"/>
                    <w:rPr>
                      <w:szCs w:val="21"/>
                    </w:rPr>
                  </w:pPr>
                  <w:r>
                    <w:rPr>
                      <w:szCs w:val="21"/>
                    </w:rPr>
                    <w:t>PM</w:t>
                  </w:r>
                  <w:r>
                    <w:rPr>
                      <w:szCs w:val="21"/>
                      <w:vertAlign w:val="subscript"/>
                    </w:rPr>
                    <w:t>10</w:t>
                  </w:r>
                </w:p>
              </w:tc>
              <w:tc>
                <w:tcPr>
                  <w:tcW w:w="1761" w:type="dxa"/>
                  <w:tcMar>
                    <w:top w:w="0" w:type="dxa"/>
                    <w:left w:w="28" w:type="dxa"/>
                    <w:bottom w:w="0" w:type="dxa"/>
                    <w:right w:w="28" w:type="dxa"/>
                  </w:tcMar>
                  <w:vAlign w:val="center"/>
                </w:tcPr>
                <w:p w14:paraId="520ABE97">
                  <w:pPr>
                    <w:overflowPunct w:val="0"/>
                    <w:autoSpaceDE w:val="0"/>
                    <w:autoSpaceDN w:val="0"/>
                    <w:adjustRightInd w:val="0"/>
                    <w:contextualSpacing/>
                    <w:jc w:val="center"/>
                    <w:rPr>
                      <w:szCs w:val="21"/>
                    </w:rPr>
                  </w:pPr>
                  <w:r>
                    <w:rPr>
                      <w:szCs w:val="21"/>
                    </w:rPr>
                    <w:t>年平均质量浓度</w:t>
                  </w:r>
                </w:p>
              </w:tc>
              <w:tc>
                <w:tcPr>
                  <w:tcW w:w="1701" w:type="dxa"/>
                  <w:tcMar>
                    <w:top w:w="0" w:type="dxa"/>
                    <w:left w:w="28" w:type="dxa"/>
                    <w:bottom w:w="0" w:type="dxa"/>
                    <w:right w:w="28" w:type="dxa"/>
                  </w:tcMar>
                  <w:vAlign w:val="center"/>
                </w:tcPr>
                <w:p w14:paraId="520ABE98">
                  <w:pPr>
                    <w:autoSpaceDE w:val="0"/>
                    <w:autoSpaceDN w:val="0"/>
                    <w:adjustRightInd w:val="0"/>
                    <w:snapToGrid w:val="0"/>
                    <w:contextualSpacing/>
                    <w:jc w:val="center"/>
                    <w:rPr>
                      <w:szCs w:val="21"/>
                    </w:rPr>
                  </w:pPr>
                  <w:r>
                    <w:rPr>
                      <w:rFonts w:hint="eastAsia"/>
                    </w:rPr>
                    <w:t>82</w:t>
                  </w:r>
                </w:p>
              </w:tc>
              <w:tc>
                <w:tcPr>
                  <w:tcW w:w="1570" w:type="dxa"/>
                  <w:tcMar>
                    <w:top w:w="0" w:type="dxa"/>
                    <w:left w:w="28" w:type="dxa"/>
                    <w:bottom w:w="0" w:type="dxa"/>
                    <w:right w:w="28" w:type="dxa"/>
                  </w:tcMar>
                  <w:vAlign w:val="center"/>
                </w:tcPr>
                <w:p w14:paraId="520ABE99">
                  <w:pPr>
                    <w:autoSpaceDE w:val="0"/>
                    <w:autoSpaceDN w:val="0"/>
                    <w:adjustRightInd w:val="0"/>
                    <w:snapToGrid w:val="0"/>
                    <w:contextualSpacing/>
                    <w:jc w:val="center"/>
                    <w:rPr>
                      <w:szCs w:val="21"/>
                    </w:rPr>
                  </w:pPr>
                  <w:r>
                    <w:t>70</w:t>
                  </w:r>
                </w:p>
              </w:tc>
              <w:tc>
                <w:tcPr>
                  <w:tcW w:w="1134" w:type="dxa"/>
                  <w:tcMar>
                    <w:top w:w="0" w:type="dxa"/>
                    <w:left w:w="28" w:type="dxa"/>
                    <w:bottom w:w="0" w:type="dxa"/>
                    <w:right w:w="28" w:type="dxa"/>
                  </w:tcMar>
                  <w:vAlign w:val="center"/>
                </w:tcPr>
                <w:p w14:paraId="520ABE9A">
                  <w:pPr>
                    <w:autoSpaceDE w:val="0"/>
                    <w:autoSpaceDN w:val="0"/>
                    <w:adjustRightInd w:val="0"/>
                    <w:snapToGrid w:val="0"/>
                    <w:contextualSpacing/>
                    <w:jc w:val="center"/>
                    <w:rPr>
                      <w:szCs w:val="21"/>
                    </w:rPr>
                  </w:pPr>
                  <w:r>
                    <w:rPr>
                      <w:rFonts w:eastAsia="等线"/>
                    </w:rPr>
                    <w:t>117</w:t>
                  </w:r>
                </w:p>
              </w:tc>
              <w:tc>
                <w:tcPr>
                  <w:tcW w:w="1002" w:type="dxa"/>
                  <w:tcMar>
                    <w:top w:w="0" w:type="dxa"/>
                    <w:left w:w="28" w:type="dxa"/>
                    <w:bottom w:w="0" w:type="dxa"/>
                    <w:right w:w="28" w:type="dxa"/>
                  </w:tcMar>
                  <w:vAlign w:val="center"/>
                </w:tcPr>
                <w:p w14:paraId="520ABE9B">
                  <w:pPr>
                    <w:autoSpaceDE w:val="0"/>
                    <w:autoSpaceDN w:val="0"/>
                    <w:adjustRightInd w:val="0"/>
                    <w:snapToGrid w:val="0"/>
                    <w:contextualSpacing/>
                    <w:jc w:val="center"/>
                    <w:rPr>
                      <w:szCs w:val="21"/>
                    </w:rPr>
                  </w:pPr>
                  <w:r>
                    <w:rPr>
                      <w:szCs w:val="21"/>
                    </w:rPr>
                    <w:t>超标</w:t>
                  </w:r>
                </w:p>
              </w:tc>
            </w:tr>
            <w:tr w14:paraId="520ABEA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806" w:type="dxa"/>
                  <w:tcMar>
                    <w:top w:w="0" w:type="dxa"/>
                    <w:left w:w="28" w:type="dxa"/>
                    <w:bottom w:w="0" w:type="dxa"/>
                    <w:right w:w="28" w:type="dxa"/>
                  </w:tcMar>
                  <w:vAlign w:val="center"/>
                </w:tcPr>
                <w:p w14:paraId="520ABE9D">
                  <w:pPr>
                    <w:autoSpaceDE w:val="0"/>
                    <w:autoSpaceDN w:val="0"/>
                    <w:adjustRightInd w:val="0"/>
                    <w:snapToGrid w:val="0"/>
                    <w:contextualSpacing/>
                    <w:jc w:val="center"/>
                    <w:rPr>
                      <w:szCs w:val="21"/>
                    </w:rPr>
                  </w:pPr>
                  <w:r>
                    <w:rPr>
                      <w:szCs w:val="21"/>
                    </w:rPr>
                    <w:t>PM</w:t>
                  </w:r>
                  <w:r>
                    <w:rPr>
                      <w:szCs w:val="21"/>
                      <w:vertAlign w:val="subscript"/>
                    </w:rPr>
                    <w:t>2.5</w:t>
                  </w:r>
                </w:p>
              </w:tc>
              <w:tc>
                <w:tcPr>
                  <w:tcW w:w="1761" w:type="dxa"/>
                  <w:tcMar>
                    <w:top w:w="0" w:type="dxa"/>
                    <w:left w:w="28" w:type="dxa"/>
                    <w:bottom w:w="0" w:type="dxa"/>
                    <w:right w:w="28" w:type="dxa"/>
                  </w:tcMar>
                  <w:vAlign w:val="center"/>
                </w:tcPr>
                <w:p w14:paraId="520ABE9E">
                  <w:pPr>
                    <w:autoSpaceDE w:val="0"/>
                    <w:autoSpaceDN w:val="0"/>
                    <w:adjustRightInd w:val="0"/>
                    <w:snapToGrid w:val="0"/>
                    <w:contextualSpacing/>
                    <w:jc w:val="center"/>
                    <w:rPr>
                      <w:szCs w:val="21"/>
                    </w:rPr>
                  </w:pPr>
                  <w:r>
                    <w:rPr>
                      <w:szCs w:val="21"/>
                    </w:rPr>
                    <w:t>年平均质量浓度</w:t>
                  </w:r>
                </w:p>
              </w:tc>
              <w:tc>
                <w:tcPr>
                  <w:tcW w:w="1701" w:type="dxa"/>
                  <w:tcMar>
                    <w:top w:w="0" w:type="dxa"/>
                    <w:left w:w="28" w:type="dxa"/>
                    <w:bottom w:w="0" w:type="dxa"/>
                    <w:right w:w="28" w:type="dxa"/>
                  </w:tcMar>
                  <w:vAlign w:val="center"/>
                </w:tcPr>
                <w:p w14:paraId="520ABE9F">
                  <w:pPr>
                    <w:autoSpaceDE w:val="0"/>
                    <w:autoSpaceDN w:val="0"/>
                    <w:adjustRightInd w:val="0"/>
                    <w:snapToGrid w:val="0"/>
                    <w:contextualSpacing/>
                    <w:jc w:val="center"/>
                    <w:rPr>
                      <w:szCs w:val="21"/>
                    </w:rPr>
                  </w:pPr>
                  <w:r>
                    <w:rPr>
                      <w:rFonts w:hint="eastAsia"/>
                    </w:rPr>
                    <w:t>49</w:t>
                  </w:r>
                </w:p>
              </w:tc>
              <w:tc>
                <w:tcPr>
                  <w:tcW w:w="1570" w:type="dxa"/>
                  <w:tcMar>
                    <w:top w:w="0" w:type="dxa"/>
                    <w:left w:w="28" w:type="dxa"/>
                    <w:bottom w:w="0" w:type="dxa"/>
                    <w:right w:w="28" w:type="dxa"/>
                  </w:tcMar>
                  <w:vAlign w:val="center"/>
                </w:tcPr>
                <w:p w14:paraId="520ABEA0">
                  <w:pPr>
                    <w:autoSpaceDE w:val="0"/>
                    <w:autoSpaceDN w:val="0"/>
                    <w:adjustRightInd w:val="0"/>
                    <w:snapToGrid w:val="0"/>
                    <w:contextualSpacing/>
                    <w:jc w:val="center"/>
                    <w:rPr>
                      <w:szCs w:val="21"/>
                    </w:rPr>
                  </w:pPr>
                  <w:r>
                    <w:t>35</w:t>
                  </w:r>
                </w:p>
              </w:tc>
              <w:tc>
                <w:tcPr>
                  <w:tcW w:w="1134" w:type="dxa"/>
                  <w:tcMar>
                    <w:top w:w="0" w:type="dxa"/>
                    <w:left w:w="28" w:type="dxa"/>
                    <w:bottom w:w="0" w:type="dxa"/>
                    <w:right w:w="28" w:type="dxa"/>
                  </w:tcMar>
                  <w:vAlign w:val="center"/>
                </w:tcPr>
                <w:p w14:paraId="520ABEA1">
                  <w:pPr>
                    <w:autoSpaceDE w:val="0"/>
                    <w:autoSpaceDN w:val="0"/>
                    <w:adjustRightInd w:val="0"/>
                    <w:snapToGrid w:val="0"/>
                    <w:contextualSpacing/>
                    <w:jc w:val="center"/>
                    <w:rPr>
                      <w:szCs w:val="21"/>
                    </w:rPr>
                  </w:pPr>
                  <w:r>
                    <w:rPr>
                      <w:rFonts w:eastAsia="等线"/>
                    </w:rPr>
                    <w:t>140</w:t>
                  </w:r>
                </w:p>
              </w:tc>
              <w:tc>
                <w:tcPr>
                  <w:tcW w:w="1002" w:type="dxa"/>
                  <w:tcMar>
                    <w:top w:w="0" w:type="dxa"/>
                    <w:left w:w="28" w:type="dxa"/>
                    <w:bottom w:w="0" w:type="dxa"/>
                    <w:right w:w="28" w:type="dxa"/>
                  </w:tcMar>
                  <w:vAlign w:val="center"/>
                </w:tcPr>
                <w:p w14:paraId="520ABEA2">
                  <w:pPr>
                    <w:autoSpaceDE w:val="0"/>
                    <w:autoSpaceDN w:val="0"/>
                    <w:adjustRightInd w:val="0"/>
                    <w:snapToGrid w:val="0"/>
                    <w:contextualSpacing/>
                    <w:jc w:val="center"/>
                    <w:rPr>
                      <w:szCs w:val="21"/>
                    </w:rPr>
                  </w:pPr>
                  <w:r>
                    <w:rPr>
                      <w:szCs w:val="21"/>
                    </w:rPr>
                    <w:t>超标</w:t>
                  </w:r>
                </w:p>
              </w:tc>
            </w:tr>
            <w:tr w14:paraId="520ABEA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806" w:type="dxa"/>
                  <w:tcMar>
                    <w:top w:w="0" w:type="dxa"/>
                    <w:left w:w="28" w:type="dxa"/>
                    <w:bottom w:w="0" w:type="dxa"/>
                    <w:right w:w="28" w:type="dxa"/>
                  </w:tcMar>
                  <w:vAlign w:val="center"/>
                </w:tcPr>
                <w:p w14:paraId="520ABEA4">
                  <w:pPr>
                    <w:autoSpaceDE w:val="0"/>
                    <w:autoSpaceDN w:val="0"/>
                    <w:adjustRightInd w:val="0"/>
                    <w:snapToGrid w:val="0"/>
                    <w:contextualSpacing/>
                    <w:jc w:val="center"/>
                    <w:rPr>
                      <w:szCs w:val="21"/>
                    </w:rPr>
                  </w:pPr>
                  <w:r>
                    <w:rPr>
                      <w:szCs w:val="21"/>
                    </w:rPr>
                    <w:t>SO</w:t>
                  </w:r>
                  <w:r>
                    <w:rPr>
                      <w:szCs w:val="21"/>
                      <w:vertAlign w:val="subscript"/>
                    </w:rPr>
                    <w:t>2</w:t>
                  </w:r>
                </w:p>
              </w:tc>
              <w:tc>
                <w:tcPr>
                  <w:tcW w:w="1761" w:type="dxa"/>
                  <w:tcMar>
                    <w:top w:w="0" w:type="dxa"/>
                    <w:left w:w="28" w:type="dxa"/>
                    <w:bottom w:w="0" w:type="dxa"/>
                    <w:right w:w="28" w:type="dxa"/>
                  </w:tcMar>
                  <w:vAlign w:val="center"/>
                </w:tcPr>
                <w:p w14:paraId="520ABEA5">
                  <w:pPr>
                    <w:autoSpaceDE w:val="0"/>
                    <w:autoSpaceDN w:val="0"/>
                    <w:adjustRightInd w:val="0"/>
                    <w:snapToGrid w:val="0"/>
                    <w:contextualSpacing/>
                    <w:jc w:val="center"/>
                    <w:rPr>
                      <w:szCs w:val="21"/>
                    </w:rPr>
                  </w:pPr>
                  <w:r>
                    <w:rPr>
                      <w:szCs w:val="21"/>
                    </w:rPr>
                    <w:t>年平均质量浓度</w:t>
                  </w:r>
                </w:p>
              </w:tc>
              <w:tc>
                <w:tcPr>
                  <w:tcW w:w="1701" w:type="dxa"/>
                  <w:tcMar>
                    <w:top w:w="0" w:type="dxa"/>
                    <w:left w:w="28" w:type="dxa"/>
                    <w:bottom w:w="0" w:type="dxa"/>
                    <w:right w:w="28" w:type="dxa"/>
                  </w:tcMar>
                  <w:vAlign w:val="center"/>
                </w:tcPr>
                <w:p w14:paraId="520ABEA6">
                  <w:pPr>
                    <w:autoSpaceDE w:val="0"/>
                    <w:autoSpaceDN w:val="0"/>
                    <w:adjustRightInd w:val="0"/>
                    <w:snapToGrid w:val="0"/>
                    <w:contextualSpacing/>
                    <w:jc w:val="center"/>
                    <w:rPr>
                      <w:szCs w:val="21"/>
                    </w:rPr>
                  </w:pPr>
                  <w:r>
                    <w:rPr>
                      <w:rFonts w:hint="eastAsia"/>
                    </w:rPr>
                    <w:t>8</w:t>
                  </w:r>
                </w:p>
              </w:tc>
              <w:tc>
                <w:tcPr>
                  <w:tcW w:w="1570" w:type="dxa"/>
                  <w:tcMar>
                    <w:top w:w="0" w:type="dxa"/>
                    <w:left w:w="28" w:type="dxa"/>
                    <w:bottom w:w="0" w:type="dxa"/>
                    <w:right w:w="28" w:type="dxa"/>
                  </w:tcMar>
                  <w:vAlign w:val="center"/>
                </w:tcPr>
                <w:p w14:paraId="520ABEA7">
                  <w:pPr>
                    <w:autoSpaceDE w:val="0"/>
                    <w:autoSpaceDN w:val="0"/>
                    <w:adjustRightInd w:val="0"/>
                    <w:snapToGrid w:val="0"/>
                    <w:contextualSpacing/>
                    <w:jc w:val="center"/>
                    <w:rPr>
                      <w:szCs w:val="21"/>
                    </w:rPr>
                  </w:pPr>
                  <w:r>
                    <w:t>60</w:t>
                  </w:r>
                </w:p>
              </w:tc>
              <w:tc>
                <w:tcPr>
                  <w:tcW w:w="1134" w:type="dxa"/>
                  <w:tcMar>
                    <w:top w:w="0" w:type="dxa"/>
                    <w:left w:w="28" w:type="dxa"/>
                    <w:bottom w:w="0" w:type="dxa"/>
                    <w:right w:w="28" w:type="dxa"/>
                  </w:tcMar>
                  <w:vAlign w:val="center"/>
                </w:tcPr>
                <w:p w14:paraId="520ABEA8">
                  <w:pPr>
                    <w:autoSpaceDE w:val="0"/>
                    <w:autoSpaceDN w:val="0"/>
                    <w:adjustRightInd w:val="0"/>
                    <w:snapToGrid w:val="0"/>
                    <w:contextualSpacing/>
                    <w:jc w:val="center"/>
                    <w:rPr>
                      <w:szCs w:val="21"/>
                    </w:rPr>
                  </w:pPr>
                  <w:r>
                    <w:rPr>
                      <w:rFonts w:eastAsia="等线"/>
                    </w:rPr>
                    <w:t>13</w:t>
                  </w:r>
                </w:p>
              </w:tc>
              <w:tc>
                <w:tcPr>
                  <w:tcW w:w="1002" w:type="dxa"/>
                  <w:tcMar>
                    <w:top w:w="0" w:type="dxa"/>
                    <w:left w:w="28" w:type="dxa"/>
                    <w:bottom w:w="0" w:type="dxa"/>
                    <w:right w:w="28" w:type="dxa"/>
                  </w:tcMar>
                  <w:vAlign w:val="center"/>
                </w:tcPr>
                <w:p w14:paraId="520ABEA9">
                  <w:pPr>
                    <w:autoSpaceDE w:val="0"/>
                    <w:autoSpaceDN w:val="0"/>
                    <w:adjustRightInd w:val="0"/>
                    <w:snapToGrid w:val="0"/>
                    <w:contextualSpacing/>
                    <w:jc w:val="center"/>
                    <w:rPr>
                      <w:szCs w:val="21"/>
                    </w:rPr>
                  </w:pPr>
                  <w:r>
                    <w:rPr>
                      <w:szCs w:val="21"/>
                    </w:rPr>
                    <w:t>达标</w:t>
                  </w:r>
                </w:p>
              </w:tc>
            </w:tr>
            <w:tr w14:paraId="520ABEB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806" w:type="dxa"/>
                  <w:tcMar>
                    <w:top w:w="0" w:type="dxa"/>
                    <w:left w:w="28" w:type="dxa"/>
                    <w:bottom w:w="0" w:type="dxa"/>
                    <w:right w:w="28" w:type="dxa"/>
                  </w:tcMar>
                  <w:vAlign w:val="center"/>
                </w:tcPr>
                <w:p w14:paraId="520ABEAB">
                  <w:pPr>
                    <w:autoSpaceDE w:val="0"/>
                    <w:autoSpaceDN w:val="0"/>
                    <w:adjustRightInd w:val="0"/>
                    <w:snapToGrid w:val="0"/>
                    <w:contextualSpacing/>
                    <w:jc w:val="center"/>
                    <w:rPr>
                      <w:szCs w:val="21"/>
                    </w:rPr>
                  </w:pPr>
                  <w:r>
                    <w:rPr>
                      <w:szCs w:val="21"/>
                    </w:rPr>
                    <w:t>NO</w:t>
                  </w:r>
                  <w:r>
                    <w:rPr>
                      <w:szCs w:val="21"/>
                      <w:vertAlign w:val="subscript"/>
                    </w:rPr>
                    <w:t>2</w:t>
                  </w:r>
                </w:p>
              </w:tc>
              <w:tc>
                <w:tcPr>
                  <w:tcW w:w="1761" w:type="dxa"/>
                  <w:tcMar>
                    <w:top w:w="0" w:type="dxa"/>
                    <w:left w:w="28" w:type="dxa"/>
                    <w:bottom w:w="0" w:type="dxa"/>
                    <w:right w:w="28" w:type="dxa"/>
                  </w:tcMar>
                  <w:vAlign w:val="center"/>
                </w:tcPr>
                <w:p w14:paraId="520ABEAC">
                  <w:pPr>
                    <w:autoSpaceDE w:val="0"/>
                    <w:autoSpaceDN w:val="0"/>
                    <w:adjustRightInd w:val="0"/>
                    <w:snapToGrid w:val="0"/>
                    <w:contextualSpacing/>
                    <w:jc w:val="center"/>
                    <w:rPr>
                      <w:szCs w:val="21"/>
                    </w:rPr>
                  </w:pPr>
                  <w:r>
                    <w:rPr>
                      <w:szCs w:val="21"/>
                    </w:rPr>
                    <w:t>年平均质量浓度</w:t>
                  </w:r>
                </w:p>
              </w:tc>
              <w:tc>
                <w:tcPr>
                  <w:tcW w:w="1701" w:type="dxa"/>
                  <w:tcMar>
                    <w:top w:w="0" w:type="dxa"/>
                    <w:left w:w="28" w:type="dxa"/>
                    <w:bottom w:w="0" w:type="dxa"/>
                    <w:right w:w="28" w:type="dxa"/>
                  </w:tcMar>
                  <w:vAlign w:val="center"/>
                </w:tcPr>
                <w:p w14:paraId="520ABEAD">
                  <w:pPr>
                    <w:autoSpaceDE w:val="0"/>
                    <w:autoSpaceDN w:val="0"/>
                    <w:adjustRightInd w:val="0"/>
                    <w:snapToGrid w:val="0"/>
                    <w:contextualSpacing/>
                    <w:jc w:val="center"/>
                    <w:rPr>
                      <w:szCs w:val="21"/>
                    </w:rPr>
                  </w:pPr>
                  <w:r>
                    <w:rPr>
                      <w:rFonts w:hint="eastAsia"/>
                    </w:rPr>
                    <w:t>27</w:t>
                  </w:r>
                </w:p>
              </w:tc>
              <w:tc>
                <w:tcPr>
                  <w:tcW w:w="1570" w:type="dxa"/>
                  <w:tcMar>
                    <w:top w:w="0" w:type="dxa"/>
                    <w:left w:w="28" w:type="dxa"/>
                    <w:bottom w:w="0" w:type="dxa"/>
                    <w:right w:w="28" w:type="dxa"/>
                  </w:tcMar>
                  <w:vAlign w:val="center"/>
                </w:tcPr>
                <w:p w14:paraId="520ABEAE">
                  <w:pPr>
                    <w:autoSpaceDE w:val="0"/>
                    <w:autoSpaceDN w:val="0"/>
                    <w:adjustRightInd w:val="0"/>
                    <w:snapToGrid w:val="0"/>
                    <w:contextualSpacing/>
                    <w:jc w:val="center"/>
                    <w:rPr>
                      <w:szCs w:val="21"/>
                    </w:rPr>
                  </w:pPr>
                  <w:r>
                    <w:t>40</w:t>
                  </w:r>
                </w:p>
              </w:tc>
              <w:tc>
                <w:tcPr>
                  <w:tcW w:w="1134" w:type="dxa"/>
                  <w:tcMar>
                    <w:top w:w="0" w:type="dxa"/>
                    <w:left w:w="28" w:type="dxa"/>
                    <w:bottom w:w="0" w:type="dxa"/>
                    <w:right w:w="28" w:type="dxa"/>
                  </w:tcMar>
                  <w:vAlign w:val="center"/>
                </w:tcPr>
                <w:p w14:paraId="520ABEAF">
                  <w:pPr>
                    <w:autoSpaceDE w:val="0"/>
                    <w:autoSpaceDN w:val="0"/>
                    <w:adjustRightInd w:val="0"/>
                    <w:snapToGrid w:val="0"/>
                    <w:contextualSpacing/>
                    <w:jc w:val="center"/>
                    <w:rPr>
                      <w:szCs w:val="21"/>
                    </w:rPr>
                  </w:pPr>
                  <w:r>
                    <w:rPr>
                      <w:rFonts w:eastAsia="等线"/>
                    </w:rPr>
                    <w:t>68</w:t>
                  </w:r>
                </w:p>
              </w:tc>
              <w:tc>
                <w:tcPr>
                  <w:tcW w:w="1002" w:type="dxa"/>
                  <w:tcMar>
                    <w:top w:w="0" w:type="dxa"/>
                    <w:left w:w="28" w:type="dxa"/>
                    <w:bottom w:w="0" w:type="dxa"/>
                    <w:right w:w="28" w:type="dxa"/>
                  </w:tcMar>
                  <w:vAlign w:val="center"/>
                </w:tcPr>
                <w:p w14:paraId="520ABEB0">
                  <w:pPr>
                    <w:autoSpaceDE w:val="0"/>
                    <w:autoSpaceDN w:val="0"/>
                    <w:adjustRightInd w:val="0"/>
                    <w:snapToGrid w:val="0"/>
                    <w:contextualSpacing/>
                    <w:jc w:val="center"/>
                    <w:rPr>
                      <w:szCs w:val="21"/>
                    </w:rPr>
                  </w:pPr>
                  <w:r>
                    <w:rPr>
                      <w:szCs w:val="21"/>
                    </w:rPr>
                    <w:t>达标</w:t>
                  </w:r>
                </w:p>
              </w:tc>
            </w:tr>
            <w:tr w14:paraId="520ABEB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806" w:type="dxa"/>
                  <w:tcMar>
                    <w:top w:w="0" w:type="dxa"/>
                    <w:left w:w="28" w:type="dxa"/>
                    <w:bottom w:w="0" w:type="dxa"/>
                    <w:right w:w="28" w:type="dxa"/>
                  </w:tcMar>
                  <w:vAlign w:val="center"/>
                </w:tcPr>
                <w:p w14:paraId="520ABEB2">
                  <w:pPr>
                    <w:autoSpaceDE w:val="0"/>
                    <w:autoSpaceDN w:val="0"/>
                    <w:adjustRightInd w:val="0"/>
                    <w:snapToGrid w:val="0"/>
                    <w:contextualSpacing/>
                    <w:jc w:val="center"/>
                    <w:rPr>
                      <w:szCs w:val="21"/>
                    </w:rPr>
                  </w:pPr>
                  <w:r>
                    <w:rPr>
                      <w:szCs w:val="21"/>
                    </w:rPr>
                    <w:t>CO</w:t>
                  </w:r>
                </w:p>
              </w:tc>
              <w:tc>
                <w:tcPr>
                  <w:tcW w:w="1761" w:type="dxa"/>
                  <w:tcMar>
                    <w:top w:w="0" w:type="dxa"/>
                    <w:left w:w="28" w:type="dxa"/>
                    <w:bottom w:w="0" w:type="dxa"/>
                    <w:right w:w="28" w:type="dxa"/>
                  </w:tcMar>
                  <w:vAlign w:val="center"/>
                </w:tcPr>
                <w:p w14:paraId="520ABEB3">
                  <w:pPr>
                    <w:autoSpaceDE w:val="0"/>
                    <w:autoSpaceDN w:val="0"/>
                    <w:adjustRightInd w:val="0"/>
                    <w:snapToGrid w:val="0"/>
                    <w:contextualSpacing/>
                    <w:jc w:val="center"/>
                    <w:rPr>
                      <w:szCs w:val="21"/>
                    </w:rPr>
                  </w:pPr>
                  <w:r>
                    <w:rPr>
                      <w:szCs w:val="21"/>
                    </w:rPr>
                    <w:t>第95百分位浓度</w:t>
                  </w:r>
                </w:p>
              </w:tc>
              <w:tc>
                <w:tcPr>
                  <w:tcW w:w="1701" w:type="dxa"/>
                  <w:tcMar>
                    <w:top w:w="0" w:type="dxa"/>
                    <w:left w:w="28" w:type="dxa"/>
                    <w:bottom w:w="0" w:type="dxa"/>
                    <w:right w:w="28" w:type="dxa"/>
                  </w:tcMar>
                  <w:vAlign w:val="center"/>
                </w:tcPr>
                <w:p w14:paraId="520ABEB4">
                  <w:pPr>
                    <w:autoSpaceDE w:val="0"/>
                    <w:autoSpaceDN w:val="0"/>
                    <w:adjustRightInd w:val="0"/>
                    <w:snapToGrid w:val="0"/>
                    <w:contextualSpacing/>
                    <w:jc w:val="center"/>
                    <w:rPr>
                      <w:szCs w:val="21"/>
                    </w:rPr>
                  </w:pPr>
                  <w:r>
                    <w:t>1.</w:t>
                  </w:r>
                  <w:r>
                    <w:rPr>
                      <w:rFonts w:hint="eastAsia"/>
                    </w:rPr>
                    <w:t>3</w:t>
                  </w:r>
                  <w:r>
                    <w:t>mg/m</w:t>
                  </w:r>
                  <w:r>
                    <w:rPr>
                      <w:vertAlign w:val="superscript"/>
                    </w:rPr>
                    <w:t>3</w:t>
                  </w:r>
                </w:p>
              </w:tc>
              <w:tc>
                <w:tcPr>
                  <w:tcW w:w="1570" w:type="dxa"/>
                  <w:tcMar>
                    <w:top w:w="0" w:type="dxa"/>
                    <w:left w:w="28" w:type="dxa"/>
                    <w:bottom w:w="0" w:type="dxa"/>
                    <w:right w:w="28" w:type="dxa"/>
                  </w:tcMar>
                  <w:vAlign w:val="center"/>
                </w:tcPr>
                <w:p w14:paraId="520ABEB5">
                  <w:pPr>
                    <w:autoSpaceDE w:val="0"/>
                    <w:autoSpaceDN w:val="0"/>
                    <w:adjustRightInd w:val="0"/>
                    <w:snapToGrid w:val="0"/>
                    <w:contextualSpacing/>
                    <w:jc w:val="center"/>
                    <w:rPr>
                      <w:szCs w:val="21"/>
                    </w:rPr>
                  </w:pPr>
                  <w:r>
                    <w:t>4mg/m</w:t>
                  </w:r>
                  <w:r>
                    <w:rPr>
                      <w:vertAlign w:val="superscript"/>
                    </w:rPr>
                    <w:t>3</w:t>
                  </w:r>
                </w:p>
              </w:tc>
              <w:tc>
                <w:tcPr>
                  <w:tcW w:w="1134" w:type="dxa"/>
                  <w:tcMar>
                    <w:top w:w="0" w:type="dxa"/>
                    <w:left w:w="28" w:type="dxa"/>
                    <w:bottom w:w="0" w:type="dxa"/>
                    <w:right w:w="28" w:type="dxa"/>
                  </w:tcMar>
                  <w:vAlign w:val="center"/>
                </w:tcPr>
                <w:p w14:paraId="520ABEB6">
                  <w:pPr>
                    <w:autoSpaceDE w:val="0"/>
                    <w:autoSpaceDN w:val="0"/>
                    <w:adjustRightInd w:val="0"/>
                    <w:snapToGrid w:val="0"/>
                    <w:contextualSpacing/>
                    <w:jc w:val="center"/>
                    <w:rPr>
                      <w:szCs w:val="21"/>
                    </w:rPr>
                  </w:pPr>
                  <w:r>
                    <w:rPr>
                      <w:rFonts w:eastAsia="等线"/>
                    </w:rPr>
                    <w:t>33</w:t>
                  </w:r>
                </w:p>
              </w:tc>
              <w:tc>
                <w:tcPr>
                  <w:tcW w:w="1002" w:type="dxa"/>
                  <w:tcMar>
                    <w:top w:w="0" w:type="dxa"/>
                    <w:left w:w="28" w:type="dxa"/>
                    <w:bottom w:w="0" w:type="dxa"/>
                    <w:right w:w="28" w:type="dxa"/>
                  </w:tcMar>
                  <w:vAlign w:val="center"/>
                </w:tcPr>
                <w:p w14:paraId="520ABEB7">
                  <w:pPr>
                    <w:autoSpaceDE w:val="0"/>
                    <w:autoSpaceDN w:val="0"/>
                    <w:adjustRightInd w:val="0"/>
                    <w:snapToGrid w:val="0"/>
                    <w:contextualSpacing/>
                    <w:jc w:val="center"/>
                    <w:rPr>
                      <w:szCs w:val="21"/>
                    </w:rPr>
                  </w:pPr>
                  <w:r>
                    <w:rPr>
                      <w:szCs w:val="21"/>
                    </w:rPr>
                    <w:t>达标</w:t>
                  </w:r>
                </w:p>
              </w:tc>
            </w:tr>
            <w:tr w14:paraId="520ABEB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806" w:type="dxa"/>
                  <w:tcMar>
                    <w:top w:w="0" w:type="dxa"/>
                    <w:left w:w="28" w:type="dxa"/>
                    <w:bottom w:w="0" w:type="dxa"/>
                    <w:right w:w="28" w:type="dxa"/>
                  </w:tcMar>
                  <w:vAlign w:val="center"/>
                </w:tcPr>
                <w:p w14:paraId="520ABEB9">
                  <w:pPr>
                    <w:autoSpaceDE w:val="0"/>
                    <w:autoSpaceDN w:val="0"/>
                    <w:adjustRightInd w:val="0"/>
                    <w:snapToGrid w:val="0"/>
                    <w:contextualSpacing/>
                    <w:jc w:val="center"/>
                    <w:rPr>
                      <w:szCs w:val="21"/>
                    </w:rPr>
                  </w:pPr>
                  <w:r>
                    <w:rPr>
                      <w:szCs w:val="21"/>
                    </w:rPr>
                    <w:t>O</w:t>
                  </w:r>
                  <w:r>
                    <w:rPr>
                      <w:szCs w:val="21"/>
                      <w:vertAlign w:val="subscript"/>
                    </w:rPr>
                    <w:t>3</w:t>
                  </w:r>
                </w:p>
              </w:tc>
              <w:tc>
                <w:tcPr>
                  <w:tcW w:w="1761" w:type="dxa"/>
                  <w:tcMar>
                    <w:top w:w="0" w:type="dxa"/>
                    <w:left w:w="28" w:type="dxa"/>
                    <w:bottom w:w="0" w:type="dxa"/>
                    <w:right w:w="28" w:type="dxa"/>
                  </w:tcMar>
                  <w:vAlign w:val="center"/>
                </w:tcPr>
                <w:p w14:paraId="520ABEBA">
                  <w:pPr>
                    <w:autoSpaceDE w:val="0"/>
                    <w:autoSpaceDN w:val="0"/>
                    <w:adjustRightInd w:val="0"/>
                    <w:snapToGrid w:val="0"/>
                    <w:contextualSpacing/>
                    <w:jc w:val="center"/>
                    <w:rPr>
                      <w:szCs w:val="21"/>
                    </w:rPr>
                  </w:pPr>
                  <w:r>
                    <w:rPr>
                      <w:szCs w:val="21"/>
                    </w:rPr>
                    <w:t>第90百分位浓度</w:t>
                  </w:r>
                </w:p>
              </w:tc>
              <w:tc>
                <w:tcPr>
                  <w:tcW w:w="1701" w:type="dxa"/>
                  <w:tcMar>
                    <w:top w:w="0" w:type="dxa"/>
                    <w:left w:w="28" w:type="dxa"/>
                    <w:bottom w:w="0" w:type="dxa"/>
                    <w:right w:w="28" w:type="dxa"/>
                  </w:tcMar>
                  <w:vAlign w:val="center"/>
                </w:tcPr>
                <w:p w14:paraId="520ABEBB">
                  <w:pPr>
                    <w:autoSpaceDE w:val="0"/>
                    <w:autoSpaceDN w:val="0"/>
                    <w:adjustRightInd w:val="0"/>
                    <w:snapToGrid w:val="0"/>
                    <w:contextualSpacing/>
                    <w:jc w:val="center"/>
                    <w:rPr>
                      <w:szCs w:val="21"/>
                    </w:rPr>
                  </w:pPr>
                  <w:r>
                    <w:t>18</w:t>
                  </w:r>
                  <w:r>
                    <w:rPr>
                      <w:rFonts w:hint="eastAsia"/>
                    </w:rPr>
                    <w:t>3</w:t>
                  </w:r>
                </w:p>
              </w:tc>
              <w:tc>
                <w:tcPr>
                  <w:tcW w:w="1570" w:type="dxa"/>
                  <w:tcMar>
                    <w:top w:w="0" w:type="dxa"/>
                    <w:left w:w="28" w:type="dxa"/>
                    <w:bottom w:w="0" w:type="dxa"/>
                    <w:right w:w="28" w:type="dxa"/>
                  </w:tcMar>
                  <w:vAlign w:val="center"/>
                </w:tcPr>
                <w:p w14:paraId="520ABEBC">
                  <w:pPr>
                    <w:autoSpaceDE w:val="0"/>
                    <w:autoSpaceDN w:val="0"/>
                    <w:adjustRightInd w:val="0"/>
                    <w:snapToGrid w:val="0"/>
                    <w:contextualSpacing/>
                    <w:jc w:val="center"/>
                    <w:rPr>
                      <w:szCs w:val="21"/>
                    </w:rPr>
                  </w:pPr>
                  <w:r>
                    <w:t>160</w:t>
                  </w:r>
                </w:p>
              </w:tc>
              <w:tc>
                <w:tcPr>
                  <w:tcW w:w="1134" w:type="dxa"/>
                  <w:tcMar>
                    <w:top w:w="0" w:type="dxa"/>
                    <w:left w:w="28" w:type="dxa"/>
                    <w:bottom w:w="0" w:type="dxa"/>
                    <w:right w:w="28" w:type="dxa"/>
                  </w:tcMar>
                  <w:vAlign w:val="center"/>
                </w:tcPr>
                <w:p w14:paraId="520ABEBD">
                  <w:pPr>
                    <w:autoSpaceDE w:val="0"/>
                    <w:autoSpaceDN w:val="0"/>
                    <w:adjustRightInd w:val="0"/>
                    <w:snapToGrid w:val="0"/>
                    <w:contextualSpacing/>
                    <w:jc w:val="center"/>
                    <w:rPr>
                      <w:szCs w:val="21"/>
                    </w:rPr>
                  </w:pPr>
                  <w:r>
                    <w:rPr>
                      <w:rFonts w:eastAsia="等线"/>
                    </w:rPr>
                    <w:t>114</w:t>
                  </w:r>
                </w:p>
              </w:tc>
              <w:tc>
                <w:tcPr>
                  <w:tcW w:w="1002" w:type="dxa"/>
                  <w:tcMar>
                    <w:top w:w="0" w:type="dxa"/>
                    <w:left w:w="28" w:type="dxa"/>
                    <w:bottom w:w="0" w:type="dxa"/>
                    <w:right w:w="28" w:type="dxa"/>
                  </w:tcMar>
                  <w:vAlign w:val="center"/>
                </w:tcPr>
                <w:p w14:paraId="520ABEBE">
                  <w:pPr>
                    <w:autoSpaceDE w:val="0"/>
                    <w:autoSpaceDN w:val="0"/>
                    <w:adjustRightInd w:val="0"/>
                    <w:snapToGrid w:val="0"/>
                    <w:contextualSpacing/>
                    <w:jc w:val="center"/>
                    <w:rPr>
                      <w:szCs w:val="21"/>
                    </w:rPr>
                  </w:pPr>
                  <w:r>
                    <w:rPr>
                      <w:szCs w:val="21"/>
                    </w:rPr>
                    <w:t>超标</w:t>
                  </w:r>
                </w:p>
              </w:tc>
            </w:tr>
          </w:tbl>
          <w:p w14:paraId="520ABEC0">
            <w:pPr>
              <w:adjustRightInd w:val="0"/>
              <w:snapToGrid w:val="0"/>
              <w:spacing w:line="460" w:lineRule="exact"/>
              <w:ind w:firstLine="480" w:firstLineChars="200"/>
              <w:rPr>
                <w:sz w:val="24"/>
              </w:rPr>
            </w:pPr>
            <w:r>
              <w:rPr>
                <w:sz w:val="24"/>
              </w:rPr>
              <w:t>由上表可知，</w:t>
            </w:r>
            <w:r>
              <w:rPr>
                <w:rFonts w:hint="eastAsia"/>
                <w:sz w:val="24"/>
              </w:rPr>
              <w:t>SO</w:t>
            </w:r>
            <w:r>
              <w:rPr>
                <w:rFonts w:hint="eastAsia"/>
                <w:sz w:val="24"/>
                <w:vertAlign w:val="subscript"/>
              </w:rPr>
              <w:t>2</w:t>
            </w:r>
            <w:r>
              <w:rPr>
                <w:rFonts w:hint="eastAsia"/>
                <w:sz w:val="24"/>
              </w:rPr>
              <w:t>、NO</w:t>
            </w:r>
            <w:r>
              <w:rPr>
                <w:rFonts w:hint="eastAsia"/>
                <w:sz w:val="24"/>
                <w:vertAlign w:val="subscript"/>
              </w:rPr>
              <w:t>2</w:t>
            </w:r>
            <w:r>
              <w:rPr>
                <w:rFonts w:hint="eastAsia"/>
                <w:sz w:val="24"/>
              </w:rPr>
              <w:t>、CO能够满足《环境空气质量标准》（GB3095-2012）二级标准；</w:t>
            </w:r>
            <w:r>
              <w:rPr>
                <w:sz w:val="24"/>
              </w:rPr>
              <w:t>其中PM</w:t>
            </w:r>
            <w:r>
              <w:rPr>
                <w:sz w:val="24"/>
                <w:vertAlign w:val="subscript"/>
              </w:rPr>
              <w:t>10</w:t>
            </w:r>
            <w:r>
              <w:rPr>
                <w:sz w:val="24"/>
              </w:rPr>
              <w:t>、PM</w:t>
            </w:r>
            <w:r>
              <w:rPr>
                <w:sz w:val="24"/>
                <w:vertAlign w:val="subscript"/>
              </w:rPr>
              <w:t>2.5</w:t>
            </w:r>
            <w:r>
              <w:rPr>
                <w:sz w:val="24"/>
              </w:rPr>
              <w:t>和O</w:t>
            </w:r>
            <w:r>
              <w:rPr>
                <w:sz w:val="24"/>
                <w:vertAlign w:val="subscript"/>
              </w:rPr>
              <w:t>3</w:t>
            </w:r>
            <w:r>
              <w:rPr>
                <w:sz w:val="24"/>
              </w:rPr>
              <w:t>均不能够满足《环境空气质量标准》（GB3095-2012）二级标准要求。根据《环境影响评价技术导则  大气环境》(HJ2.2-2018)，本项目所在区域属于</w:t>
            </w:r>
            <w:r>
              <w:rPr>
                <w:rFonts w:hint="eastAsia"/>
                <w:sz w:val="24"/>
              </w:rPr>
              <w:t>不</w:t>
            </w:r>
            <w:r>
              <w:rPr>
                <w:sz w:val="24"/>
              </w:rPr>
              <w:t>达标区。</w:t>
            </w:r>
            <w:r>
              <w:rPr>
                <w:rFonts w:hint="eastAsia"/>
                <w:sz w:val="24"/>
              </w:rPr>
              <w:t>空气质量超标原因主要为：①冬季大气自净能力下降，污染扩散气象条件差；②区域内汽车等交通源增加，污染物排放量增大；③天气干燥，尘土较多。因此超标现象属于区域性污染问题。</w:t>
            </w:r>
          </w:p>
          <w:p w14:paraId="520ABEC1">
            <w:pPr>
              <w:adjustRightInd w:val="0"/>
              <w:snapToGrid w:val="0"/>
              <w:spacing w:line="460" w:lineRule="exact"/>
              <w:ind w:firstLine="480" w:firstLineChars="200"/>
              <w:textAlignment w:val="baseline"/>
              <w:rPr>
                <w:sz w:val="24"/>
              </w:rPr>
            </w:pPr>
            <w:r>
              <w:rPr>
                <w:sz w:val="24"/>
              </w:rPr>
              <w:t>目前，新乡市正在实施</w:t>
            </w:r>
            <w:r>
              <w:rPr>
                <w:rFonts w:hint="eastAsia"/>
                <w:sz w:val="24"/>
              </w:rPr>
              <w:t>《新乡市生态环境保护委员会办公室关于印发〈新乡市2025年蓝天保卫战实施方案〉〈新乡市2025年碧水保卫战实施方案〉〈新乡市2025年净土保卫战实施方案〉〈新乡市2025年柴油货车污染治理攻坚战实施方案〉的通知》（新环委办〔202</w:t>
            </w:r>
            <w:r>
              <w:rPr>
                <w:sz w:val="24"/>
              </w:rPr>
              <w:t>5</w:t>
            </w:r>
            <w:r>
              <w:rPr>
                <w:rFonts w:hint="eastAsia"/>
                <w:sz w:val="24"/>
              </w:rPr>
              <w:t>〕38号）</w:t>
            </w:r>
            <w:r>
              <w:rPr>
                <w:sz w:val="24"/>
              </w:rPr>
              <w:t>等一系列措施，实施这些方案将不断改善区域大气环境质量。</w:t>
            </w:r>
          </w:p>
          <w:p w14:paraId="520ABEC2">
            <w:pPr>
              <w:adjustRightInd w:val="0"/>
              <w:snapToGrid w:val="0"/>
              <w:spacing w:line="460" w:lineRule="exact"/>
              <w:ind w:firstLine="482" w:firstLineChars="200"/>
              <w:textAlignment w:val="baseline"/>
              <w:rPr>
                <w:b/>
                <w:sz w:val="24"/>
              </w:rPr>
            </w:pPr>
            <w:r>
              <w:rPr>
                <w:b/>
                <w:sz w:val="24"/>
              </w:rPr>
              <w:t>2、地表水环境质量现状</w:t>
            </w:r>
          </w:p>
          <w:p w14:paraId="520ABEC3">
            <w:pPr>
              <w:adjustRightInd w:val="0"/>
              <w:snapToGrid w:val="0"/>
              <w:spacing w:line="460" w:lineRule="exact"/>
              <w:ind w:firstLine="480" w:firstLineChars="200"/>
              <w:rPr>
                <w:sz w:val="24"/>
              </w:rPr>
            </w:pPr>
            <w:r>
              <w:rPr>
                <w:sz w:val="24"/>
              </w:rPr>
              <w:t>项目建设路厂区</w:t>
            </w:r>
            <w:r>
              <w:rPr>
                <w:rFonts w:hint="eastAsia"/>
                <w:sz w:val="24"/>
              </w:rPr>
              <w:t>和解放路厂区</w:t>
            </w:r>
            <w:r>
              <w:rPr>
                <w:sz w:val="24"/>
              </w:rPr>
              <w:t>所在区域纳污水体</w:t>
            </w:r>
            <w:r>
              <w:rPr>
                <w:rFonts w:hint="eastAsia"/>
                <w:sz w:val="24"/>
              </w:rPr>
              <w:t>均</w:t>
            </w:r>
            <w:r>
              <w:rPr>
                <w:sz w:val="24"/>
              </w:rPr>
              <w:t>为卫河。根据《新乡市生态环境局关于印发2025年地表水环境质量目标的函》，卫河皇甫断面属于省、市双控责任目标断面，2025年目标为Ⅲ类水体标准。根据新乡市地表水环境责任目标断面水质月报，卫辉皇甫断面2025年1-5月监测数据均值见下表。</w:t>
            </w:r>
          </w:p>
          <w:p w14:paraId="520ABEC4">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38     卫辉皇甫断面</w:t>
            </w:r>
            <w:r>
              <w:rPr>
                <w:rFonts w:eastAsia="黑体"/>
                <w:sz w:val="24"/>
              </w:rPr>
              <w:t>监测数据</w:t>
            </w:r>
            <w:r>
              <w:rPr>
                <w:rFonts w:hint="eastAsia" w:eastAsia="黑体"/>
                <w:sz w:val="24"/>
              </w:rPr>
              <w:t>（202</w:t>
            </w:r>
            <w:r>
              <w:rPr>
                <w:rFonts w:eastAsia="黑体"/>
                <w:sz w:val="24"/>
              </w:rPr>
              <w:t>5</w:t>
            </w:r>
            <w:r>
              <w:rPr>
                <w:rFonts w:hint="eastAsia" w:eastAsia="黑体"/>
                <w:sz w:val="24"/>
              </w:rPr>
              <w:t>年1-</w:t>
            </w:r>
            <w:r>
              <w:rPr>
                <w:rFonts w:eastAsia="黑体"/>
                <w:sz w:val="24"/>
              </w:rPr>
              <w:t>5</w:t>
            </w:r>
            <w:r>
              <w:rPr>
                <w:rFonts w:hint="eastAsia" w:eastAsia="黑体"/>
                <w:sz w:val="24"/>
              </w:rPr>
              <w:t xml:space="preserve">月均值）     </w:t>
            </w:r>
            <w:r>
              <w:rPr>
                <w:rFonts w:eastAsia="黑体"/>
                <w:sz w:val="24"/>
              </w:rPr>
              <w:t>单位：mg/L</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995"/>
              <w:gridCol w:w="2116"/>
              <w:gridCol w:w="1993"/>
              <w:gridCol w:w="1870"/>
            </w:tblGrid>
            <w:tr w14:paraId="520ABEC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95" w:type="dxa"/>
                  <w:vAlign w:val="center"/>
                </w:tcPr>
                <w:p w14:paraId="520ABEC5">
                  <w:pPr>
                    <w:adjustRightInd w:val="0"/>
                    <w:snapToGrid w:val="0"/>
                    <w:jc w:val="center"/>
                    <w:rPr>
                      <w:b/>
                      <w:szCs w:val="21"/>
                    </w:rPr>
                  </w:pPr>
                  <w:r>
                    <w:rPr>
                      <w:b/>
                      <w:szCs w:val="21"/>
                    </w:rPr>
                    <w:t>监测因子</w:t>
                  </w:r>
                </w:p>
              </w:tc>
              <w:tc>
                <w:tcPr>
                  <w:tcW w:w="2116" w:type="dxa"/>
                  <w:vAlign w:val="center"/>
                </w:tcPr>
                <w:p w14:paraId="520ABEC6">
                  <w:pPr>
                    <w:adjustRightInd w:val="0"/>
                    <w:snapToGrid w:val="0"/>
                    <w:jc w:val="center"/>
                    <w:rPr>
                      <w:b/>
                      <w:szCs w:val="21"/>
                    </w:rPr>
                  </w:pPr>
                  <w:r>
                    <w:rPr>
                      <w:rFonts w:hint="eastAsia"/>
                      <w:b/>
                      <w:szCs w:val="21"/>
                    </w:rPr>
                    <w:t>COD</w:t>
                  </w:r>
                </w:p>
              </w:tc>
              <w:tc>
                <w:tcPr>
                  <w:tcW w:w="1993" w:type="dxa"/>
                  <w:vAlign w:val="center"/>
                </w:tcPr>
                <w:p w14:paraId="520ABEC7">
                  <w:pPr>
                    <w:adjustRightInd w:val="0"/>
                    <w:snapToGrid w:val="0"/>
                    <w:jc w:val="center"/>
                    <w:rPr>
                      <w:b/>
                      <w:szCs w:val="21"/>
                    </w:rPr>
                  </w:pPr>
                  <w:r>
                    <w:rPr>
                      <w:b/>
                      <w:szCs w:val="21"/>
                    </w:rPr>
                    <w:t>NH</w:t>
                  </w:r>
                  <w:r>
                    <w:rPr>
                      <w:b/>
                      <w:szCs w:val="21"/>
                      <w:vertAlign w:val="subscript"/>
                    </w:rPr>
                    <w:t>3</w:t>
                  </w:r>
                  <w:r>
                    <w:rPr>
                      <w:b/>
                      <w:szCs w:val="21"/>
                    </w:rPr>
                    <w:t>-N</w:t>
                  </w:r>
                </w:p>
              </w:tc>
              <w:tc>
                <w:tcPr>
                  <w:tcW w:w="1870" w:type="dxa"/>
                  <w:vAlign w:val="center"/>
                </w:tcPr>
                <w:p w14:paraId="520ABEC8">
                  <w:pPr>
                    <w:adjustRightInd w:val="0"/>
                    <w:snapToGrid w:val="0"/>
                    <w:jc w:val="center"/>
                    <w:rPr>
                      <w:b/>
                      <w:szCs w:val="21"/>
                    </w:rPr>
                  </w:pPr>
                  <w:r>
                    <w:rPr>
                      <w:b/>
                      <w:szCs w:val="21"/>
                    </w:rPr>
                    <w:t>TP</w:t>
                  </w:r>
                </w:p>
              </w:tc>
            </w:tr>
            <w:tr w14:paraId="520ABEC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95" w:type="dxa"/>
                  <w:vAlign w:val="center"/>
                </w:tcPr>
                <w:p w14:paraId="520ABECA">
                  <w:pPr>
                    <w:adjustRightInd w:val="0"/>
                    <w:snapToGrid w:val="0"/>
                    <w:jc w:val="center"/>
                    <w:rPr>
                      <w:szCs w:val="21"/>
                    </w:rPr>
                  </w:pPr>
                  <w:r>
                    <w:rPr>
                      <w:szCs w:val="21"/>
                    </w:rPr>
                    <w:t>监测数据</w:t>
                  </w:r>
                </w:p>
              </w:tc>
              <w:tc>
                <w:tcPr>
                  <w:tcW w:w="2116" w:type="dxa"/>
                  <w:vAlign w:val="center"/>
                </w:tcPr>
                <w:p w14:paraId="520ABECB">
                  <w:pPr>
                    <w:adjustRightInd w:val="0"/>
                    <w:snapToGrid w:val="0"/>
                    <w:jc w:val="center"/>
                    <w:rPr>
                      <w:szCs w:val="21"/>
                    </w:rPr>
                  </w:pPr>
                  <w:r>
                    <w:rPr>
                      <w:szCs w:val="21"/>
                    </w:rPr>
                    <w:t>5.3-7.1</w:t>
                  </w:r>
                </w:p>
              </w:tc>
              <w:tc>
                <w:tcPr>
                  <w:tcW w:w="1993" w:type="dxa"/>
                  <w:vAlign w:val="center"/>
                </w:tcPr>
                <w:p w14:paraId="520ABECC">
                  <w:pPr>
                    <w:jc w:val="center"/>
                    <w:rPr>
                      <w:szCs w:val="21"/>
                    </w:rPr>
                  </w:pPr>
                  <w:r>
                    <w:rPr>
                      <w:szCs w:val="21"/>
                    </w:rPr>
                    <w:t>0.35-0.8</w:t>
                  </w:r>
                </w:p>
              </w:tc>
              <w:tc>
                <w:tcPr>
                  <w:tcW w:w="1870" w:type="dxa"/>
                  <w:vAlign w:val="center"/>
                </w:tcPr>
                <w:p w14:paraId="520ABECD">
                  <w:pPr>
                    <w:jc w:val="center"/>
                    <w:rPr>
                      <w:szCs w:val="21"/>
                    </w:rPr>
                  </w:pPr>
                  <w:r>
                    <w:rPr>
                      <w:szCs w:val="21"/>
                    </w:rPr>
                    <w:t>0.117-0.186</w:t>
                  </w:r>
                </w:p>
              </w:tc>
            </w:tr>
            <w:tr w14:paraId="520ABED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95" w:type="dxa"/>
                  <w:vAlign w:val="center"/>
                </w:tcPr>
                <w:p w14:paraId="520ABECF">
                  <w:pPr>
                    <w:adjustRightInd w:val="0"/>
                    <w:snapToGrid w:val="0"/>
                    <w:jc w:val="center"/>
                    <w:rPr>
                      <w:szCs w:val="21"/>
                    </w:rPr>
                  </w:pPr>
                  <w:r>
                    <w:rPr>
                      <w:szCs w:val="21"/>
                    </w:rPr>
                    <w:t>断面标准</w:t>
                  </w:r>
                </w:p>
              </w:tc>
              <w:tc>
                <w:tcPr>
                  <w:tcW w:w="2116" w:type="dxa"/>
                  <w:vAlign w:val="center"/>
                </w:tcPr>
                <w:p w14:paraId="520ABED0">
                  <w:pPr>
                    <w:jc w:val="center"/>
                    <w:rPr>
                      <w:szCs w:val="21"/>
                    </w:rPr>
                  </w:pPr>
                  <w:r>
                    <w:rPr>
                      <w:szCs w:val="21"/>
                    </w:rPr>
                    <w:t>20</w:t>
                  </w:r>
                </w:p>
              </w:tc>
              <w:tc>
                <w:tcPr>
                  <w:tcW w:w="1993" w:type="dxa"/>
                  <w:vAlign w:val="center"/>
                </w:tcPr>
                <w:p w14:paraId="520ABED1">
                  <w:pPr>
                    <w:jc w:val="center"/>
                    <w:rPr>
                      <w:szCs w:val="21"/>
                    </w:rPr>
                  </w:pPr>
                  <w:r>
                    <w:rPr>
                      <w:rFonts w:hint="eastAsia"/>
                      <w:szCs w:val="21"/>
                    </w:rPr>
                    <w:t>1.</w:t>
                  </w:r>
                  <w:r>
                    <w:rPr>
                      <w:szCs w:val="21"/>
                    </w:rPr>
                    <w:t>0</w:t>
                  </w:r>
                </w:p>
              </w:tc>
              <w:tc>
                <w:tcPr>
                  <w:tcW w:w="1870" w:type="dxa"/>
                  <w:vAlign w:val="center"/>
                </w:tcPr>
                <w:p w14:paraId="520ABED2">
                  <w:pPr>
                    <w:jc w:val="center"/>
                    <w:rPr>
                      <w:szCs w:val="21"/>
                    </w:rPr>
                  </w:pPr>
                  <w:r>
                    <w:rPr>
                      <w:rFonts w:hint="eastAsia"/>
                      <w:szCs w:val="21"/>
                    </w:rPr>
                    <w:t>0.</w:t>
                  </w:r>
                  <w:r>
                    <w:rPr>
                      <w:szCs w:val="21"/>
                    </w:rPr>
                    <w:t>2</w:t>
                  </w:r>
                </w:p>
              </w:tc>
            </w:tr>
            <w:tr w14:paraId="520ABED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95" w:type="dxa"/>
                  <w:vAlign w:val="center"/>
                </w:tcPr>
                <w:p w14:paraId="520ABED4">
                  <w:pPr>
                    <w:adjustRightInd w:val="0"/>
                    <w:snapToGrid w:val="0"/>
                    <w:jc w:val="center"/>
                    <w:rPr>
                      <w:szCs w:val="21"/>
                    </w:rPr>
                  </w:pPr>
                  <w:r>
                    <w:rPr>
                      <w:szCs w:val="21"/>
                    </w:rPr>
                    <w:t>达标情况</w:t>
                  </w:r>
                </w:p>
              </w:tc>
              <w:tc>
                <w:tcPr>
                  <w:tcW w:w="2116" w:type="dxa"/>
                  <w:vAlign w:val="center"/>
                </w:tcPr>
                <w:p w14:paraId="520ABED5">
                  <w:pPr>
                    <w:jc w:val="center"/>
                    <w:rPr>
                      <w:szCs w:val="21"/>
                    </w:rPr>
                  </w:pPr>
                  <w:r>
                    <w:rPr>
                      <w:rFonts w:hint="eastAsia"/>
                      <w:szCs w:val="21"/>
                    </w:rPr>
                    <w:t>达标</w:t>
                  </w:r>
                </w:p>
              </w:tc>
              <w:tc>
                <w:tcPr>
                  <w:tcW w:w="1993" w:type="dxa"/>
                  <w:vAlign w:val="center"/>
                </w:tcPr>
                <w:p w14:paraId="520ABED6">
                  <w:pPr>
                    <w:jc w:val="center"/>
                    <w:rPr>
                      <w:szCs w:val="21"/>
                    </w:rPr>
                  </w:pPr>
                  <w:r>
                    <w:rPr>
                      <w:rFonts w:hint="eastAsia"/>
                      <w:szCs w:val="21"/>
                    </w:rPr>
                    <w:t>达标</w:t>
                  </w:r>
                </w:p>
              </w:tc>
              <w:tc>
                <w:tcPr>
                  <w:tcW w:w="1870" w:type="dxa"/>
                  <w:vAlign w:val="center"/>
                </w:tcPr>
                <w:p w14:paraId="520ABED7">
                  <w:pPr>
                    <w:jc w:val="center"/>
                    <w:rPr>
                      <w:szCs w:val="21"/>
                    </w:rPr>
                  </w:pPr>
                  <w:r>
                    <w:rPr>
                      <w:rFonts w:hint="eastAsia"/>
                      <w:szCs w:val="21"/>
                    </w:rPr>
                    <w:t>达标</w:t>
                  </w:r>
                </w:p>
              </w:tc>
            </w:tr>
          </w:tbl>
          <w:p w14:paraId="520ABED9">
            <w:pPr>
              <w:adjustRightInd w:val="0"/>
              <w:snapToGrid w:val="0"/>
              <w:spacing w:line="460" w:lineRule="exact"/>
              <w:ind w:firstLine="480" w:firstLineChars="200"/>
              <w:rPr>
                <w:sz w:val="24"/>
                <w:highlight w:val="yellow"/>
              </w:rPr>
            </w:pPr>
            <w:r>
              <w:rPr>
                <w:sz w:val="24"/>
              </w:rPr>
              <w:t>由上表可知，COD、NH</w:t>
            </w:r>
            <w:r>
              <w:rPr>
                <w:sz w:val="24"/>
                <w:vertAlign w:val="subscript"/>
              </w:rPr>
              <w:t>3</w:t>
            </w:r>
            <w:r>
              <w:rPr>
                <w:sz w:val="24"/>
              </w:rPr>
              <w:t>-N、TP浓度均达标。</w:t>
            </w:r>
          </w:p>
          <w:p w14:paraId="520ABEDA">
            <w:pPr>
              <w:adjustRightInd w:val="0"/>
              <w:snapToGrid w:val="0"/>
              <w:spacing w:line="460" w:lineRule="exact"/>
              <w:ind w:firstLine="482" w:firstLineChars="200"/>
              <w:rPr>
                <w:b/>
                <w:sz w:val="24"/>
              </w:rPr>
            </w:pPr>
            <w:r>
              <w:rPr>
                <w:b/>
                <w:sz w:val="24"/>
              </w:rPr>
              <w:t>3、声环境质量现状</w:t>
            </w:r>
          </w:p>
          <w:p w14:paraId="520ABEDB">
            <w:pPr>
              <w:adjustRightInd w:val="0"/>
              <w:snapToGrid w:val="0"/>
              <w:spacing w:line="460" w:lineRule="exact"/>
              <w:ind w:firstLine="480" w:firstLineChars="200"/>
              <w:rPr>
                <w:sz w:val="24"/>
                <w:highlight w:val="yellow"/>
              </w:rPr>
            </w:pPr>
            <w:r>
              <w:rPr>
                <w:rFonts w:hint="eastAsia"/>
                <w:sz w:val="24"/>
              </w:rPr>
              <w:t>根据《建设项目环境影响报告表编制技术指南（污染影响类）（试行）》，本项目建设路厂区、解放路厂区厂界外周边50米范围均存在声环境保护目标。河南平原山水检测有限公司新乡分公司于2025年7月21日对本项目建设路厂区厂界外50米范围内的环境敏感目标的昼间、夜间噪声进行了现状监测（监测点位图见附图5-1）；因2023年10月份至今，解放路厂区未新增设备，未新增验收项目，故噪声现状监测数据引用河南鑫成环测检测技术有限公司于202</w:t>
            </w:r>
            <w:r>
              <w:rPr>
                <w:sz w:val="24"/>
              </w:rPr>
              <w:t>3</w:t>
            </w:r>
            <w:r>
              <w:rPr>
                <w:rFonts w:hint="eastAsia"/>
                <w:sz w:val="24"/>
              </w:rPr>
              <w:t>年</w:t>
            </w:r>
            <w:r>
              <w:rPr>
                <w:sz w:val="24"/>
              </w:rPr>
              <w:t>10</w:t>
            </w:r>
            <w:r>
              <w:rPr>
                <w:rFonts w:hint="eastAsia"/>
                <w:sz w:val="24"/>
              </w:rPr>
              <w:t>月</w:t>
            </w:r>
            <w:r>
              <w:rPr>
                <w:sz w:val="24"/>
              </w:rPr>
              <w:t>18</w:t>
            </w:r>
            <w:r>
              <w:rPr>
                <w:rFonts w:hint="eastAsia"/>
                <w:sz w:val="24"/>
              </w:rPr>
              <w:t>日至202</w:t>
            </w:r>
            <w:r>
              <w:rPr>
                <w:sz w:val="24"/>
              </w:rPr>
              <w:t>3</w:t>
            </w:r>
            <w:r>
              <w:rPr>
                <w:rFonts w:hint="eastAsia"/>
                <w:sz w:val="24"/>
              </w:rPr>
              <w:t>年</w:t>
            </w:r>
            <w:r>
              <w:rPr>
                <w:sz w:val="24"/>
              </w:rPr>
              <w:t>10</w:t>
            </w:r>
            <w:r>
              <w:rPr>
                <w:rFonts w:hint="eastAsia"/>
                <w:sz w:val="24"/>
              </w:rPr>
              <w:t>月</w:t>
            </w:r>
            <w:r>
              <w:rPr>
                <w:sz w:val="24"/>
              </w:rPr>
              <w:t>19</w:t>
            </w:r>
            <w:r>
              <w:rPr>
                <w:rFonts w:hint="eastAsia"/>
                <w:sz w:val="24"/>
              </w:rPr>
              <w:t>日对本项目解放路厂区厂界外50米范围内的环境敏感目标的昼间、夜间噪声进行的现状监测（监测点位图见附图5</w:t>
            </w:r>
            <w:r>
              <w:rPr>
                <w:sz w:val="24"/>
              </w:rPr>
              <w:t>-2</w:t>
            </w:r>
            <w:r>
              <w:rPr>
                <w:rFonts w:hint="eastAsia"/>
                <w:sz w:val="24"/>
              </w:rPr>
              <w:t>）。建设路厂区周边50m内环境敏感目标噪声监测结果见表26，解放路厂区周边50m内环境敏感目标噪声监测结果见表27。</w:t>
            </w:r>
          </w:p>
          <w:p w14:paraId="520ABEDC">
            <w:pPr>
              <w:adjustRightInd w:val="0"/>
              <w:snapToGrid w:val="0"/>
              <w:spacing w:line="460" w:lineRule="exact"/>
              <w:ind w:firstLine="480" w:firstLineChars="200"/>
              <w:textAlignment w:val="baseline"/>
              <w:rPr>
                <w:rFonts w:eastAsia="黑体"/>
                <w:sz w:val="24"/>
              </w:rPr>
            </w:pPr>
            <w:r>
              <w:rPr>
                <w:rFonts w:eastAsia="黑体"/>
                <w:kern w:val="0"/>
                <w:sz w:val="24"/>
              </w:rPr>
              <w:t>表</w:t>
            </w:r>
            <w:r>
              <w:rPr>
                <w:rFonts w:hint="eastAsia" w:eastAsia="黑体"/>
                <w:kern w:val="0"/>
                <w:sz w:val="24"/>
              </w:rPr>
              <w:t xml:space="preserve">39  </w:t>
            </w:r>
            <w:r>
              <w:rPr>
                <w:rFonts w:hint="eastAsia" w:eastAsia="黑体"/>
                <w:sz w:val="24"/>
                <w:szCs w:val="20"/>
              </w:rPr>
              <w:t>建设路厂区周边50m内环境敏感目标</w:t>
            </w:r>
            <w:r>
              <w:rPr>
                <w:rFonts w:hint="eastAsia" w:eastAsia="黑体"/>
                <w:sz w:val="24"/>
              </w:rPr>
              <w:t>噪声</w:t>
            </w:r>
            <w:r>
              <w:rPr>
                <w:rFonts w:eastAsia="黑体"/>
                <w:sz w:val="24"/>
              </w:rPr>
              <w:t xml:space="preserve">监测结果 </w:t>
            </w:r>
            <w:r>
              <w:rPr>
                <w:rFonts w:hint="eastAsia" w:eastAsia="黑体"/>
                <w:sz w:val="24"/>
              </w:rPr>
              <w:t xml:space="preserve"> 单位：</w:t>
            </w:r>
            <w:r>
              <w:rPr>
                <w:kern w:val="0"/>
                <w:sz w:val="24"/>
              </w:rPr>
              <w:t>dB</w:t>
            </w:r>
            <w:r>
              <w:rPr>
                <w:rFonts w:hint="eastAsia"/>
                <w:kern w:val="0"/>
                <w:sz w:val="24"/>
              </w:rPr>
              <w:t>(</w:t>
            </w:r>
            <w:r>
              <w:rPr>
                <w:kern w:val="0"/>
                <w:sz w:val="24"/>
              </w:rPr>
              <w:t>A</w:t>
            </w:r>
            <w:r>
              <w:rPr>
                <w:rFonts w:hint="eastAsia"/>
                <w:kern w:val="0"/>
                <w:sz w:val="24"/>
              </w:rPr>
              <w:t>)</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45"/>
              <w:gridCol w:w="2126"/>
              <w:gridCol w:w="1134"/>
              <w:gridCol w:w="779"/>
              <w:gridCol w:w="780"/>
              <w:gridCol w:w="779"/>
              <w:gridCol w:w="780"/>
              <w:gridCol w:w="951"/>
            </w:tblGrid>
            <w:tr w14:paraId="520ABEE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45" w:type="dxa"/>
                  <w:vAlign w:val="center"/>
                </w:tcPr>
                <w:p w14:paraId="520ABEDD">
                  <w:pPr>
                    <w:jc w:val="center"/>
                    <w:rPr>
                      <w:b/>
                      <w:szCs w:val="21"/>
                    </w:rPr>
                  </w:pPr>
                  <w:r>
                    <w:rPr>
                      <w:b/>
                      <w:szCs w:val="21"/>
                    </w:rPr>
                    <w:t>序</w:t>
                  </w:r>
                  <w:r>
                    <w:rPr>
                      <w:rFonts w:hint="eastAsia"/>
                      <w:b/>
                      <w:szCs w:val="21"/>
                    </w:rPr>
                    <w:t>号</w:t>
                  </w:r>
                </w:p>
              </w:tc>
              <w:tc>
                <w:tcPr>
                  <w:tcW w:w="2126" w:type="dxa"/>
                  <w:vAlign w:val="center"/>
                </w:tcPr>
                <w:p w14:paraId="520ABEDE">
                  <w:pPr>
                    <w:jc w:val="center"/>
                    <w:rPr>
                      <w:b/>
                      <w:szCs w:val="21"/>
                    </w:rPr>
                  </w:pPr>
                  <w:r>
                    <w:rPr>
                      <w:rFonts w:hint="eastAsia"/>
                      <w:b/>
                      <w:szCs w:val="21"/>
                    </w:rPr>
                    <w:t>环境敏感目标</w:t>
                  </w:r>
                </w:p>
              </w:tc>
              <w:tc>
                <w:tcPr>
                  <w:tcW w:w="1134" w:type="dxa"/>
                  <w:vAlign w:val="center"/>
                </w:tcPr>
                <w:p w14:paraId="520ABEDF">
                  <w:pPr>
                    <w:jc w:val="center"/>
                    <w:rPr>
                      <w:b/>
                      <w:szCs w:val="21"/>
                    </w:rPr>
                  </w:pPr>
                  <w:r>
                    <w:rPr>
                      <w:b/>
                      <w:szCs w:val="21"/>
                    </w:rPr>
                    <w:t>距离及方位</w:t>
                  </w:r>
                </w:p>
              </w:tc>
              <w:tc>
                <w:tcPr>
                  <w:tcW w:w="3118" w:type="dxa"/>
                  <w:gridSpan w:val="4"/>
                  <w:vAlign w:val="center"/>
                </w:tcPr>
                <w:p w14:paraId="520ABEE0">
                  <w:pPr>
                    <w:jc w:val="center"/>
                    <w:rPr>
                      <w:b/>
                      <w:szCs w:val="21"/>
                    </w:rPr>
                  </w:pPr>
                  <w:r>
                    <w:rPr>
                      <w:rFonts w:hint="eastAsia"/>
                      <w:b/>
                      <w:szCs w:val="21"/>
                    </w:rPr>
                    <w:t>监测</w:t>
                  </w:r>
                  <w:r>
                    <w:rPr>
                      <w:b/>
                      <w:szCs w:val="21"/>
                    </w:rPr>
                    <w:t>结果</w:t>
                  </w:r>
                </w:p>
              </w:tc>
              <w:tc>
                <w:tcPr>
                  <w:tcW w:w="951" w:type="dxa"/>
                  <w:vAlign w:val="center"/>
                </w:tcPr>
                <w:p w14:paraId="520ABEE1">
                  <w:pPr>
                    <w:jc w:val="center"/>
                    <w:rPr>
                      <w:b/>
                      <w:szCs w:val="21"/>
                    </w:rPr>
                  </w:pPr>
                  <w:r>
                    <w:rPr>
                      <w:b/>
                      <w:szCs w:val="21"/>
                    </w:rPr>
                    <w:t>标准限值</w:t>
                  </w:r>
                </w:p>
              </w:tc>
            </w:tr>
            <w:tr w14:paraId="520ABEE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45" w:type="dxa"/>
                  <w:vAlign w:val="center"/>
                </w:tcPr>
                <w:p w14:paraId="520ABEE3">
                  <w:pPr>
                    <w:adjustRightInd w:val="0"/>
                    <w:snapToGrid w:val="0"/>
                    <w:jc w:val="center"/>
                    <w:rPr>
                      <w:szCs w:val="21"/>
                    </w:rPr>
                  </w:pPr>
                  <w:r>
                    <w:rPr>
                      <w:rFonts w:hint="eastAsia"/>
                      <w:szCs w:val="21"/>
                    </w:rPr>
                    <w:t>1</w:t>
                  </w:r>
                </w:p>
              </w:tc>
              <w:tc>
                <w:tcPr>
                  <w:tcW w:w="2126" w:type="dxa"/>
                  <w:vAlign w:val="center"/>
                </w:tcPr>
                <w:p w14:paraId="520ABEE4">
                  <w:pPr>
                    <w:adjustRightInd w:val="0"/>
                    <w:snapToGrid w:val="0"/>
                    <w:jc w:val="center"/>
                    <w:rPr>
                      <w:szCs w:val="21"/>
                    </w:rPr>
                  </w:pPr>
                  <w:r>
                    <w:rPr>
                      <w:szCs w:val="21"/>
                    </w:rPr>
                    <w:t>新乡市第一实验学校</w:t>
                  </w:r>
                </w:p>
              </w:tc>
              <w:tc>
                <w:tcPr>
                  <w:tcW w:w="1134" w:type="dxa"/>
                  <w:vAlign w:val="center"/>
                </w:tcPr>
                <w:p w14:paraId="520ABEE5">
                  <w:pPr>
                    <w:contextualSpacing/>
                    <w:jc w:val="center"/>
                    <w:textAlignment w:val="baseline"/>
                    <w:rPr>
                      <w:kern w:val="0"/>
                      <w:szCs w:val="21"/>
                    </w:rPr>
                  </w:pPr>
                  <w:r>
                    <w:rPr>
                      <w:rFonts w:hint="eastAsia"/>
                      <w:kern w:val="0"/>
                      <w:szCs w:val="21"/>
                    </w:rPr>
                    <w:t>东7m</w:t>
                  </w:r>
                </w:p>
              </w:tc>
              <w:tc>
                <w:tcPr>
                  <w:tcW w:w="779" w:type="dxa"/>
                  <w:vMerge w:val="restart"/>
                  <w:vAlign w:val="center"/>
                </w:tcPr>
                <w:p w14:paraId="520ABEE6">
                  <w:pPr>
                    <w:contextualSpacing/>
                    <w:jc w:val="center"/>
                    <w:textAlignment w:val="baseline"/>
                    <w:rPr>
                      <w:kern w:val="0"/>
                      <w:szCs w:val="21"/>
                    </w:rPr>
                  </w:pPr>
                  <w:r>
                    <w:rPr>
                      <w:kern w:val="0"/>
                      <w:szCs w:val="21"/>
                    </w:rPr>
                    <w:t>昼间</w:t>
                  </w:r>
                </w:p>
              </w:tc>
              <w:tc>
                <w:tcPr>
                  <w:tcW w:w="780" w:type="dxa"/>
                  <w:vAlign w:val="center"/>
                </w:tcPr>
                <w:p w14:paraId="520ABEE7">
                  <w:pPr>
                    <w:contextualSpacing/>
                    <w:jc w:val="center"/>
                    <w:textAlignment w:val="baseline"/>
                    <w:rPr>
                      <w:kern w:val="0"/>
                      <w:szCs w:val="21"/>
                    </w:rPr>
                  </w:pPr>
                  <w:r>
                    <w:rPr>
                      <w:rFonts w:hint="eastAsia"/>
                      <w:kern w:val="0"/>
                      <w:szCs w:val="21"/>
                    </w:rPr>
                    <w:t>5</w:t>
                  </w:r>
                  <w:r>
                    <w:rPr>
                      <w:kern w:val="0"/>
                      <w:szCs w:val="21"/>
                    </w:rPr>
                    <w:t>2</w:t>
                  </w:r>
                </w:p>
              </w:tc>
              <w:tc>
                <w:tcPr>
                  <w:tcW w:w="779" w:type="dxa"/>
                  <w:vMerge w:val="restart"/>
                  <w:vAlign w:val="center"/>
                </w:tcPr>
                <w:p w14:paraId="520ABEE8">
                  <w:pPr>
                    <w:contextualSpacing/>
                    <w:jc w:val="center"/>
                    <w:textAlignment w:val="baseline"/>
                    <w:rPr>
                      <w:kern w:val="0"/>
                      <w:szCs w:val="21"/>
                    </w:rPr>
                  </w:pPr>
                  <w:r>
                    <w:rPr>
                      <w:rFonts w:hint="eastAsia"/>
                      <w:kern w:val="0"/>
                      <w:szCs w:val="21"/>
                    </w:rPr>
                    <w:t>夜间</w:t>
                  </w:r>
                </w:p>
              </w:tc>
              <w:tc>
                <w:tcPr>
                  <w:tcW w:w="780" w:type="dxa"/>
                  <w:vAlign w:val="center"/>
                </w:tcPr>
                <w:p w14:paraId="520ABEE9">
                  <w:pPr>
                    <w:contextualSpacing/>
                    <w:jc w:val="center"/>
                    <w:textAlignment w:val="baseline"/>
                    <w:rPr>
                      <w:kern w:val="0"/>
                      <w:szCs w:val="21"/>
                    </w:rPr>
                  </w:pPr>
                  <w:r>
                    <w:rPr>
                      <w:rFonts w:hint="eastAsia"/>
                      <w:kern w:val="0"/>
                      <w:szCs w:val="21"/>
                    </w:rPr>
                    <w:t>39</w:t>
                  </w:r>
                </w:p>
              </w:tc>
              <w:tc>
                <w:tcPr>
                  <w:tcW w:w="951" w:type="dxa"/>
                  <w:vAlign w:val="center"/>
                </w:tcPr>
                <w:p w14:paraId="520ABEEA">
                  <w:pPr>
                    <w:contextualSpacing/>
                    <w:jc w:val="center"/>
                    <w:textAlignment w:val="baseline"/>
                    <w:rPr>
                      <w:kern w:val="0"/>
                      <w:szCs w:val="21"/>
                    </w:rPr>
                  </w:pPr>
                  <w:r>
                    <w:rPr>
                      <w:rFonts w:hint="eastAsia"/>
                      <w:kern w:val="0"/>
                      <w:szCs w:val="21"/>
                    </w:rPr>
                    <w:t>昼间55、夜间4</w:t>
                  </w:r>
                  <w:r>
                    <w:rPr>
                      <w:kern w:val="0"/>
                      <w:szCs w:val="21"/>
                    </w:rPr>
                    <w:t>5</w:t>
                  </w:r>
                </w:p>
              </w:tc>
            </w:tr>
            <w:tr w14:paraId="520ABEF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45" w:type="dxa"/>
                  <w:vAlign w:val="center"/>
                </w:tcPr>
                <w:p w14:paraId="520ABEEC">
                  <w:pPr>
                    <w:adjustRightInd w:val="0"/>
                    <w:snapToGrid w:val="0"/>
                    <w:jc w:val="center"/>
                    <w:rPr>
                      <w:szCs w:val="21"/>
                    </w:rPr>
                  </w:pPr>
                  <w:r>
                    <w:rPr>
                      <w:rFonts w:hint="eastAsia"/>
                      <w:szCs w:val="21"/>
                    </w:rPr>
                    <w:t>2</w:t>
                  </w:r>
                </w:p>
              </w:tc>
              <w:tc>
                <w:tcPr>
                  <w:tcW w:w="2126" w:type="dxa"/>
                  <w:vAlign w:val="center"/>
                </w:tcPr>
                <w:p w14:paraId="520ABEED">
                  <w:pPr>
                    <w:adjustRightInd w:val="0"/>
                    <w:snapToGrid w:val="0"/>
                    <w:jc w:val="center"/>
                    <w:rPr>
                      <w:szCs w:val="21"/>
                    </w:rPr>
                  </w:pPr>
                  <w:r>
                    <w:rPr>
                      <w:szCs w:val="21"/>
                    </w:rPr>
                    <w:t>坛后新村</w:t>
                  </w:r>
                </w:p>
              </w:tc>
              <w:tc>
                <w:tcPr>
                  <w:tcW w:w="1134" w:type="dxa"/>
                  <w:vAlign w:val="center"/>
                </w:tcPr>
                <w:p w14:paraId="520ABEEE">
                  <w:pPr>
                    <w:contextualSpacing/>
                    <w:jc w:val="center"/>
                    <w:textAlignment w:val="baseline"/>
                    <w:rPr>
                      <w:kern w:val="0"/>
                      <w:szCs w:val="21"/>
                    </w:rPr>
                  </w:pPr>
                  <w:r>
                    <w:rPr>
                      <w:kern w:val="0"/>
                      <w:szCs w:val="21"/>
                    </w:rPr>
                    <w:t>北</w:t>
                  </w:r>
                  <w:r>
                    <w:rPr>
                      <w:rFonts w:hint="eastAsia"/>
                      <w:kern w:val="0"/>
                      <w:szCs w:val="21"/>
                    </w:rPr>
                    <w:t>2m</w:t>
                  </w:r>
                </w:p>
              </w:tc>
              <w:tc>
                <w:tcPr>
                  <w:tcW w:w="779" w:type="dxa"/>
                  <w:vMerge w:val="continue"/>
                  <w:vAlign w:val="center"/>
                </w:tcPr>
                <w:p w14:paraId="520ABEEF">
                  <w:pPr>
                    <w:contextualSpacing/>
                    <w:jc w:val="center"/>
                    <w:textAlignment w:val="baseline"/>
                    <w:rPr>
                      <w:kern w:val="0"/>
                      <w:szCs w:val="21"/>
                    </w:rPr>
                  </w:pPr>
                </w:p>
              </w:tc>
              <w:tc>
                <w:tcPr>
                  <w:tcW w:w="780" w:type="dxa"/>
                  <w:vAlign w:val="center"/>
                </w:tcPr>
                <w:p w14:paraId="520ABEF0">
                  <w:pPr>
                    <w:contextualSpacing/>
                    <w:jc w:val="center"/>
                    <w:textAlignment w:val="baseline"/>
                    <w:rPr>
                      <w:kern w:val="0"/>
                      <w:szCs w:val="21"/>
                    </w:rPr>
                  </w:pPr>
                  <w:r>
                    <w:rPr>
                      <w:rFonts w:hint="eastAsia"/>
                      <w:kern w:val="0"/>
                      <w:szCs w:val="21"/>
                    </w:rPr>
                    <w:t>52</w:t>
                  </w:r>
                </w:p>
              </w:tc>
              <w:tc>
                <w:tcPr>
                  <w:tcW w:w="779" w:type="dxa"/>
                  <w:vMerge w:val="continue"/>
                  <w:vAlign w:val="center"/>
                </w:tcPr>
                <w:p w14:paraId="520ABEF1">
                  <w:pPr>
                    <w:contextualSpacing/>
                    <w:jc w:val="center"/>
                    <w:textAlignment w:val="baseline"/>
                    <w:rPr>
                      <w:kern w:val="0"/>
                      <w:szCs w:val="21"/>
                    </w:rPr>
                  </w:pPr>
                </w:p>
              </w:tc>
              <w:tc>
                <w:tcPr>
                  <w:tcW w:w="780" w:type="dxa"/>
                  <w:vAlign w:val="center"/>
                </w:tcPr>
                <w:p w14:paraId="520ABEF2">
                  <w:pPr>
                    <w:contextualSpacing/>
                    <w:jc w:val="center"/>
                    <w:textAlignment w:val="baseline"/>
                    <w:rPr>
                      <w:kern w:val="0"/>
                      <w:szCs w:val="21"/>
                    </w:rPr>
                  </w:pPr>
                  <w:r>
                    <w:rPr>
                      <w:rFonts w:hint="eastAsia"/>
                      <w:kern w:val="0"/>
                      <w:szCs w:val="21"/>
                    </w:rPr>
                    <w:t>41</w:t>
                  </w:r>
                </w:p>
              </w:tc>
              <w:tc>
                <w:tcPr>
                  <w:tcW w:w="951" w:type="dxa"/>
                  <w:vMerge w:val="restart"/>
                  <w:vAlign w:val="center"/>
                </w:tcPr>
                <w:p w14:paraId="520ABEF3">
                  <w:pPr>
                    <w:contextualSpacing/>
                    <w:jc w:val="center"/>
                    <w:textAlignment w:val="baseline"/>
                    <w:rPr>
                      <w:kern w:val="0"/>
                      <w:szCs w:val="21"/>
                    </w:rPr>
                  </w:pPr>
                  <w:r>
                    <w:rPr>
                      <w:rFonts w:hint="eastAsia"/>
                      <w:kern w:val="0"/>
                      <w:szCs w:val="21"/>
                    </w:rPr>
                    <w:t>昼间60、夜间5</w:t>
                  </w:r>
                  <w:r>
                    <w:rPr>
                      <w:kern w:val="0"/>
                      <w:szCs w:val="21"/>
                    </w:rPr>
                    <w:t>0</w:t>
                  </w:r>
                </w:p>
              </w:tc>
            </w:tr>
            <w:tr w14:paraId="520ABEF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45" w:type="dxa"/>
                  <w:vAlign w:val="center"/>
                </w:tcPr>
                <w:p w14:paraId="520ABEF5">
                  <w:pPr>
                    <w:adjustRightInd w:val="0"/>
                    <w:snapToGrid w:val="0"/>
                    <w:jc w:val="center"/>
                    <w:rPr>
                      <w:szCs w:val="21"/>
                    </w:rPr>
                  </w:pPr>
                  <w:r>
                    <w:rPr>
                      <w:rFonts w:hint="eastAsia"/>
                      <w:szCs w:val="21"/>
                    </w:rPr>
                    <w:t>3</w:t>
                  </w:r>
                </w:p>
              </w:tc>
              <w:tc>
                <w:tcPr>
                  <w:tcW w:w="2126" w:type="dxa"/>
                  <w:vAlign w:val="center"/>
                </w:tcPr>
                <w:p w14:paraId="520ABEF6">
                  <w:pPr>
                    <w:adjustRightInd w:val="0"/>
                    <w:snapToGrid w:val="0"/>
                    <w:jc w:val="center"/>
                    <w:rPr>
                      <w:szCs w:val="21"/>
                    </w:rPr>
                  </w:pPr>
                  <w:r>
                    <w:rPr>
                      <w:szCs w:val="21"/>
                    </w:rPr>
                    <w:t>静馨嘉园小区</w:t>
                  </w:r>
                </w:p>
              </w:tc>
              <w:tc>
                <w:tcPr>
                  <w:tcW w:w="1134" w:type="dxa"/>
                  <w:vAlign w:val="center"/>
                </w:tcPr>
                <w:p w14:paraId="520ABEF7">
                  <w:pPr>
                    <w:contextualSpacing/>
                    <w:jc w:val="center"/>
                    <w:textAlignment w:val="baseline"/>
                    <w:rPr>
                      <w:kern w:val="0"/>
                      <w:szCs w:val="21"/>
                    </w:rPr>
                  </w:pPr>
                  <w:r>
                    <w:rPr>
                      <w:rFonts w:hint="eastAsia"/>
                      <w:kern w:val="0"/>
                      <w:szCs w:val="21"/>
                    </w:rPr>
                    <w:t>东7m</w:t>
                  </w:r>
                </w:p>
              </w:tc>
              <w:tc>
                <w:tcPr>
                  <w:tcW w:w="779" w:type="dxa"/>
                  <w:vMerge w:val="continue"/>
                  <w:vAlign w:val="center"/>
                </w:tcPr>
                <w:p w14:paraId="520ABEF8">
                  <w:pPr>
                    <w:contextualSpacing/>
                    <w:jc w:val="center"/>
                    <w:textAlignment w:val="baseline"/>
                    <w:rPr>
                      <w:kern w:val="0"/>
                      <w:szCs w:val="21"/>
                    </w:rPr>
                  </w:pPr>
                </w:p>
              </w:tc>
              <w:tc>
                <w:tcPr>
                  <w:tcW w:w="780" w:type="dxa"/>
                  <w:vAlign w:val="center"/>
                </w:tcPr>
                <w:p w14:paraId="520ABEF9">
                  <w:pPr>
                    <w:contextualSpacing/>
                    <w:jc w:val="center"/>
                    <w:textAlignment w:val="baseline"/>
                    <w:rPr>
                      <w:kern w:val="0"/>
                      <w:szCs w:val="21"/>
                    </w:rPr>
                  </w:pPr>
                  <w:r>
                    <w:rPr>
                      <w:rFonts w:hint="eastAsia"/>
                      <w:kern w:val="0"/>
                      <w:szCs w:val="21"/>
                    </w:rPr>
                    <w:t>52</w:t>
                  </w:r>
                </w:p>
              </w:tc>
              <w:tc>
                <w:tcPr>
                  <w:tcW w:w="779" w:type="dxa"/>
                  <w:vMerge w:val="continue"/>
                  <w:vAlign w:val="center"/>
                </w:tcPr>
                <w:p w14:paraId="520ABEFA">
                  <w:pPr>
                    <w:contextualSpacing/>
                    <w:jc w:val="center"/>
                    <w:textAlignment w:val="baseline"/>
                    <w:rPr>
                      <w:kern w:val="0"/>
                      <w:szCs w:val="21"/>
                    </w:rPr>
                  </w:pPr>
                </w:p>
              </w:tc>
              <w:tc>
                <w:tcPr>
                  <w:tcW w:w="780" w:type="dxa"/>
                  <w:vAlign w:val="center"/>
                </w:tcPr>
                <w:p w14:paraId="520ABEFB">
                  <w:pPr>
                    <w:contextualSpacing/>
                    <w:jc w:val="center"/>
                    <w:textAlignment w:val="baseline"/>
                    <w:rPr>
                      <w:kern w:val="0"/>
                      <w:szCs w:val="21"/>
                    </w:rPr>
                  </w:pPr>
                  <w:r>
                    <w:rPr>
                      <w:rFonts w:hint="eastAsia"/>
                      <w:kern w:val="0"/>
                      <w:szCs w:val="21"/>
                    </w:rPr>
                    <w:t>40</w:t>
                  </w:r>
                </w:p>
              </w:tc>
              <w:tc>
                <w:tcPr>
                  <w:tcW w:w="951" w:type="dxa"/>
                  <w:vMerge w:val="continue"/>
                  <w:vAlign w:val="center"/>
                </w:tcPr>
                <w:p w14:paraId="520ABEFC">
                  <w:pPr>
                    <w:contextualSpacing/>
                    <w:jc w:val="center"/>
                    <w:textAlignment w:val="baseline"/>
                    <w:rPr>
                      <w:kern w:val="0"/>
                      <w:szCs w:val="21"/>
                    </w:rPr>
                  </w:pPr>
                </w:p>
              </w:tc>
            </w:tr>
            <w:tr w14:paraId="520ABF0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45" w:type="dxa"/>
                  <w:vAlign w:val="center"/>
                </w:tcPr>
                <w:p w14:paraId="520ABEFE">
                  <w:pPr>
                    <w:adjustRightInd w:val="0"/>
                    <w:snapToGrid w:val="0"/>
                    <w:jc w:val="center"/>
                    <w:rPr>
                      <w:szCs w:val="21"/>
                    </w:rPr>
                  </w:pPr>
                  <w:r>
                    <w:rPr>
                      <w:rFonts w:hint="eastAsia"/>
                      <w:szCs w:val="21"/>
                    </w:rPr>
                    <w:t>4</w:t>
                  </w:r>
                </w:p>
              </w:tc>
              <w:tc>
                <w:tcPr>
                  <w:tcW w:w="2126" w:type="dxa"/>
                  <w:vAlign w:val="center"/>
                </w:tcPr>
                <w:p w14:paraId="520ABEFF">
                  <w:pPr>
                    <w:adjustRightInd w:val="0"/>
                    <w:snapToGrid w:val="0"/>
                    <w:jc w:val="center"/>
                    <w:rPr>
                      <w:szCs w:val="21"/>
                    </w:rPr>
                  </w:pPr>
                  <w:r>
                    <w:rPr>
                      <w:szCs w:val="21"/>
                    </w:rPr>
                    <w:t>豫新</w:t>
                  </w:r>
                  <w:r>
                    <w:rPr>
                      <w:rFonts w:hint="eastAsia"/>
                      <w:szCs w:val="21"/>
                    </w:rPr>
                    <w:t>五</w:t>
                  </w:r>
                  <w:r>
                    <w:rPr>
                      <w:szCs w:val="21"/>
                    </w:rPr>
                    <w:t>号</w:t>
                  </w:r>
                  <w:r>
                    <w:rPr>
                      <w:rFonts w:hint="eastAsia"/>
                      <w:szCs w:val="21"/>
                    </w:rPr>
                    <w:t>生</w:t>
                  </w:r>
                  <w:r>
                    <w:rPr>
                      <w:szCs w:val="21"/>
                    </w:rPr>
                    <w:t>活区</w:t>
                  </w:r>
                </w:p>
              </w:tc>
              <w:tc>
                <w:tcPr>
                  <w:tcW w:w="1134" w:type="dxa"/>
                  <w:vAlign w:val="center"/>
                </w:tcPr>
                <w:p w14:paraId="520ABF00">
                  <w:pPr>
                    <w:contextualSpacing/>
                    <w:jc w:val="center"/>
                    <w:textAlignment w:val="baseline"/>
                    <w:rPr>
                      <w:kern w:val="0"/>
                      <w:szCs w:val="21"/>
                    </w:rPr>
                  </w:pPr>
                  <w:r>
                    <w:rPr>
                      <w:rFonts w:hint="eastAsia"/>
                      <w:kern w:val="0"/>
                      <w:szCs w:val="21"/>
                    </w:rPr>
                    <w:t>东7m</w:t>
                  </w:r>
                </w:p>
              </w:tc>
              <w:tc>
                <w:tcPr>
                  <w:tcW w:w="779" w:type="dxa"/>
                  <w:vMerge w:val="continue"/>
                  <w:vAlign w:val="center"/>
                </w:tcPr>
                <w:p w14:paraId="520ABF01">
                  <w:pPr>
                    <w:contextualSpacing/>
                    <w:jc w:val="center"/>
                    <w:textAlignment w:val="baseline"/>
                    <w:rPr>
                      <w:kern w:val="0"/>
                      <w:szCs w:val="21"/>
                    </w:rPr>
                  </w:pPr>
                </w:p>
              </w:tc>
              <w:tc>
                <w:tcPr>
                  <w:tcW w:w="780" w:type="dxa"/>
                  <w:vAlign w:val="center"/>
                </w:tcPr>
                <w:p w14:paraId="520ABF02">
                  <w:pPr>
                    <w:contextualSpacing/>
                    <w:jc w:val="center"/>
                    <w:textAlignment w:val="baseline"/>
                    <w:rPr>
                      <w:kern w:val="0"/>
                      <w:szCs w:val="21"/>
                    </w:rPr>
                  </w:pPr>
                  <w:r>
                    <w:rPr>
                      <w:rFonts w:hint="eastAsia"/>
                      <w:kern w:val="0"/>
                      <w:szCs w:val="21"/>
                    </w:rPr>
                    <w:t>52</w:t>
                  </w:r>
                </w:p>
              </w:tc>
              <w:tc>
                <w:tcPr>
                  <w:tcW w:w="779" w:type="dxa"/>
                  <w:vMerge w:val="continue"/>
                  <w:vAlign w:val="center"/>
                </w:tcPr>
                <w:p w14:paraId="520ABF03">
                  <w:pPr>
                    <w:contextualSpacing/>
                    <w:jc w:val="center"/>
                    <w:textAlignment w:val="baseline"/>
                    <w:rPr>
                      <w:kern w:val="0"/>
                      <w:szCs w:val="21"/>
                    </w:rPr>
                  </w:pPr>
                </w:p>
              </w:tc>
              <w:tc>
                <w:tcPr>
                  <w:tcW w:w="780" w:type="dxa"/>
                  <w:vAlign w:val="center"/>
                </w:tcPr>
                <w:p w14:paraId="520ABF04">
                  <w:pPr>
                    <w:contextualSpacing/>
                    <w:jc w:val="center"/>
                    <w:textAlignment w:val="baseline"/>
                    <w:rPr>
                      <w:kern w:val="0"/>
                      <w:szCs w:val="21"/>
                    </w:rPr>
                  </w:pPr>
                  <w:r>
                    <w:rPr>
                      <w:rFonts w:hint="eastAsia"/>
                      <w:kern w:val="0"/>
                      <w:szCs w:val="21"/>
                    </w:rPr>
                    <w:t>40</w:t>
                  </w:r>
                </w:p>
              </w:tc>
              <w:tc>
                <w:tcPr>
                  <w:tcW w:w="951" w:type="dxa"/>
                  <w:vMerge w:val="continue"/>
                  <w:vAlign w:val="center"/>
                </w:tcPr>
                <w:p w14:paraId="520ABF05">
                  <w:pPr>
                    <w:contextualSpacing/>
                    <w:jc w:val="center"/>
                    <w:textAlignment w:val="baseline"/>
                    <w:rPr>
                      <w:kern w:val="0"/>
                      <w:szCs w:val="21"/>
                    </w:rPr>
                  </w:pPr>
                </w:p>
              </w:tc>
            </w:tr>
            <w:tr w14:paraId="520ABF0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45" w:type="dxa"/>
                  <w:vAlign w:val="center"/>
                </w:tcPr>
                <w:p w14:paraId="520ABF07">
                  <w:pPr>
                    <w:adjustRightInd w:val="0"/>
                    <w:snapToGrid w:val="0"/>
                    <w:jc w:val="center"/>
                    <w:rPr>
                      <w:szCs w:val="21"/>
                    </w:rPr>
                  </w:pPr>
                  <w:r>
                    <w:rPr>
                      <w:rFonts w:hint="eastAsia"/>
                      <w:szCs w:val="21"/>
                    </w:rPr>
                    <w:t>5</w:t>
                  </w:r>
                </w:p>
              </w:tc>
              <w:tc>
                <w:tcPr>
                  <w:tcW w:w="2126" w:type="dxa"/>
                  <w:vAlign w:val="center"/>
                </w:tcPr>
                <w:p w14:paraId="520ABF08">
                  <w:pPr>
                    <w:adjustRightInd w:val="0"/>
                    <w:snapToGrid w:val="0"/>
                    <w:jc w:val="center"/>
                    <w:rPr>
                      <w:szCs w:val="21"/>
                    </w:rPr>
                  </w:pPr>
                  <w:r>
                    <w:rPr>
                      <w:szCs w:val="21"/>
                    </w:rPr>
                    <w:t>六合园小区</w:t>
                  </w:r>
                </w:p>
              </w:tc>
              <w:tc>
                <w:tcPr>
                  <w:tcW w:w="1134" w:type="dxa"/>
                  <w:vAlign w:val="center"/>
                </w:tcPr>
                <w:p w14:paraId="520ABF09">
                  <w:pPr>
                    <w:contextualSpacing/>
                    <w:jc w:val="center"/>
                    <w:textAlignment w:val="baseline"/>
                    <w:rPr>
                      <w:kern w:val="0"/>
                      <w:szCs w:val="21"/>
                    </w:rPr>
                  </w:pPr>
                  <w:r>
                    <w:rPr>
                      <w:rFonts w:hint="eastAsia"/>
                      <w:kern w:val="0"/>
                      <w:szCs w:val="21"/>
                    </w:rPr>
                    <w:t>东7m</w:t>
                  </w:r>
                </w:p>
              </w:tc>
              <w:tc>
                <w:tcPr>
                  <w:tcW w:w="779" w:type="dxa"/>
                  <w:vMerge w:val="continue"/>
                  <w:vAlign w:val="center"/>
                </w:tcPr>
                <w:p w14:paraId="520ABF0A">
                  <w:pPr>
                    <w:contextualSpacing/>
                    <w:jc w:val="center"/>
                    <w:textAlignment w:val="baseline"/>
                    <w:rPr>
                      <w:kern w:val="0"/>
                      <w:szCs w:val="21"/>
                    </w:rPr>
                  </w:pPr>
                </w:p>
              </w:tc>
              <w:tc>
                <w:tcPr>
                  <w:tcW w:w="780" w:type="dxa"/>
                  <w:vAlign w:val="center"/>
                </w:tcPr>
                <w:p w14:paraId="520ABF0B">
                  <w:pPr>
                    <w:contextualSpacing/>
                    <w:jc w:val="center"/>
                    <w:textAlignment w:val="baseline"/>
                    <w:rPr>
                      <w:kern w:val="0"/>
                      <w:szCs w:val="21"/>
                    </w:rPr>
                  </w:pPr>
                  <w:r>
                    <w:rPr>
                      <w:rFonts w:hint="eastAsia"/>
                      <w:kern w:val="0"/>
                      <w:szCs w:val="21"/>
                    </w:rPr>
                    <w:t>52</w:t>
                  </w:r>
                </w:p>
              </w:tc>
              <w:tc>
                <w:tcPr>
                  <w:tcW w:w="779" w:type="dxa"/>
                  <w:vMerge w:val="continue"/>
                  <w:vAlign w:val="center"/>
                </w:tcPr>
                <w:p w14:paraId="520ABF0C">
                  <w:pPr>
                    <w:contextualSpacing/>
                    <w:jc w:val="center"/>
                    <w:textAlignment w:val="baseline"/>
                    <w:rPr>
                      <w:kern w:val="0"/>
                      <w:szCs w:val="21"/>
                    </w:rPr>
                  </w:pPr>
                </w:p>
              </w:tc>
              <w:tc>
                <w:tcPr>
                  <w:tcW w:w="780" w:type="dxa"/>
                  <w:vAlign w:val="center"/>
                </w:tcPr>
                <w:p w14:paraId="520ABF0D">
                  <w:pPr>
                    <w:contextualSpacing/>
                    <w:jc w:val="center"/>
                    <w:textAlignment w:val="baseline"/>
                    <w:rPr>
                      <w:kern w:val="0"/>
                      <w:szCs w:val="21"/>
                    </w:rPr>
                  </w:pPr>
                  <w:r>
                    <w:rPr>
                      <w:rFonts w:hint="eastAsia"/>
                      <w:kern w:val="0"/>
                      <w:szCs w:val="21"/>
                    </w:rPr>
                    <w:t>41</w:t>
                  </w:r>
                </w:p>
              </w:tc>
              <w:tc>
                <w:tcPr>
                  <w:tcW w:w="951" w:type="dxa"/>
                  <w:vMerge w:val="continue"/>
                  <w:vAlign w:val="center"/>
                </w:tcPr>
                <w:p w14:paraId="520ABF0E">
                  <w:pPr>
                    <w:contextualSpacing/>
                    <w:jc w:val="center"/>
                    <w:textAlignment w:val="baseline"/>
                    <w:rPr>
                      <w:kern w:val="0"/>
                      <w:szCs w:val="21"/>
                    </w:rPr>
                  </w:pPr>
                </w:p>
              </w:tc>
            </w:tr>
            <w:tr w14:paraId="520ABF1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45" w:type="dxa"/>
                  <w:vAlign w:val="center"/>
                </w:tcPr>
                <w:p w14:paraId="520ABF10">
                  <w:pPr>
                    <w:adjustRightInd w:val="0"/>
                    <w:snapToGrid w:val="0"/>
                    <w:jc w:val="center"/>
                    <w:rPr>
                      <w:szCs w:val="21"/>
                    </w:rPr>
                  </w:pPr>
                  <w:r>
                    <w:rPr>
                      <w:rFonts w:hint="eastAsia"/>
                      <w:szCs w:val="21"/>
                    </w:rPr>
                    <w:t>6</w:t>
                  </w:r>
                </w:p>
              </w:tc>
              <w:tc>
                <w:tcPr>
                  <w:tcW w:w="2126" w:type="dxa"/>
                  <w:vAlign w:val="center"/>
                </w:tcPr>
                <w:p w14:paraId="520ABF11">
                  <w:pPr>
                    <w:adjustRightInd w:val="0"/>
                    <w:snapToGrid w:val="0"/>
                    <w:jc w:val="center"/>
                    <w:rPr>
                      <w:szCs w:val="21"/>
                    </w:rPr>
                  </w:pPr>
                  <w:r>
                    <w:rPr>
                      <w:szCs w:val="21"/>
                    </w:rPr>
                    <w:t>建北小区</w:t>
                  </w:r>
                </w:p>
              </w:tc>
              <w:tc>
                <w:tcPr>
                  <w:tcW w:w="1134" w:type="dxa"/>
                  <w:vAlign w:val="center"/>
                </w:tcPr>
                <w:p w14:paraId="520ABF12">
                  <w:pPr>
                    <w:contextualSpacing/>
                    <w:jc w:val="center"/>
                    <w:textAlignment w:val="baseline"/>
                    <w:rPr>
                      <w:kern w:val="0"/>
                      <w:szCs w:val="21"/>
                    </w:rPr>
                  </w:pPr>
                  <w:r>
                    <w:rPr>
                      <w:rFonts w:hint="eastAsia"/>
                      <w:kern w:val="0"/>
                      <w:szCs w:val="21"/>
                    </w:rPr>
                    <w:t>北15m</w:t>
                  </w:r>
                </w:p>
              </w:tc>
              <w:tc>
                <w:tcPr>
                  <w:tcW w:w="779" w:type="dxa"/>
                  <w:vMerge w:val="continue"/>
                  <w:vAlign w:val="center"/>
                </w:tcPr>
                <w:p w14:paraId="520ABF13">
                  <w:pPr>
                    <w:contextualSpacing/>
                    <w:jc w:val="center"/>
                    <w:textAlignment w:val="baseline"/>
                    <w:rPr>
                      <w:kern w:val="0"/>
                      <w:szCs w:val="21"/>
                    </w:rPr>
                  </w:pPr>
                </w:p>
              </w:tc>
              <w:tc>
                <w:tcPr>
                  <w:tcW w:w="780" w:type="dxa"/>
                  <w:vAlign w:val="center"/>
                </w:tcPr>
                <w:p w14:paraId="520ABF14">
                  <w:pPr>
                    <w:contextualSpacing/>
                    <w:jc w:val="center"/>
                    <w:textAlignment w:val="baseline"/>
                    <w:rPr>
                      <w:kern w:val="0"/>
                      <w:szCs w:val="21"/>
                    </w:rPr>
                  </w:pPr>
                  <w:r>
                    <w:rPr>
                      <w:rFonts w:hint="eastAsia"/>
                      <w:kern w:val="0"/>
                      <w:szCs w:val="21"/>
                    </w:rPr>
                    <w:t>52</w:t>
                  </w:r>
                </w:p>
              </w:tc>
              <w:tc>
                <w:tcPr>
                  <w:tcW w:w="779" w:type="dxa"/>
                  <w:vMerge w:val="continue"/>
                  <w:vAlign w:val="center"/>
                </w:tcPr>
                <w:p w14:paraId="520ABF15">
                  <w:pPr>
                    <w:contextualSpacing/>
                    <w:jc w:val="center"/>
                    <w:textAlignment w:val="baseline"/>
                    <w:rPr>
                      <w:kern w:val="0"/>
                      <w:szCs w:val="21"/>
                    </w:rPr>
                  </w:pPr>
                </w:p>
              </w:tc>
              <w:tc>
                <w:tcPr>
                  <w:tcW w:w="780" w:type="dxa"/>
                  <w:vAlign w:val="center"/>
                </w:tcPr>
                <w:p w14:paraId="520ABF16">
                  <w:pPr>
                    <w:contextualSpacing/>
                    <w:jc w:val="center"/>
                    <w:textAlignment w:val="baseline"/>
                    <w:rPr>
                      <w:kern w:val="0"/>
                      <w:szCs w:val="21"/>
                    </w:rPr>
                  </w:pPr>
                  <w:r>
                    <w:rPr>
                      <w:rFonts w:hint="eastAsia"/>
                      <w:kern w:val="0"/>
                      <w:szCs w:val="21"/>
                    </w:rPr>
                    <w:t>41</w:t>
                  </w:r>
                </w:p>
              </w:tc>
              <w:tc>
                <w:tcPr>
                  <w:tcW w:w="951" w:type="dxa"/>
                  <w:vMerge w:val="continue"/>
                  <w:vAlign w:val="center"/>
                </w:tcPr>
                <w:p w14:paraId="520ABF17">
                  <w:pPr>
                    <w:contextualSpacing/>
                    <w:jc w:val="center"/>
                    <w:textAlignment w:val="baseline"/>
                    <w:rPr>
                      <w:kern w:val="0"/>
                      <w:szCs w:val="21"/>
                    </w:rPr>
                  </w:pPr>
                </w:p>
              </w:tc>
            </w:tr>
            <w:tr w14:paraId="520ABF2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45" w:type="dxa"/>
                  <w:vAlign w:val="center"/>
                </w:tcPr>
                <w:p w14:paraId="520ABF19">
                  <w:pPr>
                    <w:adjustRightInd w:val="0"/>
                    <w:snapToGrid w:val="0"/>
                    <w:jc w:val="center"/>
                    <w:rPr>
                      <w:szCs w:val="21"/>
                    </w:rPr>
                  </w:pPr>
                  <w:r>
                    <w:rPr>
                      <w:rFonts w:hint="eastAsia"/>
                      <w:szCs w:val="21"/>
                    </w:rPr>
                    <w:t>7</w:t>
                  </w:r>
                </w:p>
              </w:tc>
              <w:tc>
                <w:tcPr>
                  <w:tcW w:w="2126" w:type="dxa"/>
                  <w:vAlign w:val="center"/>
                </w:tcPr>
                <w:p w14:paraId="520ABF1A">
                  <w:pPr>
                    <w:adjustRightInd w:val="0"/>
                    <w:snapToGrid w:val="0"/>
                    <w:jc w:val="center"/>
                    <w:rPr>
                      <w:szCs w:val="21"/>
                    </w:rPr>
                  </w:pPr>
                  <w:r>
                    <w:rPr>
                      <w:szCs w:val="21"/>
                    </w:rPr>
                    <w:t>豫新生活区南院</w:t>
                  </w:r>
                </w:p>
              </w:tc>
              <w:tc>
                <w:tcPr>
                  <w:tcW w:w="1134" w:type="dxa"/>
                  <w:vAlign w:val="center"/>
                </w:tcPr>
                <w:p w14:paraId="520ABF1B">
                  <w:pPr>
                    <w:contextualSpacing/>
                    <w:jc w:val="center"/>
                    <w:textAlignment w:val="baseline"/>
                    <w:rPr>
                      <w:kern w:val="0"/>
                      <w:szCs w:val="21"/>
                    </w:rPr>
                  </w:pPr>
                  <w:r>
                    <w:rPr>
                      <w:rFonts w:hint="eastAsia"/>
                      <w:kern w:val="0"/>
                      <w:szCs w:val="21"/>
                    </w:rPr>
                    <w:t>南30m</w:t>
                  </w:r>
                </w:p>
              </w:tc>
              <w:tc>
                <w:tcPr>
                  <w:tcW w:w="779" w:type="dxa"/>
                  <w:vMerge w:val="continue"/>
                  <w:vAlign w:val="center"/>
                </w:tcPr>
                <w:p w14:paraId="520ABF1C">
                  <w:pPr>
                    <w:contextualSpacing/>
                    <w:jc w:val="center"/>
                    <w:textAlignment w:val="baseline"/>
                    <w:rPr>
                      <w:kern w:val="0"/>
                      <w:szCs w:val="21"/>
                    </w:rPr>
                  </w:pPr>
                </w:p>
              </w:tc>
              <w:tc>
                <w:tcPr>
                  <w:tcW w:w="780" w:type="dxa"/>
                  <w:vAlign w:val="center"/>
                </w:tcPr>
                <w:p w14:paraId="520ABF1D">
                  <w:pPr>
                    <w:contextualSpacing/>
                    <w:jc w:val="center"/>
                    <w:textAlignment w:val="baseline"/>
                    <w:rPr>
                      <w:kern w:val="0"/>
                      <w:szCs w:val="21"/>
                    </w:rPr>
                  </w:pPr>
                  <w:r>
                    <w:rPr>
                      <w:rFonts w:hint="eastAsia"/>
                      <w:kern w:val="0"/>
                      <w:szCs w:val="21"/>
                    </w:rPr>
                    <w:t>54</w:t>
                  </w:r>
                </w:p>
              </w:tc>
              <w:tc>
                <w:tcPr>
                  <w:tcW w:w="779" w:type="dxa"/>
                  <w:vMerge w:val="continue"/>
                  <w:vAlign w:val="center"/>
                </w:tcPr>
                <w:p w14:paraId="520ABF1E">
                  <w:pPr>
                    <w:contextualSpacing/>
                    <w:jc w:val="center"/>
                    <w:textAlignment w:val="baseline"/>
                    <w:rPr>
                      <w:kern w:val="0"/>
                      <w:szCs w:val="21"/>
                    </w:rPr>
                  </w:pPr>
                </w:p>
              </w:tc>
              <w:tc>
                <w:tcPr>
                  <w:tcW w:w="780" w:type="dxa"/>
                  <w:vAlign w:val="center"/>
                </w:tcPr>
                <w:p w14:paraId="520ABF1F">
                  <w:pPr>
                    <w:contextualSpacing/>
                    <w:jc w:val="center"/>
                    <w:textAlignment w:val="baseline"/>
                    <w:rPr>
                      <w:kern w:val="0"/>
                      <w:szCs w:val="21"/>
                    </w:rPr>
                  </w:pPr>
                  <w:r>
                    <w:rPr>
                      <w:rFonts w:hint="eastAsia"/>
                      <w:kern w:val="0"/>
                      <w:szCs w:val="21"/>
                    </w:rPr>
                    <w:t>42</w:t>
                  </w:r>
                </w:p>
              </w:tc>
              <w:tc>
                <w:tcPr>
                  <w:tcW w:w="951" w:type="dxa"/>
                  <w:vMerge w:val="continue"/>
                  <w:vAlign w:val="center"/>
                </w:tcPr>
                <w:p w14:paraId="520ABF20">
                  <w:pPr>
                    <w:contextualSpacing/>
                    <w:jc w:val="center"/>
                    <w:textAlignment w:val="baseline"/>
                    <w:rPr>
                      <w:kern w:val="0"/>
                      <w:szCs w:val="21"/>
                    </w:rPr>
                  </w:pPr>
                </w:p>
              </w:tc>
            </w:tr>
            <w:tr w14:paraId="520ABF2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45" w:type="dxa"/>
                  <w:vAlign w:val="center"/>
                </w:tcPr>
                <w:p w14:paraId="520ABF22">
                  <w:pPr>
                    <w:adjustRightInd w:val="0"/>
                    <w:snapToGrid w:val="0"/>
                    <w:jc w:val="center"/>
                    <w:rPr>
                      <w:szCs w:val="21"/>
                    </w:rPr>
                  </w:pPr>
                  <w:r>
                    <w:rPr>
                      <w:rFonts w:hint="eastAsia"/>
                      <w:szCs w:val="21"/>
                    </w:rPr>
                    <w:t>8</w:t>
                  </w:r>
                </w:p>
              </w:tc>
              <w:tc>
                <w:tcPr>
                  <w:tcW w:w="2126" w:type="dxa"/>
                  <w:vAlign w:val="center"/>
                </w:tcPr>
                <w:p w14:paraId="520ABF23">
                  <w:pPr>
                    <w:adjustRightInd w:val="0"/>
                    <w:snapToGrid w:val="0"/>
                    <w:jc w:val="center"/>
                    <w:rPr>
                      <w:szCs w:val="21"/>
                    </w:rPr>
                  </w:pPr>
                  <w:r>
                    <w:rPr>
                      <w:szCs w:val="21"/>
                    </w:rPr>
                    <w:t>太</w:t>
                  </w:r>
                  <w:r>
                    <w:rPr>
                      <w:rFonts w:hint="eastAsia"/>
                      <w:szCs w:val="21"/>
                    </w:rPr>
                    <w:t>行</w:t>
                  </w:r>
                  <w:r>
                    <w:rPr>
                      <w:szCs w:val="21"/>
                    </w:rPr>
                    <w:t>电源集团家属院</w:t>
                  </w:r>
                </w:p>
              </w:tc>
              <w:tc>
                <w:tcPr>
                  <w:tcW w:w="1134" w:type="dxa"/>
                  <w:vAlign w:val="center"/>
                </w:tcPr>
                <w:p w14:paraId="520ABF24">
                  <w:pPr>
                    <w:contextualSpacing/>
                    <w:jc w:val="center"/>
                    <w:textAlignment w:val="baseline"/>
                    <w:rPr>
                      <w:kern w:val="0"/>
                      <w:szCs w:val="21"/>
                    </w:rPr>
                  </w:pPr>
                  <w:r>
                    <w:rPr>
                      <w:rFonts w:hint="eastAsia"/>
                      <w:kern w:val="0"/>
                      <w:szCs w:val="21"/>
                    </w:rPr>
                    <w:t>南30m</w:t>
                  </w:r>
                </w:p>
              </w:tc>
              <w:tc>
                <w:tcPr>
                  <w:tcW w:w="779" w:type="dxa"/>
                  <w:vMerge w:val="continue"/>
                  <w:vAlign w:val="center"/>
                </w:tcPr>
                <w:p w14:paraId="520ABF25">
                  <w:pPr>
                    <w:contextualSpacing/>
                    <w:jc w:val="center"/>
                    <w:textAlignment w:val="baseline"/>
                    <w:rPr>
                      <w:kern w:val="0"/>
                      <w:szCs w:val="21"/>
                    </w:rPr>
                  </w:pPr>
                </w:p>
              </w:tc>
              <w:tc>
                <w:tcPr>
                  <w:tcW w:w="780" w:type="dxa"/>
                  <w:vAlign w:val="center"/>
                </w:tcPr>
                <w:p w14:paraId="520ABF26">
                  <w:pPr>
                    <w:contextualSpacing/>
                    <w:jc w:val="center"/>
                    <w:textAlignment w:val="baseline"/>
                    <w:rPr>
                      <w:kern w:val="0"/>
                      <w:szCs w:val="21"/>
                    </w:rPr>
                  </w:pPr>
                  <w:r>
                    <w:rPr>
                      <w:rFonts w:hint="eastAsia"/>
                      <w:kern w:val="0"/>
                      <w:szCs w:val="21"/>
                    </w:rPr>
                    <w:t>54</w:t>
                  </w:r>
                </w:p>
              </w:tc>
              <w:tc>
                <w:tcPr>
                  <w:tcW w:w="779" w:type="dxa"/>
                  <w:vMerge w:val="continue"/>
                  <w:vAlign w:val="center"/>
                </w:tcPr>
                <w:p w14:paraId="520ABF27">
                  <w:pPr>
                    <w:contextualSpacing/>
                    <w:jc w:val="center"/>
                    <w:textAlignment w:val="baseline"/>
                    <w:rPr>
                      <w:kern w:val="0"/>
                      <w:szCs w:val="21"/>
                    </w:rPr>
                  </w:pPr>
                </w:p>
              </w:tc>
              <w:tc>
                <w:tcPr>
                  <w:tcW w:w="780" w:type="dxa"/>
                  <w:vAlign w:val="center"/>
                </w:tcPr>
                <w:p w14:paraId="520ABF28">
                  <w:pPr>
                    <w:contextualSpacing/>
                    <w:jc w:val="center"/>
                    <w:textAlignment w:val="baseline"/>
                    <w:rPr>
                      <w:kern w:val="0"/>
                      <w:szCs w:val="21"/>
                    </w:rPr>
                  </w:pPr>
                  <w:r>
                    <w:rPr>
                      <w:rFonts w:hint="eastAsia"/>
                      <w:kern w:val="0"/>
                      <w:szCs w:val="21"/>
                    </w:rPr>
                    <w:t>42</w:t>
                  </w:r>
                </w:p>
              </w:tc>
              <w:tc>
                <w:tcPr>
                  <w:tcW w:w="951" w:type="dxa"/>
                  <w:vMerge w:val="continue"/>
                  <w:vAlign w:val="center"/>
                </w:tcPr>
                <w:p w14:paraId="520ABF29">
                  <w:pPr>
                    <w:contextualSpacing/>
                    <w:jc w:val="center"/>
                    <w:textAlignment w:val="baseline"/>
                    <w:rPr>
                      <w:kern w:val="0"/>
                      <w:szCs w:val="21"/>
                    </w:rPr>
                  </w:pPr>
                </w:p>
              </w:tc>
            </w:tr>
            <w:tr w14:paraId="520ABF3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45" w:type="dxa"/>
                  <w:vAlign w:val="center"/>
                </w:tcPr>
                <w:p w14:paraId="520ABF2B">
                  <w:pPr>
                    <w:adjustRightInd w:val="0"/>
                    <w:snapToGrid w:val="0"/>
                    <w:jc w:val="center"/>
                    <w:rPr>
                      <w:szCs w:val="21"/>
                    </w:rPr>
                  </w:pPr>
                  <w:r>
                    <w:rPr>
                      <w:rFonts w:hint="eastAsia"/>
                      <w:szCs w:val="21"/>
                    </w:rPr>
                    <w:t>9</w:t>
                  </w:r>
                </w:p>
              </w:tc>
              <w:tc>
                <w:tcPr>
                  <w:tcW w:w="2126" w:type="dxa"/>
                  <w:vAlign w:val="center"/>
                </w:tcPr>
                <w:p w14:paraId="520ABF2C">
                  <w:pPr>
                    <w:adjustRightInd w:val="0"/>
                    <w:snapToGrid w:val="0"/>
                    <w:jc w:val="center"/>
                    <w:rPr>
                      <w:szCs w:val="21"/>
                    </w:rPr>
                  </w:pPr>
                  <w:r>
                    <w:rPr>
                      <w:szCs w:val="21"/>
                    </w:rPr>
                    <w:t>尚都国际</w:t>
                  </w:r>
                </w:p>
              </w:tc>
              <w:tc>
                <w:tcPr>
                  <w:tcW w:w="1134" w:type="dxa"/>
                  <w:vAlign w:val="center"/>
                </w:tcPr>
                <w:p w14:paraId="520ABF2D">
                  <w:pPr>
                    <w:contextualSpacing/>
                    <w:jc w:val="center"/>
                    <w:textAlignment w:val="baseline"/>
                    <w:rPr>
                      <w:kern w:val="0"/>
                      <w:szCs w:val="21"/>
                    </w:rPr>
                  </w:pPr>
                  <w:r>
                    <w:rPr>
                      <w:rFonts w:hint="eastAsia"/>
                      <w:kern w:val="0"/>
                      <w:szCs w:val="21"/>
                    </w:rPr>
                    <w:t>东36m</w:t>
                  </w:r>
                </w:p>
              </w:tc>
              <w:tc>
                <w:tcPr>
                  <w:tcW w:w="779" w:type="dxa"/>
                  <w:vMerge w:val="continue"/>
                  <w:vAlign w:val="center"/>
                </w:tcPr>
                <w:p w14:paraId="520ABF2E">
                  <w:pPr>
                    <w:contextualSpacing/>
                    <w:jc w:val="center"/>
                    <w:textAlignment w:val="baseline"/>
                    <w:rPr>
                      <w:kern w:val="0"/>
                      <w:szCs w:val="21"/>
                    </w:rPr>
                  </w:pPr>
                </w:p>
              </w:tc>
              <w:tc>
                <w:tcPr>
                  <w:tcW w:w="780" w:type="dxa"/>
                  <w:vAlign w:val="center"/>
                </w:tcPr>
                <w:p w14:paraId="520ABF2F">
                  <w:pPr>
                    <w:contextualSpacing/>
                    <w:jc w:val="center"/>
                    <w:textAlignment w:val="baseline"/>
                    <w:rPr>
                      <w:kern w:val="0"/>
                      <w:szCs w:val="21"/>
                    </w:rPr>
                  </w:pPr>
                  <w:r>
                    <w:rPr>
                      <w:rFonts w:hint="eastAsia"/>
                      <w:kern w:val="0"/>
                      <w:szCs w:val="21"/>
                    </w:rPr>
                    <w:t>54</w:t>
                  </w:r>
                </w:p>
              </w:tc>
              <w:tc>
                <w:tcPr>
                  <w:tcW w:w="779" w:type="dxa"/>
                  <w:vMerge w:val="continue"/>
                  <w:vAlign w:val="center"/>
                </w:tcPr>
                <w:p w14:paraId="520ABF30">
                  <w:pPr>
                    <w:contextualSpacing/>
                    <w:jc w:val="center"/>
                    <w:textAlignment w:val="baseline"/>
                    <w:rPr>
                      <w:kern w:val="0"/>
                      <w:szCs w:val="21"/>
                    </w:rPr>
                  </w:pPr>
                </w:p>
              </w:tc>
              <w:tc>
                <w:tcPr>
                  <w:tcW w:w="780" w:type="dxa"/>
                  <w:vAlign w:val="center"/>
                </w:tcPr>
                <w:p w14:paraId="520ABF31">
                  <w:pPr>
                    <w:contextualSpacing/>
                    <w:jc w:val="center"/>
                    <w:textAlignment w:val="baseline"/>
                    <w:rPr>
                      <w:kern w:val="0"/>
                      <w:szCs w:val="21"/>
                    </w:rPr>
                  </w:pPr>
                  <w:r>
                    <w:rPr>
                      <w:rFonts w:hint="eastAsia"/>
                      <w:kern w:val="0"/>
                      <w:szCs w:val="21"/>
                    </w:rPr>
                    <w:t>42</w:t>
                  </w:r>
                </w:p>
              </w:tc>
              <w:tc>
                <w:tcPr>
                  <w:tcW w:w="951" w:type="dxa"/>
                  <w:vMerge w:val="continue"/>
                  <w:vAlign w:val="center"/>
                </w:tcPr>
                <w:p w14:paraId="520ABF32">
                  <w:pPr>
                    <w:contextualSpacing/>
                    <w:jc w:val="center"/>
                    <w:textAlignment w:val="baseline"/>
                    <w:rPr>
                      <w:kern w:val="0"/>
                      <w:szCs w:val="21"/>
                    </w:rPr>
                  </w:pPr>
                </w:p>
              </w:tc>
            </w:tr>
          </w:tbl>
          <w:p w14:paraId="520ABF34">
            <w:pPr>
              <w:adjustRightInd w:val="0"/>
              <w:snapToGrid w:val="0"/>
              <w:spacing w:line="460" w:lineRule="exact"/>
              <w:ind w:firstLine="480" w:firstLineChars="200"/>
              <w:textAlignment w:val="baseline"/>
              <w:rPr>
                <w:rFonts w:eastAsia="黑体"/>
                <w:sz w:val="24"/>
                <w:vertAlign w:val="superscript"/>
              </w:rPr>
            </w:pPr>
            <w:r>
              <w:rPr>
                <w:rFonts w:eastAsia="黑体"/>
                <w:kern w:val="0"/>
                <w:sz w:val="24"/>
              </w:rPr>
              <w:t>表</w:t>
            </w:r>
            <w:r>
              <w:rPr>
                <w:rFonts w:hint="eastAsia" w:eastAsia="黑体"/>
                <w:kern w:val="0"/>
                <w:sz w:val="24"/>
              </w:rPr>
              <w:t>40</w:t>
            </w:r>
            <w:r>
              <w:rPr>
                <w:rFonts w:eastAsia="黑体"/>
                <w:kern w:val="0"/>
                <w:sz w:val="24"/>
              </w:rPr>
              <w:t xml:space="preserve"> </w:t>
            </w:r>
            <w:r>
              <w:rPr>
                <w:rFonts w:hint="eastAsia" w:eastAsia="黑体"/>
                <w:kern w:val="0"/>
                <w:sz w:val="24"/>
              </w:rPr>
              <w:t xml:space="preserve"> </w:t>
            </w:r>
            <w:r>
              <w:rPr>
                <w:rFonts w:hint="eastAsia" w:eastAsia="黑体"/>
                <w:sz w:val="24"/>
                <w:szCs w:val="20"/>
              </w:rPr>
              <w:t>解放路厂区周边50m内环境敏感目标</w:t>
            </w:r>
            <w:r>
              <w:rPr>
                <w:rFonts w:hint="eastAsia" w:eastAsia="黑体"/>
                <w:sz w:val="24"/>
              </w:rPr>
              <w:t>噪声</w:t>
            </w:r>
            <w:r>
              <w:rPr>
                <w:rFonts w:eastAsia="黑体"/>
                <w:sz w:val="24"/>
              </w:rPr>
              <w:t>监测结果</w:t>
            </w:r>
            <w:r>
              <w:rPr>
                <w:rFonts w:hint="eastAsia" w:eastAsia="黑体"/>
                <w:sz w:val="24"/>
              </w:rPr>
              <w:t xml:space="preserve"> </w:t>
            </w:r>
            <w:r>
              <w:rPr>
                <w:rFonts w:eastAsia="黑体"/>
                <w:sz w:val="24"/>
              </w:rPr>
              <w:t xml:space="preserve"> </w:t>
            </w:r>
            <w:r>
              <w:rPr>
                <w:rFonts w:hint="eastAsia" w:eastAsia="黑体"/>
                <w:sz w:val="24"/>
              </w:rPr>
              <w:t>单位：</w:t>
            </w:r>
            <w:r>
              <w:rPr>
                <w:kern w:val="0"/>
                <w:sz w:val="24"/>
              </w:rPr>
              <w:t>dB</w:t>
            </w:r>
            <w:r>
              <w:rPr>
                <w:rFonts w:hint="eastAsia"/>
                <w:kern w:val="0"/>
                <w:sz w:val="24"/>
              </w:rPr>
              <w:t>(</w:t>
            </w:r>
            <w:r>
              <w:rPr>
                <w:kern w:val="0"/>
                <w:sz w:val="24"/>
              </w:rPr>
              <w:t>A)</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07"/>
              <w:gridCol w:w="1418"/>
              <w:gridCol w:w="1133"/>
              <w:gridCol w:w="1133"/>
              <w:gridCol w:w="609"/>
              <w:gridCol w:w="700"/>
              <w:gridCol w:w="700"/>
              <w:gridCol w:w="700"/>
              <w:gridCol w:w="1074"/>
            </w:tblGrid>
            <w:tr w14:paraId="520ABF3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2" w:type="dxa"/>
                  <w:vAlign w:val="center"/>
                </w:tcPr>
                <w:p w14:paraId="520ABF35">
                  <w:pPr>
                    <w:jc w:val="center"/>
                    <w:rPr>
                      <w:b/>
                      <w:szCs w:val="21"/>
                    </w:rPr>
                  </w:pPr>
                  <w:r>
                    <w:rPr>
                      <w:b/>
                      <w:szCs w:val="21"/>
                    </w:rPr>
                    <w:t>序</w:t>
                  </w:r>
                  <w:r>
                    <w:rPr>
                      <w:rFonts w:hint="eastAsia"/>
                      <w:b/>
                      <w:szCs w:val="21"/>
                    </w:rPr>
                    <w:t>号</w:t>
                  </w:r>
                </w:p>
              </w:tc>
              <w:tc>
                <w:tcPr>
                  <w:tcW w:w="1436" w:type="dxa"/>
                  <w:vAlign w:val="center"/>
                </w:tcPr>
                <w:p w14:paraId="520ABF36">
                  <w:pPr>
                    <w:jc w:val="center"/>
                    <w:rPr>
                      <w:b/>
                      <w:szCs w:val="21"/>
                    </w:rPr>
                  </w:pPr>
                  <w:r>
                    <w:rPr>
                      <w:rFonts w:hint="eastAsia"/>
                      <w:b/>
                      <w:szCs w:val="21"/>
                    </w:rPr>
                    <w:t>环境敏感目标</w:t>
                  </w:r>
                </w:p>
              </w:tc>
              <w:tc>
                <w:tcPr>
                  <w:tcW w:w="1148" w:type="dxa"/>
                  <w:vAlign w:val="center"/>
                </w:tcPr>
                <w:p w14:paraId="520ABF37">
                  <w:pPr>
                    <w:jc w:val="center"/>
                    <w:rPr>
                      <w:b/>
                      <w:szCs w:val="21"/>
                    </w:rPr>
                  </w:pPr>
                  <w:r>
                    <w:rPr>
                      <w:b/>
                      <w:szCs w:val="21"/>
                    </w:rPr>
                    <w:t>距离及方位</w:t>
                  </w:r>
                </w:p>
              </w:tc>
              <w:tc>
                <w:tcPr>
                  <w:tcW w:w="1148" w:type="dxa"/>
                  <w:vAlign w:val="center"/>
                </w:tcPr>
                <w:p w14:paraId="520ABF38">
                  <w:pPr>
                    <w:jc w:val="center"/>
                    <w:rPr>
                      <w:b/>
                      <w:szCs w:val="21"/>
                    </w:rPr>
                  </w:pPr>
                  <w:r>
                    <w:rPr>
                      <w:rFonts w:hint="eastAsia"/>
                      <w:b/>
                      <w:szCs w:val="21"/>
                    </w:rPr>
                    <w:t>监测时间</w:t>
                  </w:r>
                </w:p>
              </w:tc>
              <w:tc>
                <w:tcPr>
                  <w:tcW w:w="2743" w:type="dxa"/>
                  <w:gridSpan w:val="4"/>
                  <w:vAlign w:val="center"/>
                </w:tcPr>
                <w:p w14:paraId="520ABF39">
                  <w:pPr>
                    <w:jc w:val="center"/>
                    <w:rPr>
                      <w:b/>
                      <w:szCs w:val="21"/>
                    </w:rPr>
                  </w:pPr>
                  <w:r>
                    <w:rPr>
                      <w:rFonts w:hint="eastAsia"/>
                      <w:b/>
                      <w:szCs w:val="21"/>
                    </w:rPr>
                    <w:t>监测</w:t>
                  </w:r>
                  <w:r>
                    <w:rPr>
                      <w:b/>
                      <w:szCs w:val="21"/>
                    </w:rPr>
                    <w:t>结果</w:t>
                  </w:r>
                </w:p>
              </w:tc>
              <w:tc>
                <w:tcPr>
                  <w:tcW w:w="1088" w:type="dxa"/>
                  <w:vAlign w:val="center"/>
                </w:tcPr>
                <w:p w14:paraId="520ABF3A">
                  <w:pPr>
                    <w:jc w:val="center"/>
                    <w:rPr>
                      <w:b/>
                      <w:szCs w:val="21"/>
                    </w:rPr>
                  </w:pPr>
                  <w:r>
                    <w:rPr>
                      <w:b/>
                      <w:szCs w:val="21"/>
                    </w:rPr>
                    <w:t>标准限值</w:t>
                  </w:r>
                </w:p>
              </w:tc>
            </w:tr>
            <w:tr w14:paraId="520ABF4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2" w:type="dxa"/>
                  <w:vMerge w:val="restart"/>
                  <w:vAlign w:val="center"/>
                </w:tcPr>
                <w:p w14:paraId="520ABF3C">
                  <w:pPr>
                    <w:adjustRightInd w:val="0"/>
                    <w:snapToGrid w:val="0"/>
                    <w:jc w:val="center"/>
                    <w:rPr>
                      <w:szCs w:val="21"/>
                    </w:rPr>
                  </w:pPr>
                  <w:r>
                    <w:rPr>
                      <w:rFonts w:hint="eastAsia"/>
                      <w:szCs w:val="21"/>
                    </w:rPr>
                    <w:t>1</w:t>
                  </w:r>
                </w:p>
              </w:tc>
              <w:tc>
                <w:tcPr>
                  <w:tcW w:w="1436" w:type="dxa"/>
                  <w:vMerge w:val="restart"/>
                  <w:vAlign w:val="center"/>
                </w:tcPr>
                <w:p w14:paraId="520ABF3D">
                  <w:pPr>
                    <w:adjustRightInd w:val="0"/>
                    <w:snapToGrid w:val="0"/>
                    <w:jc w:val="center"/>
                    <w:rPr>
                      <w:szCs w:val="21"/>
                    </w:rPr>
                  </w:pPr>
                  <w:r>
                    <w:rPr>
                      <w:rFonts w:hint="eastAsia"/>
                      <w:szCs w:val="21"/>
                    </w:rPr>
                    <w:t>中原社区</w:t>
                  </w:r>
                </w:p>
              </w:tc>
              <w:tc>
                <w:tcPr>
                  <w:tcW w:w="1148" w:type="dxa"/>
                  <w:vMerge w:val="restart"/>
                  <w:vAlign w:val="center"/>
                </w:tcPr>
                <w:p w14:paraId="520ABF3E">
                  <w:pPr>
                    <w:contextualSpacing/>
                    <w:jc w:val="center"/>
                    <w:textAlignment w:val="baseline"/>
                    <w:rPr>
                      <w:kern w:val="0"/>
                      <w:szCs w:val="21"/>
                    </w:rPr>
                  </w:pPr>
                  <w:r>
                    <w:rPr>
                      <w:rFonts w:hint="eastAsia"/>
                      <w:kern w:val="0"/>
                      <w:szCs w:val="21"/>
                    </w:rPr>
                    <w:t>南</w:t>
                  </w:r>
                  <w:r>
                    <w:rPr>
                      <w:kern w:val="0"/>
                      <w:szCs w:val="21"/>
                    </w:rPr>
                    <w:t>14</w:t>
                  </w:r>
                  <w:r>
                    <w:rPr>
                      <w:rFonts w:hint="eastAsia"/>
                      <w:kern w:val="0"/>
                      <w:szCs w:val="21"/>
                    </w:rPr>
                    <w:t>m</w:t>
                  </w:r>
                </w:p>
              </w:tc>
              <w:tc>
                <w:tcPr>
                  <w:tcW w:w="1148" w:type="dxa"/>
                  <w:vAlign w:val="center"/>
                </w:tcPr>
                <w:p w14:paraId="520ABF3F">
                  <w:pPr>
                    <w:contextualSpacing/>
                    <w:jc w:val="center"/>
                    <w:textAlignment w:val="baseline"/>
                    <w:rPr>
                      <w:kern w:val="0"/>
                      <w:szCs w:val="21"/>
                    </w:rPr>
                  </w:pPr>
                  <w:r>
                    <w:rPr>
                      <w:rFonts w:hint="eastAsia"/>
                      <w:kern w:val="0"/>
                      <w:szCs w:val="21"/>
                    </w:rPr>
                    <w:t>2023.10.18</w:t>
                  </w:r>
                </w:p>
              </w:tc>
              <w:tc>
                <w:tcPr>
                  <w:tcW w:w="616" w:type="dxa"/>
                  <w:vMerge w:val="restart"/>
                  <w:vAlign w:val="center"/>
                </w:tcPr>
                <w:p w14:paraId="520ABF40">
                  <w:pPr>
                    <w:contextualSpacing/>
                    <w:jc w:val="center"/>
                    <w:textAlignment w:val="baseline"/>
                    <w:rPr>
                      <w:kern w:val="0"/>
                      <w:szCs w:val="21"/>
                    </w:rPr>
                  </w:pPr>
                  <w:r>
                    <w:rPr>
                      <w:kern w:val="0"/>
                      <w:szCs w:val="21"/>
                    </w:rPr>
                    <w:t>昼间</w:t>
                  </w:r>
                </w:p>
              </w:tc>
              <w:tc>
                <w:tcPr>
                  <w:tcW w:w="709" w:type="dxa"/>
                  <w:vAlign w:val="center"/>
                </w:tcPr>
                <w:p w14:paraId="520ABF41">
                  <w:pPr>
                    <w:contextualSpacing/>
                    <w:jc w:val="center"/>
                    <w:textAlignment w:val="baseline"/>
                    <w:rPr>
                      <w:kern w:val="0"/>
                      <w:szCs w:val="21"/>
                    </w:rPr>
                  </w:pPr>
                  <w:r>
                    <w:rPr>
                      <w:kern w:val="0"/>
                      <w:szCs w:val="21"/>
                    </w:rPr>
                    <w:t>55.0</w:t>
                  </w:r>
                </w:p>
              </w:tc>
              <w:tc>
                <w:tcPr>
                  <w:tcW w:w="709" w:type="dxa"/>
                  <w:vMerge w:val="restart"/>
                  <w:vAlign w:val="center"/>
                </w:tcPr>
                <w:p w14:paraId="520ABF42">
                  <w:pPr>
                    <w:contextualSpacing/>
                    <w:jc w:val="center"/>
                    <w:textAlignment w:val="baseline"/>
                    <w:rPr>
                      <w:kern w:val="0"/>
                      <w:szCs w:val="21"/>
                    </w:rPr>
                  </w:pPr>
                  <w:r>
                    <w:rPr>
                      <w:rFonts w:hint="eastAsia"/>
                      <w:kern w:val="0"/>
                      <w:szCs w:val="21"/>
                    </w:rPr>
                    <w:t>夜间</w:t>
                  </w:r>
                </w:p>
              </w:tc>
              <w:tc>
                <w:tcPr>
                  <w:tcW w:w="709" w:type="dxa"/>
                  <w:vAlign w:val="center"/>
                </w:tcPr>
                <w:p w14:paraId="520ABF43">
                  <w:pPr>
                    <w:contextualSpacing/>
                    <w:jc w:val="center"/>
                    <w:textAlignment w:val="baseline"/>
                    <w:rPr>
                      <w:kern w:val="0"/>
                      <w:szCs w:val="21"/>
                    </w:rPr>
                  </w:pPr>
                  <w:r>
                    <w:rPr>
                      <w:kern w:val="0"/>
                      <w:szCs w:val="21"/>
                    </w:rPr>
                    <w:t>48.0</w:t>
                  </w:r>
                </w:p>
              </w:tc>
              <w:tc>
                <w:tcPr>
                  <w:tcW w:w="1088" w:type="dxa"/>
                  <w:vMerge w:val="restart"/>
                  <w:vAlign w:val="center"/>
                </w:tcPr>
                <w:p w14:paraId="520ABF44">
                  <w:pPr>
                    <w:contextualSpacing/>
                    <w:jc w:val="center"/>
                    <w:textAlignment w:val="baseline"/>
                    <w:rPr>
                      <w:kern w:val="0"/>
                      <w:szCs w:val="21"/>
                    </w:rPr>
                  </w:pPr>
                  <w:r>
                    <w:rPr>
                      <w:rFonts w:hint="eastAsia"/>
                      <w:kern w:val="0"/>
                      <w:szCs w:val="21"/>
                    </w:rPr>
                    <w:t>昼间60、夜间5</w:t>
                  </w:r>
                  <w:r>
                    <w:rPr>
                      <w:kern w:val="0"/>
                      <w:szCs w:val="21"/>
                    </w:rPr>
                    <w:t>0</w:t>
                  </w:r>
                </w:p>
              </w:tc>
            </w:tr>
            <w:tr w14:paraId="520ABF4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2" w:type="dxa"/>
                  <w:vMerge w:val="continue"/>
                  <w:vAlign w:val="center"/>
                </w:tcPr>
                <w:p w14:paraId="520ABF46">
                  <w:pPr>
                    <w:adjustRightInd w:val="0"/>
                    <w:snapToGrid w:val="0"/>
                    <w:jc w:val="center"/>
                    <w:rPr>
                      <w:szCs w:val="21"/>
                    </w:rPr>
                  </w:pPr>
                </w:p>
              </w:tc>
              <w:tc>
                <w:tcPr>
                  <w:tcW w:w="1436" w:type="dxa"/>
                  <w:vMerge w:val="continue"/>
                  <w:vAlign w:val="center"/>
                </w:tcPr>
                <w:p w14:paraId="520ABF47">
                  <w:pPr>
                    <w:adjustRightInd w:val="0"/>
                    <w:snapToGrid w:val="0"/>
                    <w:jc w:val="center"/>
                    <w:rPr>
                      <w:szCs w:val="21"/>
                    </w:rPr>
                  </w:pPr>
                </w:p>
              </w:tc>
              <w:tc>
                <w:tcPr>
                  <w:tcW w:w="1148" w:type="dxa"/>
                  <w:vMerge w:val="continue"/>
                  <w:vAlign w:val="center"/>
                </w:tcPr>
                <w:p w14:paraId="520ABF48">
                  <w:pPr>
                    <w:contextualSpacing/>
                    <w:jc w:val="center"/>
                    <w:textAlignment w:val="baseline"/>
                    <w:rPr>
                      <w:kern w:val="0"/>
                      <w:szCs w:val="21"/>
                    </w:rPr>
                  </w:pPr>
                </w:p>
              </w:tc>
              <w:tc>
                <w:tcPr>
                  <w:tcW w:w="1148" w:type="dxa"/>
                  <w:vAlign w:val="center"/>
                </w:tcPr>
                <w:p w14:paraId="520ABF49">
                  <w:pPr>
                    <w:contextualSpacing/>
                    <w:jc w:val="center"/>
                    <w:textAlignment w:val="baseline"/>
                    <w:rPr>
                      <w:kern w:val="0"/>
                      <w:szCs w:val="21"/>
                    </w:rPr>
                  </w:pPr>
                  <w:r>
                    <w:rPr>
                      <w:rFonts w:hint="eastAsia"/>
                      <w:kern w:val="0"/>
                      <w:szCs w:val="21"/>
                    </w:rPr>
                    <w:t>2023.10.1</w:t>
                  </w:r>
                  <w:r>
                    <w:rPr>
                      <w:kern w:val="0"/>
                      <w:szCs w:val="21"/>
                    </w:rPr>
                    <w:t>9</w:t>
                  </w:r>
                </w:p>
              </w:tc>
              <w:tc>
                <w:tcPr>
                  <w:tcW w:w="616" w:type="dxa"/>
                  <w:vMerge w:val="continue"/>
                  <w:vAlign w:val="center"/>
                </w:tcPr>
                <w:p w14:paraId="520ABF4A">
                  <w:pPr>
                    <w:contextualSpacing/>
                    <w:jc w:val="center"/>
                    <w:textAlignment w:val="baseline"/>
                    <w:rPr>
                      <w:kern w:val="0"/>
                      <w:szCs w:val="21"/>
                    </w:rPr>
                  </w:pPr>
                </w:p>
              </w:tc>
              <w:tc>
                <w:tcPr>
                  <w:tcW w:w="709" w:type="dxa"/>
                  <w:vAlign w:val="center"/>
                </w:tcPr>
                <w:p w14:paraId="520ABF4B">
                  <w:pPr>
                    <w:contextualSpacing/>
                    <w:jc w:val="center"/>
                    <w:textAlignment w:val="baseline"/>
                    <w:rPr>
                      <w:kern w:val="0"/>
                      <w:szCs w:val="21"/>
                    </w:rPr>
                  </w:pPr>
                  <w:r>
                    <w:rPr>
                      <w:rFonts w:hint="eastAsia"/>
                      <w:kern w:val="0"/>
                      <w:szCs w:val="21"/>
                    </w:rPr>
                    <w:t>5</w:t>
                  </w:r>
                  <w:r>
                    <w:rPr>
                      <w:kern w:val="0"/>
                      <w:szCs w:val="21"/>
                    </w:rPr>
                    <w:t>2.4</w:t>
                  </w:r>
                </w:p>
              </w:tc>
              <w:tc>
                <w:tcPr>
                  <w:tcW w:w="709" w:type="dxa"/>
                  <w:vMerge w:val="continue"/>
                  <w:vAlign w:val="center"/>
                </w:tcPr>
                <w:p w14:paraId="520ABF4C">
                  <w:pPr>
                    <w:contextualSpacing/>
                    <w:jc w:val="center"/>
                    <w:textAlignment w:val="baseline"/>
                    <w:rPr>
                      <w:kern w:val="0"/>
                      <w:szCs w:val="21"/>
                    </w:rPr>
                  </w:pPr>
                </w:p>
              </w:tc>
              <w:tc>
                <w:tcPr>
                  <w:tcW w:w="709" w:type="dxa"/>
                  <w:vAlign w:val="center"/>
                </w:tcPr>
                <w:p w14:paraId="520ABF4D">
                  <w:pPr>
                    <w:contextualSpacing/>
                    <w:jc w:val="center"/>
                    <w:textAlignment w:val="baseline"/>
                    <w:rPr>
                      <w:kern w:val="0"/>
                      <w:szCs w:val="21"/>
                    </w:rPr>
                  </w:pPr>
                  <w:r>
                    <w:rPr>
                      <w:rFonts w:hint="eastAsia"/>
                      <w:kern w:val="0"/>
                      <w:szCs w:val="21"/>
                    </w:rPr>
                    <w:t>4</w:t>
                  </w:r>
                  <w:r>
                    <w:rPr>
                      <w:kern w:val="0"/>
                      <w:szCs w:val="21"/>
                    </w:rPr>
                    <w:t>1.6</w:t>
                  </w:r>
                </w:p>
              </w:tc>
              <w:tc>
                <w:tcPr>
                  <w:tcW w:w="1088" w:type="dxa"/>
                  <w:vMerge w:val="continue"/>
                  <w:vAlign w:val="center"/>
                </w:tcPr>
                <w:p w14:paraId="520ABF4E">
                  <w:pPr>
                    <w:contextualSpacing/>
                    <w:jc w:val="center"/>
                    <w:textAlignment w:val="baseline"/>
                    <w:rPr>
                      <w:kern w:val="0"/>
                      <w:szCs w:val="21"/>
                    </w:rPr>
                  </w:pPr>
                </w:p>
              </w:tc>
            </w:tr>
            <w:tr w14:paraId="520ABF5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2" w:type="dxa"/>
                  <w:vMerge w:val="restart"/>
                  <w:vAlign w:val="center"/>
                </w:tcPr>
                <w:p w14:paraId="520ABF50">
                  <w:pPr>
                    <w:adjustRightInd w:val="0"/>
                    <w:snapToGrid w:val="0"/>
                    <w:jc w:val="center"/>
                    <w:rPr>
                      <w:szCs w:val="21"/>
                    </w:rPr>
                  </w:pPr>
                  <w:r>
                    <w:rPr>
                      <w:rFonts w:hint="eastAsia"/>
                      <w:szCs w:val="21"/>
                    </w:rPr>
                    <w:t>2</w:t>
                  </w:r>
                </w:p>
              </w:tc>
              <w:tc>
                <w:tcPr>
                  <w:tcW w:w="1436" w:type="dxa"/>
                  <w:vMerge w:val="restart"/>
                  <w:vAlign w:val="center"/>
                </w:tcPr>
                <w:p w14:paraId="520ABF51">
                  <w:pPr>
                    <w:adjustRightInd w:val="0"/>
                    <w:snapToGrid w:val="0"/>
                    <w:jc w:val="center"/>
                    <w:rPr>
                      <w:szCs w:val="21"/>
                    </w:rPr>
                  </w:pPr>
                  <w:r>
                    <w:rPr>
                      <w:rFonts w:hint="eastAsia"/>
                      <w:szCs w:val="21"/>
                    </w:rPr>
                    <w:t>九鼎美庐</w:t>
                  </w:r>
                </w:p>
              </w:tc>
              <w:tc>
                <w:tcPr>
                  <w:tcW w:w="1148" w:type="dxa"/>
                  <w:vMerge w:val="restart"/>
                  <w:vAlign w:val="center"/>
                </w:tcPr>
                <w:p w14:paraId="520ABF52">
                  <w:pPr>
                    <w:contextualSpacing/>
                    <w:jc w:val="center"/>
                    <w:textAlignment w:val="baseline"/>
                    <w:rPr>
                      <w:kern w:val="0"/>
                      <w:szCs w:val="21"/>
                    </w:rPr>
                  </w:pPr>
                  <w:r>
                    <w:rPr>
                      <w:kern w:val="0"/>
                      <w:szCs w:val="21"/>
                    </w:rPr>
                    <w:t>北</w:t>
                  </w:r>
                  <w:r>
                    <w:rPr>
                      <w:rFonts w:hint="eastAsia"/>
                      <w:kern w:val="0"/>
                      <w:szCs w:val="21"/>
                    </w:rPr>
                    <w:t>42m</w:t>
                  </w:r>
                </w:p>
              </w:tc>
              <w:tc>
                <w:tcPr>
                  <w:tcW w:w="1148" w:type="dxa"/>
                  <w:vAlign w:val="center"/>
                </w:tcPr>
                <w:p w14:paraId="520ABF53">
                  <w:pPr>
                    <w:contextualSpacing/>
                    <w:jc w:val="center"/>
                    <w:textAlignment w:val="baseline"/>
                    <w:rPr>
                      <w:kern w:val="0"/>
                      <w:szCs w:val="21"/>
                    </w:rPr>
                  </w:pPr>
                  <w:r>
                    <w:rPr>
                      <w:rFonts w:hint="eastAsia"/>
                      <w:kern w:val="0"/>
                      <w:szCs w:val="21"/>
                    </w:rPr>
                    <w:t>2023.10.18</w:t>
                  </w:r>
                </w:p>
              </w:tc>
              <w:tc>
                <w:tcPr>
                  <w:tcW w:w="616" w:type="dxa"/>
                  <w:vMerge w:val="continue"/>
                  <w:vAlign w:val="center"/>
                </w:tcPr>
                <w:p w14:paraId="520ABF54">
                  <w:pPr>
                    <w:contextualSpacing/>
                    <w:jc w:val="center"/>
                    <w:textAlignment w:val="baseline"/>
                    <w:rPr>
                      <w:kern w:val="0"/>
                      <w:szCs w:val="21"/>
                    </w:rPr>
                  </w:pPr>
                </w:p>
              </w:tc>
              <w:tc>
                <w:tcPr>
                  <w:tcW w:w="709" w:type="dxa"/>
                  <w:vAlign w:val="center"/>
                </w:tcPr>
                <w:p w14:paraId="520ABF55">
                  <w:pPr>
                    <w:contextualSpacing/>
                    <w:jc w:val="center"/>
                    <w:textAlignment w:val="baseline"/>
                    <w:rPr>
                      <w:kern w:val="0"/>
                      <w:szCs w:val="21"/>
                    </w:rPr>
                  </w:pPr>
                  <w:r>
                    <w:rPr>
                      <w:kern w:val="0"/>
                      <w:szCs w:val="21"/>
                    </w:rPr>
                    <w:t>56.7</w:t>
                  </w:r>
                </w:p>
              </w:tc>
              <w:tc>
                <w:tcPr>
                  <w:tcW w:w="709" w:type="dxa"/>
                  <w:vMerge w:val="continue"/>
                  <w:vAlign w:val="center"/>
                </w:tcPr>
                <w:p w14:paraId="520ABF56">
                  <w:pPr>
                    <w:contextualSpacing/>
                    <w:jc w:val="center"/>
                    <w:textAlignment w:val="baseline"/>
                    <w:rPr>
                      <w:kern w:val="0"/>
                      <w:szCs w:val="21"/>
                    </w:rPr>
                  </w:pPr>
                </w:p>
              </w:tc>
              <w:tc>
                <w:tcPr>
                  <w:tcW w:w="709" w:type="dxa"/>
                  <w:vAlign w:val="center"/>
                </w:tcPr>
                <w:p w14:paraId="520ABF57">
                  <w:pPr>
                    <w:contextualSpacing/>
                    <w:jc w:val="center"/>
                    <w:textAlignment w:val="baseline"/>
                    <w:rPr>
                      <w:kern w:val="0"/>
                      <w:szCs w:val="21"/>
                    </w:rPr>
                  </w:pPr>
                  <w:r>
                    <w:rPr>
                      <w:kern w:val="0"/>
                      <w:szCs w:val="21"/>
                    </w:rPr>
                    <w:t>49.7</w:t>
                  </w:r>
                </w:p>
              </w:tc>
              <w:tc>
                <w:tcPr>
                  <w:tcW w:w="1088" w:type="dxa"/>
                  <w:vMerge w:val="continue"/>
                  <w:vAlign w:val="center"/>
                </w:tcPr>
                <w:p w14:paraId="520ABF58">
                  <w:pPr>
                    <w:contextualSpacing/>
                    <w:jc w:val="center"/>
                    <w:textAlignment w:val="baseline"/>
                    <w:rPr>
                      <w:kern w:val="0"/>
                      <w:szCs w:val="21"/>
                    </w:rPr>
                  </w:pPr>
                </w:p>
              </w:tc>
            </w:tr>
            <w:tr w14:paraId="520ABF6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2" w:type="dxa"/>
                  <w:vMerge w:val="continue"/>
                  <w:vAlign w:val="center"/>
                </w:tcPr>
                <w:p w14:paraId="520ABF5A">
                  <w:pPr>
                    <w:adjustRightInd w:val="0"/>
                    <w:snapToGrid w:val="0"/>
                    <w:jc w:val="center"/>
                    <w:rPr>
                      <w:szCs w:val="21"/>
                    </w:rPr>
                  </w:pPr>
                </w:p>
              </w:tc>
              <w:tc>
                <w:tcPr>
                  <w:tcW w:w="1436" w:type="dxa"/>
                  <w:vMerge w:val="continue"/>
                  <w:vAlign w:val="center"/>
                </w:tcPr>
                <w:p w14:paraId="520ABF5B">
                  <w:pPr>
                    <w:adjustRightInd w:val="0"/>
                    <w:snapToGrid w:val="0"/>
                    <w:jc w:val="center"/>
                    <w:rPr>
                      <w:szCs w:val="21"/>
                    </w:rPr>
                  </w:pPr>
                </w:p>
              </w:tc>
              <w:tc>
                <w:tcPr>
                  <w:tcW w:w="1148" w:type="dxa"/>
                  <w:vMerge w:val="continue"/>
                  <w:vAlign w:val="center"/>
                </w:tcPr>
                <w:p w14:paraId="520ABF5C">
                  <w:pPr>
                    <w:contextualSpacing/>
                    <w:jc w:val="center"/>
                    <w:textAlignment w:val="baseline"/>
                    <w:rPr>
                      <w:kern w:val="0"/>
                      <w:szCs w:val="21"/>
                    </w:rPr>
                  </w:pPr>
                </w:p>
              </w:tc>
              <w:tc>
                <w:tcPr>
                  <w:tcW w:w="1148" w:type="dxa"/>
                  <w:vAlign w:val="center"/>
                </w:tcPr>
                <w:p w14:paraId="520ABF5D">
                  <w:pPr>
                    <w:contextualSpacing/>
                    <w:jc w:val="center"/>
                    <w:textAlignment w:val="baseline"/>
                    <w:rPr>
                      <w:kern w:val="0"/>
                      <w:szCs w:val="21"/>
                    </w:rPr>
                  </w:pPr>
                  <w:r>
                    <w:rPr>
                      <w:rFonts w:hint="eastAsia"/>
                      <w:kern w:val="0"/>
                      <w:szCs w:val="21"/>
                    </w:rPr>
                    <w:t>2023.10.1</w:t>
                  </w:r>
                  <w:r>
                    <w:rPr>
                      <w:kern w:val="0"/>
                      <w:szCs w:val="21"/>
                    </w:rPr>
                    <w:t>9</w:t>
                  </w:r>
                </w:p>
              </w:tc>
              <w:tc>
                <w:tcPr>
                  <w:tcW w:w="616" w:type="dxa"/>
                  <w:vMerge w:val="continue"/>
                  <w:vAlign w:val="center"/>
                </w:tcPr>
                <w:p w14:paraId="520ABF5E">
                  <w:pPr>
                    <w:contextualSpacing/>
                    <w:jc w:val="center"/>
                    <w:textAlignment w:val="baseline"/>
                    <w:rPr>
                      <w:kern w:val="0"/>
                      <w:szCs w:val="21"/>
                    </w:rPr>
                  </w:pPr>
                </w:p>
              </w:tc>
              <w:tc>
                <w:tcPr>
                  <w:tcW w:w="709" w:type="dxa"/>
                  <w:vAlign w:val="center"/>
                </w:tcPr>
                <w:p w14:paraId="520ABF5F">
                  <w:pPr>
                    <w:contextualSpacing/>
                    <w:jc w:val="center"/>
                    <w:textAlignment w:val="baseline"/>
                    <w:rPr>
                      <w:kern w:val="0"/>
                      <w:szCs w:val="21"/>
                    </w:rPr>
                  </w:pPr>
                  <w:r>
                    <w:rPr>
                      <w:rFonts w:hint="eastAsia"/>
                      <w:kern w:val="0"/>
                      <w:szCs w:val="21"/>
                    </w:rPr>
                    <w:t>5</w:t>
                  </w:r>
                  <w:r>
                    <w:rPr>
                      <w:kern w:val="0"/>
                      <w:szCs w:val="21"/>
                    </w:rPr>
                    <w:t>5.4</w:t>
                  </w:r>
                </w:p>
              </w:tc>
              <w:tc>
                <w:tcPr>
                  <w:tcW w:w="709" w:type="dxa"/>
                  <w:vMerge w:val="continue"/>
                  <w:vAlign w:val="center"/>
                </w:tcPr>
                <w:p w14:paraId="520ABF60">
                  <w:pPr>
                    <w:contextualSpacing/>
                    <w:jc w:val="center"/>
                    <w:textAlignment w:val="baseline"/>
                    <w:rPr>
                      <w:kern w:val="0"/>
                      <w:szCs w:val="21"/>
                    </w:rPr>
                  </w:pPr>
                </w:p>
              </w:tc>
              <w:tc>
                <w:tcPr>
                  <w:tcW w:w="709" w:type="dxa"/>
                  <w:vAlign w:val="center"/>
                </w:tcPr>
                <w:p w14:paraId="520ABF61">
                  <w:pPr>
                    <w:contextualSpacing/>
                    <w:jc w:val="center"/>
                    <w:textAlignment w:val="baseline"/>
                    <w:rPr>
                      <w:kern w:val="0"/>
                      <w:szCs w:val="21"/>
                    </w:rPr>
                  </w:pPr>
                  <w:r>
                    <w:rPr>
                      <w:rFonts w:hint="eastAsia"/>
                      <w:kern w:val="0"/>
                      <w:szCs w:val="21"/>
                    </w:rPr>
                    <w:t>4</w:t>
                  </w:r>
                  <w:r>
                    <w:rPr>
                      <w:kern w:val="0"/>
                      <w:szCs w:val="21"/>
                    </w:rPr>
                    <w:t>3.4</w:t>
                  </w:r>
                </w:p>
              </w:tc>
              <w:tc>
                <w:tcPr>
                  <w:tcW w:w="1088" w:type="dxa"/>
                  <w:vMerge w:val="continue"/>
                  <w:vAlign w:val="center"/>
                </w:tcPr>
                <w:p w14:paraId="520ABF62">
                  <w:pPr>
                    <w:contextualSpacing/>
                    <w:jc w:val="center"/>
                    <w:textAlignment w:val="baseline"/>
                    <w:rPr>
                      <w:kern w:val="0"/>
                      <w:szCs w:val="21"/>
                    </w:rPr>
                  </w:pPr>
                </w:p>
              </w:tc>
            </w:tr>
            <w:tr w14:paraId="520ABF6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2" w:type="dxa"/>
                  <w:vMerge w:val="restart"/>
                  <w:vAlign w:val="center"/>
                </w:tcPr>
                <w:p w14:paraId="520ABF64">
                  <w:pPr>
                    <w:adjustRightInd w:val="0"/>
                    <w:snapToGrid w:val="0"/>
                    <w:jc w:val="center"/>
                    <w:rPr>
                      <w:szCs w:val="21"/>
                    </w:rPr>
                  </w:pPr>
                  <w:r>
                    <w:rPr>
                      <w:rFonts w:hint="eastAsia"/>
                      <w:szCs w:val="21"/>
                    </w:rPr>
                    <w:t>3</w:t>
                  </w:r>
                </w:p>
              </w:tc>
              <w:tc>
                <w:tcPr>
                  <w:tcW w:w="1436" w:type="dxa"/>
                  <w:vMerge w:val="restart"/>
                  <w:vAlign w:val="center"/>
                </w:tcPr>
                <w:p w14:paraId="520ABF65">
                  <w:pPr>
                    <w:adjustRightInd w:val="0"/>
                    <w:snapToGrid w:val="0"/>
                    <w:jc w:val="center"/>
                    <w:rPr>
                      <w:szCs w:val="21"/>
                    </w:rPr>
                  </w:pPr>
                  <w:r>
                    <w:rPr>
                      <w:rFonts w:hint="eastAsia"/>
                      <w:szCs w:val="21"/>
                    </w:rPr>
                    <w:t>116家属院</w:t>
                  </w:r>
                </w:p>
              </w:tc>
              <w:tc>
                <w:tcPr>
                  <w:tcW w:w="1148" w:type="dxa"/>
                  <w:vMerge w:val="restart"/>
                  <w:vAlign w:val="center"/>
                </w:tcPr>
                <w:p w14:paraId="520ABF66">
                  <w:pPr>
                    <w:contextualSpacing/>
                    <w:jc w:val="center"/>
                    <w:textAlignment w:val="baseline"/>
                    <w:rPr>
                      <w:kern w:val="0"/>
                      <w:szCs w:val="21"/>
                    </w:rPr>
                  </w:pPr>
                  <w:r>
                    <w:rPr>
                      <w:rFonts w:hint="eastAsia"/>
                      <w:kern w:val="0"/>
                      <w:szCs w:val="21"/>
                    </w:rPr>
                    <w:t>东</w:t>
                  </w:r>
                  <w:r>
                    <w:rPr>
                      <w:kern w:val="0"/>
                      <w:szCs w:val="21"/>
                    </w:rPr>
                    <w:t>35</w:t>
                  </w:r>
                  <w:r>
                    <w:rPr>
                      <w:rFonts w:hint="eastAsia"/>
                      <w:kern w:val="0"/>
                      <w:szCs w:val="21"/>
                    </w:rPr>
                    <w:t>m</w:t>
                  </w:r>
                </w:p>
              </w:tc>
              <w:tc>
                <w:tcPr>
                  <w:tcW w:w="1148" w:type="dxa"/>
                  <w:vAlign w:val="center"/>
                </w:tcPr>
                <w:p w14:paraId="520ABF67">
                  <w:pPr>
                    <w:contextualSpacing/>
                    <w:jc w:val="center"/>
                    <w:textAlignment w:val="baseline"/>
                    <w:rPr>
                      <w:kern w:val="0"/>
                      <w:szCs w:val="21"/>
                    </w:rPr>
                  </w:pPr>
                  <w:r>
                    <w:rPr>
                      <w:rFonts w:hint="eastAsia"/>
                      <w:kern w:val="0"/>
                      <w:szCs w:val="21"/>
                    </w:rPr>
                    <w:t>2023.10.18</w:t>
                  </w:r>
                </w:p>
              </w:tc>
              <w:tc>
                <w:tcPr>
                  <w:tcW w:w="616" w:type="dxa"/>
                  <w:vMerge w:val="continue"/>
                  <w:vAlign w:val="center"/>
                </w:tcPr>
                <w:p w14:paraId="520ABF68">
                  <w:pPr>
                    <w:contextualSpacing/>
                    <w:jc w:val="center"/>
                    <w:textAlignment w:val="baseline"/>
                    <w:rPr>
                      <w:kern w:val="0"/>
                      <w:szCs w:val="21"/>
                    </w:rPr>
                  </w:pPr>
                </w:p>
              </w:tc>
              <w:tc>
                <w:tcPr>
                  <w:tcW w:w="709" w:type="dxa"/>
                  <w:vAlign w:val="center"/>
                </w:tcPr>
                <w:p w14:paraId="520ABF69">
                  <w:pPr>
                    <w:contextualSpacing/>
                    <w:jc w:val="center"/>
                    <w:textAlignment w:val="baseline"/>
                    <w:rPr>
                      <w:kern w:val="0"/>
                      <w:szCs w:val="21"/>
                    </w:rPr>
                  </w:pPr>
                  <w:r>
                    <w:rPr>
                      <w:kern w:val="0"/>
                      <w:szCs w:val="21"/>
                    </w:rPr>
                    <w:t>55.5</w:t>
                  </w:r>
                </w:p>
              </w:tc>
              <w:tc>
                <w:tcPr>
                  <w:tcW w:w="709" w:type="dxa"/>
                  <w:vMerge w:val="continue"/>
                  <w:vAlign w:val="center"/>
                </w:tcPr>
                <w:p w14:paraId="520ABF6A">
                  <w:pPr>
                    <w:contextualSpacing/>
                    <w:jc w:val="center"/>
                    <w:textAlignment w:val="baseline"/>
                    <w:rPr>
                      <w:kern w:val="0"/>
                      <w:szCs w:val="21"/>
                    </w:rPr>
                  </w:pPr>
                </w:p>
              </w:tc>
              <w:tc>
                <w:tcPr>
                  <w:tcW w:w="709" w:type="dxa"/>
                  <w:vAlign w:val="center"/>
                </w:tcPr>
                <w:p w14:paraId="520ABF6B">
                  <w:pPr>
                    <w:contextualSpacing/>
                    <w:jc w:val="center"/>
                    <w:textAlignment w:val="baseline"/>
                    <w:rPr>
                      <w:kern w:val="0"/>
                      <w:szCs w:val="21"/>
                    </w:rPr>
                  </w:pPr>
                  <w:r>
                    <w:rPr>
                      <w:kern w:val="0"/>
                      <w:szCs w:val="21"/>
                    </w:rPr>
                    <w:t>43.7</w:t>
                  </w:r>
                </w:p>
              </w:tc>
              <w:tc>
                <w:tcPr>
                  <w:tcW w:w="1088" w:type="dxa"/>
                  <w:vMerge w:val="continue"/>
                  <w:vAlign w:val="center"/>
                </w:tcPr>
                <w:p w14:paraId="520ABF6C">
                  <w:pPr>
                    <w:contextualSpacing/>
                    <w:jc w:val="center"/>
                    <w:textAlignment w:val="baseline"/>
                    <w:rPr>
                      <w:kern w:val="0"/>
                      <w:szCs w:val="21"/>
                    </w:rPr>
                  </w:pPr>
                </w:p>
              </w:tc>
            </w:tr>
            <w:tr w14:paraId="520ABF7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2" w:type="dxa"/>
                  <w:vMerge w:val="continue"/>
                  <w:vAlign w:val="center"/>
                </w:tcPr>
                <w:p w14:paraId="520ABF6E">
                  <w:pPr>
                    <w:adjustRightInd w:val="0"/>
                    <w:snapToGrid w:val="0"/>
                    <w:jc w:val="center"/>
                    <w:rPr>
                      <w:szCs w:val="21"/>
                    </w:rPr>
                  </w:pPr>
                </w:p>
              </w:tc>
              <w:tc>
                <w:tcPr>
                  <w:tcW w:w="1436" w:type="dxa"/>
                  <w:vMerge w:val="continue"/>
                  <w:vAlign w:val="center"/>
                </w:tcPr>
                <w:p w14:paraId="520ABF6F">
                  <w:pPr>
                    <w:adjustRightInd w:val="0"/>
                    <w:snapToGrid w:val="0"/>
                    <w:jc w:val="center"/>
                    <w:rPr>
                      <w:szCs w:val="21"/>
                    </w:rPr>
                  </w:pPr>
                </w:p>
              </w:tc>
              <w:tc>
                <w:tcPr>
                  <w:tcW w:w="1148" w:type="dxa"/>
                  <w:vMerge w:val="continue"/>
                  <w:vAlign w:val="center"/>
                </w:tcPr>
                <w:p w14:paraId="520ABF70">
                  <w:pPr>
                    <w:contextualSpacing/>
                    <w:jc w:val="center"/>
                    <w:textAlignment w:val="baseline"/>
                    <w:rPr>
                      <w:kern w:val="0"/>
                      <w:szCs w:val="21"/>
                    </w:rPr>
                  </w:pPr>
                </w:p>
              </w:tc>
              <w:tc>
                <w:tcPr>
                  <w:tcW w:w="1148" w:type="dxa"/>
                  <w:vAlign w:val="center"/>
                </w:tcPr>
                <w:p w14:paraId="520ABF71">
                  <w:pPr>
                    <w:contextualSpacing/>
                    <w:jc w:val="center"/>
                    <w:textAlignment w:val="baseline"/>
                    <w:rPr>
                      <w:kern w:val="0"/>
                      <w:szCs w:val="21"/>
                    </w:rPr>
                  </w:pPr>
                  <w:r>
                    <w:rPr>
                      <w:rFonts w:hint="eastAsia"/>
                      <w:kern w:val="0"/>
                      <w:szCs w:val="21"/>
                    </w:rPr>
                    <w:t>2023.10.1</w:t>
                  </w:r>
                  <w:r>
                    <w:rPr>
                      <w:kern w:val="0"/>
                      <w:szCs w:val="21"/>
                    </w:rPr>
                    <w:t>9</w:t>
                  </w:r>
                </w:p>
              </w:tc>
              <w:tc>
                <w:tcPr>
                  <w:tcW w:w="616" w:type="dxa"/>
                  <w:vMerge w:val="continue"/>
                  <w:vAlign w:val="center"/>
                </w:tcPr>
                <w:p w14:paraId="520ABF72">
                  <w:pPr>
                    <w:contextualSpacing/>
                    <w:jc w:val="center"/>
                    <w:textAlignment w:val="baseline"/>
                    <w:rPr>
                      <w:kern w:val="0"/>
                      <w:szCs w:val="21"/>
                    </w:rPr>
                  </w:pPr>
                </w:p>
              </w:tc>
              <w:tc>
                <w:tcPr>
                  <w:tcW w:w="709" w:type="dxa"/>
                  <w:vAlign w:val="center"/>
                </w:tcPr>
                <w:p w14:paraId="520ABF73">
                  <w:pPr>
                    <w:contextualSpacing/>
                    <w:jc w:val="center"/>
                    <w:textAlignment w:val="baseline"/>
                    <w:rPr>
                      <w:kern w:val="0"/>
                      <w:szCs w:val="21"/>
                    </w:rPr>
                  </w:pPr>
                  <w:r>
                    <w:rPr>
                      <w:rFonts w:hint="eastAsia"/>
                      <w:kern w:val="0"/>
                      <w:szCs w:val="21"/>
                    </w:rPr>
                    <w:t>5</w:t>
                  </w:r>
                  <w:r>
                    <w:rPr>
                      <w:kern w:val="0"/>
                      <w:szCs w:val="21"/>
                    </w:rPr>
                    <w:t>4.8</w:t>
                  </w:r>
                </w:p>
              </w:tc>
              <w:tc>
                <w:tcPr>
                  <w:tcW w:w="709" w:type="dxa"/>
                  <w:vMerge w:val="continue"/>
                  <w:vAlign w:val="center"/>
                </w:tcPr>
                <w:p w14:paraId="520ABF74">
                  <w:pPr>
                    <w:contextualSpacing/>
                    <w:jc w:val="center"/>
                    <w:textAlignment w:val="baseline"/>
                    <w:rPr>
                      <w:kern w:val="0"/>
                      <w:szCs w:val="21"/>
                    </w:rPr>
                  </w:pPr>
                </w:p>
              </w:tc>
              <w:tc>
                <w:tcPr>
                  <w:tcW w:w="709" w:type="dxa"/>
                  <w:vAlign w:val="center"/>
                </w:tcPr>
                <w:p w14:paraId="520ABF75">
                  <w:pPr>
                    <w:contextualSpacing/>
                    <w:jc w:val="center"/>
                    <w:textAlignment w:val="baseline"/>
                    <w:rPr>
                      <w:kern w:val="0"/>
                      <w:szCs w:val="21"/>
                    </w:rPr>
                  </w:pPr>
                  <w:r>
                    <w:rPr>
                      <w:rFonts w:hint="eastAsia"/>
                      <w:kern w:val="0"/>
                      <w:szCs w:val="21"/>
                    </w:rPr>
                    <w:t>4</w:t>
                  </w:r>
                  <w:r>
                    <w:rPr>
                      <w:kern w:val="0"/>
                      <w:szCs w:val="21"/>
                    </w:rPr>
                    <w:t>4.4</w:t>
                  </w:r>
                </w:p>
              </w:tc>
              <w:tc>
                <w:tcPr>
                  <w:tcW w:w="1088" w:type="dxa"/>
                  <w:vMerge w:val="continue"/>
                  <w:vAlign w:val="center"/>
                </w:tcPr>
                <w:p w14:paraId="520ABF76">
                  <w:pPr>
                    <w:contextualSpacing/>
                    <w:jc w:val="center"/>
                    <w:textAlignment w:val="baseline"/>
                    <w:rPr>
                      <w:kern w:val="0"/>
                      <w:szCs w:val="21"/>
                    </w:rPr>
                  </w:pPr>
                </w:p>
              </w:tc>
            </w:tr>
            <w:tr w14:paraId="520ABF8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2" w:type="dxa"/>
                  <w:vMerge w:val="restart"/>
                  <w:vAlign w:val="center"/>
                </w:tcPr>
                <w:p w14:paraId="520ABF78">
                  <w:pPr>
                    <w:adjustRightInd w:val="0"/>
                    <w:snapToGrid w:val="0"/>
                    <w:jc w:val="center"/>
                    <w:rPr>
                      <w:szCs w:val="21"/>
                    </w:rPr>
                  </w:pPr>
                  <w:r>
                    <w:rPr>
                      <w:rFonts w:hint="eastAsia"/>
                      <w:szCs w:val="21"/>
                    </w:rPr>
                    <w:t>4</w:t>
                  </w:r>
                </w:p>
              </w:tc>
              <w:tc>
                <w:tcPr>
                  <w:tcW w:w="1436" w:type="dxa"/>
                  <w:vMerge w:val="restart"/>
                  <w:vAlign w:val="center"/>
                </w:tcPr>
                <w:p w14:paraId="520ABF79">
                  <w:pPr>
                    <w:adjustRightInd w:val="0"/>
                    <w:snapToGrid w:val="0"/>
                    <w:jc w:val="center"/>
                    <w:rPr>
                      <w:szCs w:val="21"/>
                    </w:rPr>
                  </w:pPr>
                  <w:r>
                    <w:rPr>
                      <w:rFonts w:hint="eastAsia"/>
                      <w:szCs w:val="21"/>
                    </w:rPr>
                    <w:t>利民巷社区</w:t>
                  </w:r>
                </w:p>
              </w:tc>
              <w:tc>
                <w:tcPr>
                  <w:tcW w:w="1148" w:type="dxa"/>
                  <w:vMerge w:val="restart"/>
                  <w:vAlign w:val="center"/>
                </w:tcPr>
                <w:p w14:paraId="520ABF7A">
                  <w:pPr>
                    <w:contextualSpacing/>
                    <w:jc w:val="center"/>
                    <w:textAlignment w:val="baseline"/>
                    <w:rPr>
                      <w:kern w:val="0"/>
                      <w:szCs w:val="21"/>
                    </w:rPr>
                  </w:pPr>
                  <w:r>
                    <w:rPr>
                      <w:rFonts w:hint="eastAsia"/>
                      <w:kern w:val="0"/>
                      <w:szCs w:val="21"/>
                    </w:rPr>
                    <w:t>东</w:t>
                  </w:r>
                  <w:r>
                    <w:rPr>
                      <w:kern w:val="0"/>
                      <w:szCs w:val="21"/>
                    </w:rPr>
                    <w:t>35</w:t>
                  </w:r>
                  <w:r>
                    <w:rPr>
                      <w:rFonts w:hint="eastAsia"/>
                      <w:kern w:val="0"/>
                      <w:szCs w:val="21"/>
                    </w:rPr>
                    <w:t>m</w:t>
                  </w:r>
                </w:p>
              </w:tc>
              <w:tc>
                <w:tcPr>
                  <w:tcW w:w="1148" w:type="dxa"/>
                  <w:vAlign w:val="center"/>
                </w:tcPr>
                <w:p w14:paraId="520ABF7B">
                  <w:pPr>
                    <w:contextualSpacing/>
                    <w:jc w:val="center"/>
                    <w:textAlignment w:val="baseline"/>
                    <w:rPr>
                      <w:kern w:val="0"/>
                      <w:szCs w:val="21"/>
                    </w:rPr>
                  </w:pPr>
                  <w:r>
                    <w:rPr>
                      <w:rFonts w:hint="eastAsia"/>
                      <w:kern w:val="0"/>
                      <w:szCs w:val="21"/>
                    </w:rPr>
                    <w:t>2023.10.18</w:t>
                  </w:r>
                </w:p>
              </w:tc>
              <w:tc>
                <w:tcPr>
                  <w:tcW w:w="616" w:type="dxa"/>
                  <w:vMerge w:val="continue"/>
                  <w:vAlign w:val="center"/>
                </w:tcPr>
                <w:p w14:paraId="520ABF7C">
                  <w:pPr>
                    <w:contextualSpacing/>
                    <w:jc w:val="center"/>
                    <w:textAlignment w:val="baseline"/>
                    <w:rPr>
                      <w:kern w:val="0"/>
                      <w:szCs w:val="21"/>
                    </w:rPr>
                  </w:pPr>
                </w:p>
              </w:tc>
              <w:tc>
                <w:tcPr>
                  <w:tcW w:w="709" w:type="dxa"/>
                  <w:vAlign w:val="center"/>
                </w:tcPr>
                <w:p w14:paraId="520ABF7D">
                  <w:pPr>
                    <w:contextualSpacing/>
                    <w:jc w:val="center"/>
                    <w:textAlignment w:val="baseline"/>
                    <w:rPr>
                      <w:kern w:val="0"/>
                      <w:szCs w:val="21"/>
                    </w:rPr>
                  </w:pPr>
                  <w:r>
                    <w:rPr>
                      <w:kern w:val="0"/>
                      <w:szCs w:val="21"/>
                    </w:rPr>
                    <w:t>57.3</w:t>
                  </w:r>
                </w:p>
              </w:tc>
              <w:tc>
                <w:tcPr>
                  <w:tcW w:w="709" w:type="dxa"/>
                  <w:vMerge w:val="continue"/>
                  <w:vAlign w:val="center"/>
                </w:tcPr>
                <w:p w14:paraId="520ABF7E">
                  <w:pPr>
                    <w:contextualSpacing/>
                    <w:jc w:val="center"/>
                    <w:textAlignment w:val="baseline"/>
                    <w:rPr>
                      <w:kern w:val="0"/>
                      <w:szCs w:val="21"/>
                    </w:rPr>
                  </w:pPr>
                </w:p>
              </w:tc>
              <w:tc>
                <w:tcPr>
                  <w:tcW w:w="709" w:type="dxa"/>
                  <w:vAlign w:val="center"/>
                </w:tcPr>
                <w:p w14:paraId="520ABF7F">
                  <w:pPr>
                    <w:contextualSpacing/>
                    <w:jc w:val="center"/>
                    <w:textAlignment w:val="baseline"/>
                    <w:rPr>
                      <w:kern w:val="0"/>
                      <w:szCs w:val="21"/>
                    </w:rPr>
                  </w:pPr>
                  <w:r>
                    <w:rPr>
                      <w:kern w:val="0"/>
                      <w:szCs w:val="21"/>
                    </w:rPr>
                    <w:t>43.7</w:t>
                  </w:r>
                </w:p>
              </w:tc>
              <w:tc>
                <w:tcPr>
                  <w:tcW w:w="1088" w:type="dxa"/>
                  <w:vMerge w:val="continue"/>
                  <w:vAlign w:val="center"/>
                </w:tcPr>
                <w:p w14:paraId="520ABF80">
                  <w:pPr>
                    <w:contextualSpacing/>
                    <w:jc w:val="center"/>
                    <w:textAlignment w:val="baseline"/>
                    <w:rPr>
                      <w:kern w:val="0"/>
                      <w:szCs w:val="21"/>
                    </w:rPr>
                  </w:pPr>
                </w:p>
              </w:tc>
            </w:tr>
            <w:tr w14:paraId="520ABF8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12" w:type="dxa"/>
                  <w:vMerge w:val="continue"/>
                  <w:vAlign w:val="center"/>
                </w:tcPr>
                <w:p w14:paraId="520ABF82">
                  <w:pPr>
                    <w:adjustRightInd w:val="0"/>
                    <w:snapToGrid w:val="0"/>
                    <w:jc w:val="center"/>
                    <w:rPr>
                      <w:szCs w:val="21"/>
                    </w:rPr>
                  </w:pPr>
                </w:p>
              </w:tc>
              <w:tc>
                <w:tcPr>
                  <w:tcW w:w="1436" w:type="dxa"/>
                  <w:vMerge w:val="continue"/>
                  <w:vAlign w:val="center"/>
                </w:tcPr>
                <w:p w14:paraId="520ABF83">
                  <w:pPr>
                    <w:adjustRightInd w:val="0"/>
                    <w:snapToGrid w:val="0"/>
                    <w:jc w:val="center"/>
                    <w:rPr>
                      <w:szCs w:val="21"/>
                    </w:rPr>
                  </w:pPr>
                </w:p>
              </w:tc>
              <w:tc>
                <w:tcPr>
                  <w:tcW w:w="1148" w:type="dxa"/>
                  <w:vMerge w:val="continue"/>
                  <w:vAlign w:val="center"/>
                </w:tcPr>
                <w:p w14:paraId="520ABF84">
                  <w:pPr>
                    <w:contextualSpacing/>
                    <w:jc w:val="center"/>
                    <w:textAlignment w:val="baseline"/>
                    <w:rPr>
                      <w:kern w:val="0"/>
                      <w:szCs w:val="21"/>
                    </w:rPr>
                  </w:pPr>
                </w:p>
              </w:tc>
              <w:tc>
                <w:tcPr>
                  <w:tcW w:w="1148" w:type="dxa"/>
                  <w:vAlign w:val="center"/>
                </w:tcPr>
                <w:p w14:paraId="520ABF85">
                  <w:pPr>
                    <w:contextualSpacing/>
                    <w:jc w:val="center"/>
                    <w:textAlignment w:val="baseline"/>
                    <w:rPr>
                      <w:kern w:val="0"/>
                      <w:szCs w:val="21"/>
                    </w:rPr>
                  </w:pPr>
                  <w:r>
                    <w:rPr>
                      <w:rFonts w:hint="eastAsia"/>
                      <w:kern w:val="0"/>
                      <w:szCs w:val="21"/>
                    </w:rPr>
                    <w:t>2023.10.1</w:t>
                  </w:r>
                  <w:r>
                    <w:rPr>
                      <w:kern w:val="0"/>
                      <w:szCs w:val="21"/>
                    </w:rPr>
                    <w:t>9</w:t>
                  </w:r>
                </w:p>
              </w:tc>
              <w:tc>
                <w:tcPr>
                  <w:tcW w:w="616" w:type="dxa"/>
                  <w:vMerge w:val="continue"/>
                  <w:vAlign w:val="center"/>
                </w:tcPr>
                <w:p w14:paraId="520ABF86">
                  <w:pPr>
                    <w:contextualSpacing/>
                    <w:jc w:val="center"/>
                    <w:textAlignment w:val="baseline"/>
                    <w:rPr>
                      <w:kern w:val="0"/>
                      <w:szCs w:val="21"/>
                    </w:rPr>
                  </w:pPr>
                </w:p>
              </w:tc>
              <w:tc>
                <w:tcPr>
                  <w:tcW w:w="709" w:type="dxa"/>
                  <w:vAlign w:val="center"/>
                </w:tcPr>
                <w:p w14:paraId="520ABF87">
                  <w:pPr>
                    <w:contextualSpacing/>
                    <w:jc w:val="center"/>
                    <w:textAlignment w:val="baseline"/>
                    <w:rPr>
                      <w:kern w:val="0"/>
                      <w:szCs w:val="21"/>
                    </w:rPr>
                  </w:pPr>
                  <w:r>
                    <w:rPr>
                      <w:rFonts w:hint="eastAsia"/>
                      <w:kern w:val="0"/>
                      <w:szCs w:val="21"/>
                    </w:rPr>
                    <w:t>5</w:t>
                  </w:r>
                  <w:r>
                    <w:rPr>
                      <w:kern w:val="0"/>
                      <w:szCs w:val="21"/>
                    </w:rPr>
                    <w:t>4.4</w:t>
                  </w:r>
                </w:p>
              </w:tc>
              <w:tc>
                <w:tcPr>
                  <w:tcW w:w="709" w:type="dxa"/>
                  <w:vMerge w:val="continue"/>
                  <w:vAlign w:val="center"/>
                </w:tcPr>
                <w:p w14:paraId="520ABF88">
                  <w:pPr>
                    <w:contextualSpacing/>
                    <w:jc w:val="center"/>
                    <w:textAlignment w:val="baseline"/>
                    <w:rPr>
                      <w:kern w:val="0"/>
                      <w:szCs w:val="21"/>
                    </w:rPr>
                  </w:pPr>
                </w:p>
              </w:tc>
              <w:tc>
                <w:tcPr>
                  <w:tcW w:w="709" w:type="dxa"/>
                  <w:vAlign w:val="center"/>
                </w:tcPr>
                <w:p w14:paraId="520ABF89">
                  <w:pPr>
                    <w:contextualSpacing/>
                    <w:jc w:val="center"/>
                    <w:textAlignment w:val="baseline"/>
                    <w:rPr>
                      <w:kern w:val="0"/>
                      <w:szCs w:val="21"/>
                    </w:rPr>
                  </w:pPr>
                  <w:r>
                    <w:rPr>
                      <w:rFonts w:hint="eastAsia"/>
                      <w:kern w:val="0"/>
                      <w:szCs w:val="21"/>
                    </w:rPr>
                    <w:t>4</w:t>
                  </w:r>
                  <w:r>
                    <w:rPr>
                      <w:kern w:val="0"/>
                      <w:szCs w:val="21"/>
                    </w:rPr>
                    <w:t>7.1</w:t>
                  </w:r>
                </w:p>
              </w:tc>
              <w:tc>
                <w:tcPr>
                  <w:tcW w:w="1088" w:type="dxa"/>
                  <w:vMerge w:val="continue"/>
                  <w:vAlign w:val="center"/>
                </w:tcPr>
                <w:p w14:paraId="520ABF8A">
                  <w:pPr>
                    <w:contextualSpacing/>
                    <w:jc w:val="center"/>
                    <w:textAlignment w:val="baseline"/>
                    <w:rPr>
                      <w:kern w:val="0"/>
                      <w:szCs w:val="21"/>
                    </w:rPr>
                  </w:pPr>
                </w:p>
              </w:tc>
            </w:tr>
          </w:tbl>
          <w:p w14:paraId="520ABF8C">
            <w:pPr>
              <w:adjustRightInd w:val="0"/>
              <w:snapToGrid w:val="0"/>
              <w:spacing w:line="460" w:lineRule="exact"/>
              <w:ind w:firstLine="480" w:firstLineChars="200"/>
              <w:rPr>
                <w:sz w:val="24"/>
              </w:rPr>
            </w:pPr>
            <w:r>
              <w:rPr>
                <w:rFonts w:hint="eastAsia"/>
                <w:sz w:val="24"/>
              </w:rPr>
              <w:t>由上表可知，本项目建设路厂区、解放路厂区厂界外50米范围内的环境敏感目标的噪声均能够满足《声环境质量标准》（GB3096-2008）1类标准昼间55dB(A)、夜间45dB(A)，2类标准昼间60dB(A)、夜间50dB(A)的要求。</w:t>
            </w:r>
          </w:p>
          <w:p w14:paraId="520ABF8D">
            <w:pPr>
              <w:adjustRightInd w:val="0"/>
              <w:snapToGrid w:val="0"/>
              <w:spacing w:line="460" w:lineRule="exact"/>
              <w:ind w:firstLine="482" w:firstLineChars="200"/>
              <w:rPr>
                <w:b/>
                <w:sz w:val="24"/>
              </w:rPr>
            </w:pPr>
            <w:r>
              <w:rPr>
                <w:b/>
                <w:sz w:val="24"/>
              </w:rPr>
              <w:t>4、地下水、土壤环境质量现状</w:t>
            </w:r>
          </w:p>
          <w:p w14:paraId="520ABF8E">
            <w:pPr>
              <w:adjustRightInd w:val="0"/>
              <w:snapToGrid w:val="0"/>
              <w:spacing w:line="460" w:lineRule="exact"/>
              <w:ind w:firstLine="480" w:firstLineChars="200"/>
              <w:rPr>
                <w:sz w:val="24"/>
              </w:rPr>
            </w:pPr>
            <w:r>
              <w:rPr>
                <w:rFonts w:hint="eastAsia"/>
                <w:sz w:val="24"/>
              </w:rPr>
              <w:t>根据《建设项目环境影响报告表编制技术指南（污染影响类）（试行）》，原则上不开展地下水和土壤环境质量现状调查。本项目不存在地下水、土壤污染途径，但建设路厂区现有工程建设有电镀生产线，产生的含铬、含氰、含镉等重金属废水经污水处理站处理达标后排放，解放路厂区现有工程设有电镀生产线，含铬、含镍、含镉等重金属废水经污水处理站处理达标后排放，为了考察现有工程的运行是否对区域土壤、地下水质量造成影响，因此对建设路厂区和解放路厂区的地下水、土壤质量现状分别进行调查。</w:t>
            </w:r>
          </w:p>
          <w:p w14:paraId="520ABF8F">
            <w:pPr>
              <w:adjustRightInd w:val="0"/>
              <w:snapToGrid w:val="0"/>
              <w:spacing w:line="460" w:lineRule="exact"/>
              <w:ind w:firstLine="480" w:firstLineChars="200"/>
              <w:rPr>
                <w:sz w:val="24"/>
              </w:rPr>
            </w:pPr>
            <w:r>
              <w:rPr>
                <w:rFonts w:hint="eastAsia"/>
                <w:sz w:val="24"/>
              </w:rPr>
              <w:t>河南中弘国泰检测技术有限公司2022年9月26日对建设路厂区电镀废水污水处理站附近土壤进行了检测，对厂区内地下水取水口（综合污水处理站对面）进行了监测，2022年9月28日对解放路厂区电镀废水污水处理站附近土壤进行了检测，对厂区内综合污水处理站东侧进行了监测，监测点位与监测因子见表39（监测点位图见附图5），监测结果见表40、表41。</w:t>
            </w:r>
          </w:p>
          <w:p w14:paraId="520ABF90">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41</w:t>
            </w:r>
            <w:r>
              <w:rPr>
                <w:rFonts w:eastAsia="黑体"/>
                <w:sz w:val="24"/>
              </w:rPr>
              <w:t xml:space="preserve">       地下水</w:t>
            </w:r>
            <w:r>
              <w:rPr>
                <w:rFonts w:hint="eastAsia" w:eastAsia="黑体"/>
                <w:sz w:val="24"/>
              </w:rPr>
              <w:t>、</w:t>
            </w:r>
            <w:r>
              <w:rPr>
                <w:rFonts w:eastAsia="黑体"/>
                <w:sz w:val="24"/>
              </w:rPr>
              <w:t>土壤监测点位与监测因子一览表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928"/>
              <w:gridCol w:w="1276"/>
              <w:gridCol w:w="3685"/>
              <w:gridCol w:w="2085"/>
            </w:tblGrid>
            <w:tr w14:paraId="520ABF9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28" w:type="dxa"/>
                  <w:vAlign w:val="center"/>
                </w:tcPr>
                <w:p w14:paraId="520ABF91">
                  <w:pPr>
                    <w:widowControl/>
                    <w:jc w:val="center"/>
                    <w:rPr>
                      <w:b/>
                      <w:bCs/>
                      <w:szCs w:val="21"/>
                    </w:rPr>
                  </w:pPr>
                  <w:r>
                    <w:rPr>
                      <w:rFonts w:hint="eastAsia"/>
                      <w:b/>
                      <w:bCs/>
                      <w:szCs w:val="21"/>
                    </w:rPr>
                    <w:t>监测</w:t>
                  </w:r>
                  <w:r>
                    <w:rPr>
                      <w:b/>
                      <w:bCs/>
                      <w:szCs w:val="21"/>
                    </w:rPr>
                    <w:t>类别</w:t>
                  </w:r>
                </w:p>
              </w:tc>
              <w:tc>
                <w:tcPr>
                  <w:tcW w:w="1276" w:type="dxa"/>
                  <w:vAlign w:val="center"/>
                </w:tcPr>
                <w:p w14:paraId="520ABF92">
                  <w:pPr>
                    <w:widowControl/>
                    <w:jc w:val="center"/>
                    <w:rPr>
                      <w:b/>
                      <w:bCs/>
                      <w:szCs w:val="21"/>
                    </w:rPr>
                  </w:pPr>
                  <w:r>
                    <w:rPr>
                      <w:rFonts w:hint="eastAsia"/>
                      <w:b/>
                      <w:bCs/>
                      <w:szCs w:val="21"/>
                    </w:rPr>
                    <w:t>监</w:t>
                  </w:r>
                  <w:r>
                    <w:rPr>
                      <w:b/>
                      <w:bCs/>
                      <w:szCs w:val="21"/>
                    </w:rPr>
                    <w:t>测点位</w:t>
                  </w:r>
                </w:p>
              </w:tc>
              <w:tc>
                <w:tcPr>
                  <w:tcW w:w="3685" w:type="dxa"/>
                  <w:vAlign w:val="center"/>
                </w:tcPr>
                <w:p w14:paraId="520ABF93">
                  <w:pPr>
                    <w:widowControl/>
                    <w:jc w:val="center"/>
                    <w:rPr>
                      <w:b/>
                      <w:bCs/>
                      <w:szCs w:val="21"/>
                    </w:rPr>
                  </w:pPr>
                  <w:r>
                    <w:rPr>
                      <w:rFonts w:hint="eastAsia"/>
                      <w:b/>
                      <w:bCs/>
                      <w:szCs w:val="21"/>
                    </w:rPr>
                    <w:t>监</w:t>
                  </w:r>
                  <w:r>
                    <w:rPr>
                      <w:b/>
                      <w:bCs/>
                      <w:szCs w:val="21"/>
                    </w:rPr>
                    <w:t>测因子</w:t>
                  </w:r>
                </w:p>
              </w:tc>
              <w:tc>
                <w:tcPr>
                  <w:tcW w:w="2085" w:type="dxa"/>
                  <w:vAlign w:val="center"/>
                </w:tcPr>
                <w:p w14:paraId="520ABF94">
                  <w:pPr>
                    <w:widowControl/>
                    <w:jc w:val="center"/>
                    <w:rPr>
                      <w:b/>
                      <w:bCs/>
                      <w:szCs w:val="21"/>
                    </w:rPr>
                  </w:pPr>
                  <w:r>
                    <w:rPr>
                      <w:rFonts w:hint="eastAsia"/>
                      <w:b/>
                      <w:bCs/>
                      <w:szCs w:val="21"/>
                    </w:rPr>
                    <w:t>监测</w:t>
                  </w:r>
                  <w:r>
                    <w:rPr>
                      <w:b/>
                      <w:bCs/>
                      <w:szCs w:val="21"/>
                    </w:rPr>
                    <w:t>频次</w:t>
                  </w:r>
                </w:p>
              </w:tc>
            </w:tr>
            <w:tr w14:paraId="47B0142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974" w:type="dxa"/>
                  <w:gridSpan w:val="4"/>
                  <w:vAlign w:val="center"/>
                </w:tcPr>
                <w:p w14:paraId="2C049AB6">
                  <w:pPr>
                    <w:pStyle w:val="41"/>
                    <w:rPr>
                      <w:b/>
                      <w:bCs/>
                    </w:rPr>
                  </w:pPr>
                  <w:r>
                    <w:rPr>
                      <w:rFonts w:hint="eastAsia"/>
                      <w:b/>
                      <w:bCs/>
                    </w:rPr>
                    <w:t>建设路厂区</w:t>
                  </w:r>
                </w:p>
              </w:tc>
            </w:tr>
            <w:tr w14:paraId="520ABF9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28" w:type="dxa"/>
                  <w:vAlign w:val="center"/>
                </w:tcPr>
                <w:p w14:paraId="520ABF96">
                  <w:pPr>
                    <w:widowControl/>
                    <w:jc w:val="center"/>
                    <w:rPr>
                      <w:szCs w:val="21"/>
                    </w:rPr>
                  </w:pPr>
                  <w:r>
                    <w:rPr>
                      <w:rFonts w:hint="eastAsia"/>
                      <w:szCs w:val="21"/>
                    </w:rPr>
                    <w:t>土壤</w:t>
                  </w:r>
                </w:p>
              </w:tc>
              <w:tc>
                <w:tcPr>
                  <w:tcW w:w="1276" w:type="dxa"/>
                  <w:vAlign w:val="center"/>
                </w:tcPr>
                <w:p w14:paraId="520ABF97">
                  <w:pPr>
                    <w:pStyle w:val="41"/>
                    <w:rPr>
                      <w:kern w:val="2"/>
                    </w:rPr>
                  </w:pPr>
                  <w:r>
                    <w:rPr>
                      <w:rFonts w:hint="eastAsia"/>
                      <w:snapToGrid w:val="0"/>
                      <w:kern w:val="21"/>
                      <w:lang w:bidi="ar"/>
                    </w:rPr>
                    <w:t>电镀废水</w:t>
                  </w:r>
                  <w:r>
                    <w:rPr>
                      <w:snapToGrid w:val="0"/>
                      <w:kern w:val="21"/>
                      <w:lang w:bidi="ar"/>
                    </w:rPr>
                    <w:t>污水处理站附近</w:t>
                  </w:r>
                </w:p>
              </w:tc>
              <w:tc>
                <w:tcPr>
                  <w:tcW w:w="3685" w:type="dxa"/>
                  <w:vAlign w:val="center"/>
                </w:tcPr>
                <w:p w14:paraId="520ABF98">
                  <w:pPr>
                    <w:pStyle w:val="41"/>
                    <w:rPr>
                      <w:kern w:val="2"/>
                    </w:rPr>
                  </w:pPr>
                  <w:r>
                    <w:rPr>
                      <w:rFonts w:hint="eastAsia"/>
                    </w:rPr>
                    <w:t>pH值、铬、六价铬、镍、镉、铜、锌、氰化物</w:t>
                  </w:r>
                </w:p>
              </w:tc>
              <w:tc>
                <w:tcPr>
                  <w:tcW w:w="2085" w:type="dxa"/>
                  <w:vAlign w:val="center"/>
                </w:tcPr>
                <w:p w14:paraId="520ABF99">
                  <w:pPr>
                    <w:pStyle w:val="41"/>
                    <w:rPr>
                      <w:kern w:val="2"/>
                    </w:rPr>
                  </w:pPr>
                  <w:r>
                    <w:rPr>
                      <w:rFonts w:hint="eastAsia"/>
                    </w:rPr>
                    <w:t>监测1天，0</w:t>
                  </w:r>
                  <w:r>
                    <w:rPr>
                      <w:kern w:val="2"/>
                    </w:rPr>
                    <w:t>-0.5m</w:t>
                  </w:r>
                  <w:r>
                    <w:rPr>
                      <w:rFonts w:hint="eastAsia"/>
                      <w:kern w:val="2"/>
                    </w:rPr>
                    <w:t>、</w:t>
                  </w:r>
                  <w:r>
                    <w:rPr>
                      <w:kern w:val="2"/>
                    </w:rPr>
                    <w:t>0.5-1.5m</w:t>
                  </w:r>
                  <w:r>
                    <w:rPr>
                      <w:rFonts w:hint="eastAsia"/>
                      <w:kern w:val="2"/>
                    </w:rPr>
                    <w:t>、</w:t>
                  </w:r>
                  <w:r>
                    <w:rPr>
                      <w:kern w:val="2"/>
                    </w:rPr>
                    <w:t>1.5-3m</w:t>
                  </w:r>
                  <w:r>
                    <w:rPr>
                      <w:rFonts w:hint="eastAsia"/>
                      <w:kern w:val="2"/>
                    </w:rPr>
                    <w:t>分别各取</w:t>
                  </w:r>
                  <w:r>
                    <w:rPr>
                      <w:kern w:val="2"/>
                    </w:rPr>
                    <w:t>1</w:t>
                  </w:r>
                  <w:r>
                    <w:rPr>
                      <w:rFonts w:hint="eastAsia"/>
                      <w:kern w:val="2"/>
                    </w:rPr>
                    <w:t>个样</w:t>
                  </w:r>
                </w:p>
              </w:tc>
            </w:tr>
            <w:tr w14:paraId="520ABF9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28" w:type="dxa"/>
                  <w:vAlign w:val="center"/>
                </w:tcPr>
                <w:p w14:paraId="520ABF9B">
                  <w:pPr>
                    <w:widowControl/>
                    <w:jc w:val="center"/>
                    <w:rPr>
                      <w:szCs w:val="21"/>
                    </w:rPr>
                  </w:pPr>
                  <w:r>
                    <w:rPr>
                      <w:szCs w:val="21"/>
                    </w:rPr>
                    <w:t>地下水</w:t>
                  </w:r>
                </w:p>
              </w:tc>
              <w:tc>
                <w:tcPr>
                  <w:tcW w:w="1276" w:type="dxa"/>
                  <w:vAlign w:val="center"/>
                </w:tcPr>
                <w:p w14:paraId="520ABF9C">
                  <w:pPr>
                    <w:tabs>
                      <w:tab w:val="center" w:pos="4153"/>
                      <w:tab w:val="right" w:pos="8306"/>
                    </w:tabs>
                    <w:jc w:val="center"/>
                    <w:rPr>
                      <w:szCs w:val="21"/>
                    </w:rPr>
                  </w:pPr>
                  <w:r>
                    <w:rPr>
                      <w:rFonts w:hint="eastAsia"/>
                      <w:szCs w:val="21"/>
                    </w:rPr>
                    <w:t>地下水井取水口(综合污水处理站对面)</w:t>
                  </w:r>
                </w:p>
              </w:tc>
              <w:tc>
                <w:tcPr>
                  <w:tcW w:w="3685" w:type="dxa"/>
                  <w:vAlign w:val="center"/>
                </w:tcPr>
                <w:p w14:paraId="520ABF9D">
                  <w:pPr>
                    <w:tabs>
                      <w:tab w:val="center" w:pos="4153"/>
                      <w:tab w:val="right" w:pos="8306"/>
                    </w:tabs>
                    <w:jc w:val="center"/>
                    <w:rPr>
                      <w:szCs w:val="21"/>
                    </w:rPr>
                  </w:pPr>
                  <w:r>
                    <w:rPr>
                      <w:bCs/>
                      <w:szCs w:val="21"/>
                    </w:rPr>
                    <w:t>K</w:t>
                  </w:r>
                  <w:r>
                    <w:rPr>
                      <w:bCs/>
                      <w:szCs w:val="21"/>
                      <w:vertAlign w:val="superscript"/>
                    </w:rPr>
                    <w:t>+</w:t>
                  </w:r>
                  <w:r>
                    <w:rPr>
                      <w:bCs/>
                      <w:szCs w:val="21"/>
                    </w:rPr>
                    <w:t>、Na</w:t>
                  </w:r>
                  <w:r>
                    <w:rPr>
                      <w:bCs/>
                      <w:szCs w:val="21"/>
                      <w:vertAlign w:val="superscript"/>
                    </w:rPr>
                    <w:t>+</w:t>
                  </w:r>
                  <w:r>
                    <w:rPr>
                      <w:bCs/>
                      <w:szCs w:val="21"/>
                    </w:rPr>
                    <w:t>、Ca</w:t>
                  </w:r>
                  <w:r>
                    <w:rPr>
                      <w:bCs/>
                      <w:szCs w:val="21"/>
                      <w:vertAlign w:val="superscript"/>
                    </w:rPr>
                    <w:t>2+</w:t>
                  </w:r>
                  <w:r>
                    <w:rPr>
                      <w:bCs/>
                      <w:szCs w:val="21"/>
                    </w:rPr>
                    <w:t>、Mg</w:t>
                  </w:r>
                  <w:r>
                    <w:rPr>
                      <w:bCs/>
                      <w:szCs w:val="21"/>
                      <w:vertAlign w:val="superscript"/>
                    </w:rPr>
                    <w:t>2+</w:t>
                  </w:r>
                  <w:r>
                    <w:rPr>
                      <w:bCs/>
                      <w:szCs w:val="21"/>
                    </w:rPr>
                    <w:t>、CO</w:t>
                  </w:r>
                  <w:r>
                    <w:rPr>
                      <w:bCs/>
                      <w:szCs w:val="21"/>
                      <w:vertAlign w:val="subscript"/>
                    </w:rPr>
                    <w:t>3</w:t>
                  </w:r>
                  <w:r>
                    <w:rPr>
                      <w:bCs/>
                      <w:szCs w:val="21"/>
                      <w:vertAlign w:val="superscript"/>
                    </w:rPr>
                    <w:t>2-</w:t>
                  </w:r>
                  <w:r>
                    <w:rPr>
                      <w:bCs/>
                      <w:szCs w:val="21"/>
                    </w:rPr>
                    <w:t>、HCO</w:t>
                  </w:r>
                  <w:r>
                    <w:rPr>
                      <w:bCs/>
                      <w:szCs w:val="21"/>
                      <w:vertAlign w:val="subscript"/>
                    </w:rPr>
                    <w:t>3</w:t>
                  </w:r>
                  <w:r>
                    <w:rPr>
                      <w:bCs/>
                      <w:szCs w:val="21"/>
                      <w:vertAlign w:val="superscript"/>
                    </w:rPr>
                    <w:t>-</w:t>
                  </w:r>
                  <w:r>
                    <w:rPr>
                      <w:bCs/>
                      <w:szCs w:val="21"/>
                    </w:rPr>
                    <w:t>、Cl</w:t>
                  </w:r>
                  <w:r>
                    <w:rPr>
                      <w:bCs/>
                      <w:szCs w:val="21"/>
                      <w:vertAlign w:val="superscript"/>
                    </w:rPr>
                    <w:t>-</w:t>
                  </w:r>
                  <w:r>
                    <w:rPr>
                      <w:bCs/>
                      <w:szCs w:val="21"/>
                    </w:rPr>
                    <w:t>、SO</w:t>
                  </w:r>
                  <w:r>
                    <w:rPr>
                      <w:bCs/>
                      <w:szCs w:val="21"/>
                      <w:vertAlign w:val="subscript"/>
                    </w:rPr>
                    <w:t>4</w:t>
                  </w:r>
                  <w:r>
                    <w:rPr>
                      <w:bCs/>
                      <w:szCs w:val="21"/>
                      <w:vertAlign w:val="superscript"/>
                    </w:rPr>
                    <w:t xml:space="preserve">2- </w:t>
                  </w:r>
                  <w:r>
                    <w:rPr>
                      <w:bCs/>
                      <w:szCs w:val="21"/>
                    </w:rPr>
                    <w:t>、pH值、氨氮、硝酸盐、亚硝酸盐、挥发性酚类、氰化物、砷、汞、六价铬、总硬度、铅、氟、镉、铁、锰、溶解性总固体、高锰酸盐指数、硫酸盐、氯化物、总大肠菌群、细菌总数、铜、锌、镍</w:t>
                  </w:r>
                </w:p>
              </w:tc>
              <w:tc>
                <w:tcPr>
                  <w:tcW w:w="2085" w:type="dxa"/>
                  <w:vAlign w:val="center"/>
                </w:tcPr>
                <w:p w14:paraId="520ABF9E">
                  <w:pPr>
                    <w:tabs>
                      <w:tab w:val="center" w:pos="4153"/>
                      <w:tab w:val="right" w:pos="8306"/>
                    </w:tabs>
                    <w:snapToGrid w:val="0"/>
                    <w:jc w:val="center"/>
                    <w:rPr>
                      <w:szCs w:val="21"/>
                    </w:rPr>
                  </w:pPr>
                  <w:r>
                    <w:rPr>
                      <w:rFonts w:hint="eastAsia"/>
                    </w:rPr>
                    <w:t>1次/天，共1天</w:t>
                  </w:r>
                </w:p>
              </w:tc>
            </w:tr>
            <w:tr w14:paraId="214E4FF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974" w:type="dxa"/>
                  <w:gridSpan w:val="4"/>
                  <w:vAlign w:val="center"/>
                </w:tcPr>
                <w:p w14:paraId="6B5B1C01">
                  <w:pPr>
                    <w:tabs>
                      <w:tab w:val="center" w:pos="4153"/>
                      <w:tab w:val="right" w:pos="8306"/>
                    </w:tabs>
                    <w:snapToGrid w:val="0"/>
                    <w:jc w:val="center"/>
                  </w:pPr>
                  <w:r>
                    <w:rPr>
                      <w:rFonts w:hint="eastAsia"/>
                      <w:b/>
                      <w:bCs/>
                    </w:rPr>
                    <w:t>解放路厂区</w:t>
                  </w:r>
                </w:p>
              </w:tc>
            </w:tr>
            <w:tr w14:paraId="4D50C8D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28" w:type="dxa"/>
                  <w:vAlign w:val="center"/>
                </w:tcPr>
                <w:p w14:paraId="4113BB85">
                  <w:pPr>
                    <w:widowControl/>
                    <w:jc w:val="center"/>
                    <w:rPr>
                      <w:szCs w:val="21"/>
                    </w:rPr>
                  </w:pPr>
                  <w:r>
                    <w:rPr>
                      <w:rFonts w:hint="eastAsia"/>
                      <w:szCs w:val="21"/>
                    </w:rPr>
                    <w:t>土壤</w:t>
                  </w:r>
                </w:p>
              </w:tc>
              <w:tc>
                <w:tcPr>
                  <w:tcW w:w="1276" w:type="dxa"/>
                  <w:vAlign w:val="center"/>
                </w:tcPr>
                <w:p w14:paraId="2D0DA300">
                  <w:pPr>
                    <w:tabs>
                      <w:tab w:val="center" w:pos="4153"/>
                      <w:tab w:val="right" w:pos="8306"/>
                    </w:tabs>
                    <w:jc w:val="center"/>
                    <w:rPr>
                      <w:szCs w:val="21"/>
                    </w:rPr>
                  </w:pPr>
                  <w:r>
                    <w:rPr>
                      <w:rFonts w:hint="eastAsia"/>
                      <w:snapToGrid w:val="0"/>
                      <w:kern w:val="21"/>
                      <w:lang w:bidi="ar"/>
                    </w:rPr>
                    <w:t>电镀废水</w:t>
                  </w:r>
                  <w:r>
                    <w:rPr>
                      <w:snapToGrid w:val="0"/>
                      <w:kern w:val="21"/>
                      <w:lang w:bidi="ar"/>
                    </w:rPr>
                    <w:t>污水处理站附近</w:t>
                  </w:r>
                </w:p>
              </w:tc>
              <w:tc>
                <w:tcPr>
                  <w:tcW w:w="3685" w:type="dxa"/>
                  <w:vAlign w:val="center"/>
                </w:tcPr>
                <w:p w14:paraId="7F330DFD">
                  <w:pPr>
                    <w:tabs>
                      <w:tab w:val="center" w:pos="4153"/>
                      <w:tab w:val="right" w:pos="8306"/>
                    </w:tabs>
                    <w:jc w:val="center"/>
                    <w:rPr>
                      <w:bCs/>
                      <w:szCs w:val="21"/>
                    </w:rPr>
                  </w:pPr>
                  <w:r>
                    <w:rPr>
                      <w:bCs/>
                    </w:rPr>
                    <w:t>pH</w:t>
                  </w:r>
                  <w:r>
                    <w:rPr>
                      <w:rFonts w:hAnsi="宋体"/>
                      <w:bCs/>
                    </w:rPr>
                    <w:t>、镉、总氰化物、铬、铜、锌、镍、六价铬</w:t>
                  </w:r>
                </w:p>
              </w:tc>
              <w:tc>
                <w:tcPr>
                  <w:tcW w:w="2085" w:type="dxa"/>
                  <w:vAlign w:val="center"/>
                </w:tcPr>
                <w:p w14:paraId="64AC9EB1">
                  <w:pPr>
                    <w:tabs>
                      <w:tab w:val="center" w:pos="4153"/>
                      <w:tab w:val="right" w:pos="8306"/>
                    </w:tabs>
                    <w:snapToGrid w:val="0"/>
                    <w:jc w:val="center"/>
                  </w:pPr>
                  <w:r>
                    <w:rPr>
                      <w:rFonts w:hint="eastAsia"/>
                    </w:rPr>
                    <w:t>监测1天，0</w:t>
                  </w:r>
                  <w:r>
                    <w:t>-0.5m</w:t>
                  </w:r>
                  <w:r>
                    <w:rPr>
                      <w:rFonts w:hint="eastAsia"/>
                    </w:rPr>
                    <w:t>、</w:t>
                  </w:r>
                  <w:r>
                    <w:t>0.5-1.5m</w:t>
                  </w:r>
                  <w:r>
                    <w:rPr>
                      <w:rFonts w:hint="eastAsia"/>
                    </w:rPr>
                    <w:t>、</w:t>
                  </w:r>
                  <w:r>
                    <w:t>1.5-3m</w:t>
                  </w:r>
                  <w:r>
                    <w:rPr>
                      <w:rFonts w:hint="eastAsia"/>
                    </w:rPr>
                    <w:t>分别各取</w:t>
                  </w:r>
                  <w:r>
                    <w:t>1</w:t>
                  </w:r>
                  <w:r>
                    <w:rPr>
                      <w:rFonts w:hint="eastAsia"/>
                    </w:rPr>
                    <w:t>个样</w:t>
                  </w:r>
                </w:p>
              </w:tc>
            </w:tr>
            <w:tr w14:paraId="11A9356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28" w:type="dxa"/>
                  <w:vAlign w:val="center"/>
                </w:tcPr>
                <w:p w14:paraId="417F3CF7">
                  <w:pPr>
                    <w:widowControl/>
                    <w:jc w:val="center"/>
                    <w:rPr>
                      <w:szCs w:val="21"/>
                    </w:rPr>
                  </w:pPr>
                  <w:r>
                    <w:rPr>
                      <w:szCs w:val="21"/>
                    </w:rPr>
                    <w:t>地下水</w:t>
                  </w:r>
                </w:p>
              </w:tc>
              <w:tc>
                <w:tcPr>
                  <w:tcW w:w="1276" w:type="dxa"/>
                  <w:vAlign w:val="center"/>
                </w:tcPr>
                <w:p w14:paraId="4952A752">
                  <w:pPr>
                    <w:tabs>
                      <w:tab w:val="center" w:pos="4153"/>
                      <w:tab w:val="right" w:pos="8306"/>
                    </w:tabs>
                    <w:jc w:val="center"/>
                    <w:rPr>
                      <w:szCs w:val="21"/>
                    </w:rPr>
                  </w:pPr>
                  <w:r>
                    <w:rPr>
                      <w:rFonts w:hint="eastAsia"/>
                      <w:szCs w:val="21"/>
                    </w:rPr>
                    <w:t>地下水井取水口(综合污水处理站对面)</w:t>
                  </w:r>
                </w:p>
              </w:tc>
              <w:tc>
                <w:tcPr>
                  <w:tcW w:w="3685" w:type="dxa"/>
                  <w:vAlign w:val="center"/>
                </w:tcPr>
                <w:p w14:paraId="02E9DB98">
                  <w:pPr>
                    <w:tabs>
                      <w:tab w:val="center" w:pos="4153"/>
                      <w:tab w:val="right" w:pos="8306"/>
                    </w:tabs>
                    <w:jc w:val="center"/>
                    <w:rPr>
                      <w:bCs/>
                      <w:szCs w:val="21"/>
                    </w:rPr>
                  </w:pPr>
                  <w:r>
                    <w:rPr>
                      <w:bCs/>
                      <w:szCs w:val="21"/>
                    </w:rPr>
                    <w:t>pH</w:t>
                  </w:r>
                  <w:r>
                    <w:rPr>
                      <w:rFonts w:hint="eastAsia"/>
                      <w:bCs/>
                      <w:szCs w:val="21"/>
                    </w:rPr>
                    <w:t>值</w:t>
                  </w:r>
                  <w:r>
                    <w:rPr>
                      <w:bCs/>
                      <w:szCs w:val="21"/>
                    </w:rPr>
                    <w:t>、</w:t>
                  </w:r>
                  <w:r>
                    <w:rPr>
                      <w:rFonts w:hint="eastAsia"/>
                      <w:bCs/>
                      <w:szCs w:val="21"/>
                    </w:rPr>
                    <w:t>色度、嗅和味、浑浊度、肉眼可见物、总硬度、溶解性总固体、硫酸盐、氯化物、铁、锰、铜、锌、铝、挥发酚、阴离子表面活性剂、耗氧量、氨氮、硫化物、钠、硝酸盐氮、亚硝酸盐氮、氰化物、氟化物、碘化物、汞、砷、硒、镉、六价铬、铅、三氯甲烷、四氯化碳、苯、甲苯、总大肠菌群、菌落总数</w:t>
                  </w:r>
                </w:p>
              </w:tc>
              <w:tc>
                <w:tcPr>
                  <w:tcW w:w="2085" w:type="dxa"/>
                  <w:vAlign w:val="center"/>
                </w:tcPr>
                <w:p w14:paraId="609A11C9">
                  <w:pPr>
                    <w:tabs>
                      <w:tab w:val="center" w:pos="4153"/>
                      <w:tab w:val="right" w:pos="8306"/>
                    </w:tabs>
                    <w:snapToGrid w:val="0"/>
                    <w:jc w:val="center"/>
                  </w:pPr>
                  <w:r>
                    <w:rPr>
                      <w:rFonts w:hint="eastAsia"/>
                    </w:rPr>
                    <w:t>1次/天，共1天</w:t>
                  </w:r>
                </w:p>
              </w:tc>
            </w:tr>
          </w:tbl>
          <w:p w14:paraId="520ABFA0">
            <w:pPr>
              <w:adjustRightInd w:val="0"/>
              <w:snapToGrid w:val="0"/>
              <w:spacing w:line="440" w:lineRule="exact"/>
              <w:ind w:firstLine="480" w:firstLineChars="200"/>
              <w:rPr>
                <w:sz w:val="24"/>
              </w:rPr>
            </w:pPr>
            <w:r>
              <w:rPr>
                <w:rFonts w:hint="eastAsia" w:eastAsia="黑体"/>
                <w:sz w:val="24"/>
              </w:rPr>
              <w:t xml:space="preserve">表42           土壤质量现状监测结果一览表          </w:t>
            </w:r>
            <w:r>
              <w:rPr>
                <w:rFonts w:eastAsia="黑体"/>
                <w:sz w:val="24"/>
              </w:rPr>
              <w:t>单位</w:t>
            </w:r>
            <w:r>
              <w:rPr>
                <w:rFonts w:hint="eastAsia" w:eastAsia="黑体"/>
                <w:sz w:val="24"/>
              </w:rPr>
              <w:t>：</w:t>
            </w:r>
            <w:r>
              <w:rPr>
                <w:rFonts w:eastAsia="黑体"/>
                <w:sz w:val="24"/>
              </w:rPr>
              <w:t>mg/kg</w:t>
            </w:r>
          </w:p>
          <w:tbl>
            <w:tblPr>
              <w:tblStyle w:val="18"/>
              <w:tblW w:w="5000" w:type="pct"/>
              <w:jc w:val="center"/>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Layout w:type="fixed"/>
              <w:tblCellMar>
                <w:top w:w="0" w:type="dxa"/>
                <w:left w:w="0" w:type="dxa"/>
                <w:bottom w:w="0" w:type="dxa"/>
                <w:right w:w="0" w:type="dxa"/>
              </w:tblCellMar>
            </w:tblPr>
            <w:tblGrid>
              <w:gridCol w:w="985"/>
              <w:gridCol w:w="794"/>
              <w:gridCol w:w="706"/>
              <w:gridCol w:w="1273"/>
              <w:gridCol w:w="1131"/>
              <w:gridCol w:w="1129"/>
              <w:gridCol w:w="1134"/>
              <w:gridCol w:w="802"/>
            </w:tblGrid>
            <w:tr w14:paraId="520ABFA7">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619" w:type="pct"/>
                  <w:vMerge w:val="restart"/>
                  <w:tcBorders>
                    <w:top w:val="single" w:color="000000" w:sz="8" w:space="0"/>
                    <w:left w:val="nil"/>
                  </w:tcBorders>
                  <w:vAlign w:val="center"/>
                </w:tcPr>
                <w:p w14:paraId="520ABFA1">
                  <w:pPr>
                    <w:adjustRightInd w:val="0"/>
                    <w:snapToGrid w:val="0"/>
                    <w:jc w:val="center"/>
                    <w:rPr>
                      <w:b/>
                      <w:bCs/>
                      <w:szCs w:val="21"/>
                    </w:rPr>
                  </w:pPr>
                  <w:r>
                    <w:rPr>
                      <w:b/>
                      <w:bCs/>
                      <w:szCs w:val="21"/>
                    </w:rPr>
                    <w:t>检测时间</w:t>
                  </w:r>
                </w:p>
              </w:tc>
              <w:tc>
                <w:tcPr>
                  <w:tcW w:w="499" w:type="pct"/>
                  <w:vMerge w:val="restart"/>
                  <w:tcBorders>
                    <w:top w:val="single" w:color="000000" w:sz="8" w:space="0"/>
                  </w:tcBorders>
                  <w:vAlign w:val="center"/>
                </w:tcPr>
                <w:p w14:paraId="520ABFA2">
                  <w:pPr>
                    <w:adjustRightInd w:val="0"/>
                    <w:snapToGrid w:val="0"/>
                    <w:jc w:val="center"/>
                    <w:rPr>
                      <w:b/>
                      <w:bCs/>
                      <w:szCs w:val="21"/>
                    </w:rPr>
                  </w:pPr>
                  <w:r>
                    <w:rPr>
                      <w:rFonts w:hint="eastAsia"/>
                      <w:b/>
                      <w:bCs/>
                      <w:szCs w:val="21"/>
                    </w:rPr>
                    <w:t>厂区</w:t>
                  </w:r>
                </w:p>
              </w:tc>
              <w:tc>
                <w:tcPr>
                  <w:tcW w:w="444" w:type="pct"/>
                  <w:vMerge w:val="restart"/>
                  <w:tcBorders>
                    <w:top w:val="single" w:color="000000" w:sz="8" w:space="0"/>
                  </w:tcBorders>
                  <w:vAlign w:val="center"/>
                </w:tcPr>
                <w:p w14:paraId="520ABFA3">
                  <w:pPr>
                    <w:adjustRightInd w:val="0"/>
                    <w:snapToGrid w:val="0"/>
                    <w:jc w:val="center"/>
                    <w:rPr>
                      <w:b/>
                      <w:bCs/>
                      <w:szCs w:val="21"/>
                    </w:rPr>
                  </w:pPr>
                  <w:r>
                    <w:rPr>
                      <w:rFonts w:hint="eastAsia"/>
                      <w:b/>
                      <w:bCs/>
                      <w:szCs w:val="21"/>
                    </w:rPr>
                    <w:t>序号</w:t>
                  </w:r>
                </w:p>
              </w:tc>
              <w:tc>
                <w:tcPr>
                  <w:tcW w:w="800" w:type="pct"/>
                  <w:vMerge w:val="restart"/>
                  <w:tcBorders>
                    <w:top w:val="single" w:color="000000" w:sz="8" w:space="0"/>
                  </w:tcBorders>
                  <w:vAlign w:val="center"/>
                </w:tcPr>
                <w:p w14:paraId="520ABFA4">
                  <w:pPr>
                    <w:adjustRightInd w:val="0"/>
                    <w:snapToGrid w:val="0"/>
                    <w:jc w:val="center"/>
                    <w:rPr>
                      <w:b/>
                      <w:bCs/>
                      <w:szCs w:val="21"/>
                    </w:rPr>
                  </w:pPr>
                  <w:r>
                    <w:rPr>
                      <w:b/>
                      <w:bCs/>
                      <w:szCs w:val="21"/>
                    </w:rPr>
                    <w:t>检测因子</w:t>
                  </w:r>
                </w:p>
              </w:tc>
              <w:tc>
                <w:tcPr>
                  <w:tcW w:w="2134" w:type="pct"/>
                  <w:gridSpan w:val="3"/>
                  <w:tcBorders>
                    <w:top w:val="single" w:color="000000" w:sz="8" w:space="0"/>
                    <w:bottom w:val="single" w:color="000000" w:sz="6" w:space="0"/>
                    <w:right w:val="single" w:color="auto" w:sz="4" w:space="0"/>
                  </w:tcBorders>
                  <w:vAlign w:val="center"/>
                </w:tcPr>
                <w:p w14:paraId="520ABFA5">
                  <w:pPr>
                    <w:adjustRightInd w:val="0"/>
                    <w:snapToGrid w:val="0"/>
                    <w:jc w:val="center"/>
                    <w:rPr>
                      <w:b/>
                      <w:bCs/>
                      <w:szCs w:val="21"/>
                    </w:rPr>
                  </w:pPr>
                  <w:r>
                    <w:rPr>
                      <w:b/>
                      <w:bCs/>
                      <w:szCs w:val="21"/>
                    </w:rPr>
                    <w:t>检测结果</w:t>
                  </w:r>
                </w:p>
              </w:tc>
              <w:tc>
                <w:tcPr>
                  <w:tcW w:w="504" w:type="pct"/>
                  <w:vMerge w:val="restart"/>
                  <w:tcBorders>
                    <w:top w:val="single" w:color="000000" w:sz="8" w:space="0"/>
                    <w:left w:val="single" w:color="auto" w:sz="4" w:space="0"/>
                    <w:right w:val="nil"/>
                  </w:tcBorders>
                  <w:vAlign w:val="center"/>
                </w:tcPr>
                <w:p w14:paraId="520ABFA6">
                  <w:pPr>
                    <w:adjustRightInd w:val="0"/>
                    <w:snapToGrid w:val="0"/>
                    <w:jc w:val="center"/>
                    <w:rPr>
                      <w:b/>
                      <w:bCs/>
                      <w:szCs w:val="21"/>
                    </w:rPr>
                  </w:pPr>
                  <w:r>
                    <w:rPr>
                      <w:rFonts w:hint="eastAsia"/>
                      <w:b/>
                      <w:bCs/>
                      <w:szCs w:val="21"/>
                    </w:rPr>
                    <w:t>建设用地筛选值</w:t>
                  </w:r>
                </w:p>
              </w:tc>
            </w:tr>
            <w:tr w14:paraId="520ABFAE">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619" w:type="pct"/>
                  <w:vMerge w:val="continue"/>
                  <w:tcBorders>
                    <w:left w:val="nil"/>
                  </w:tcBorders>
                  <w:vAlign w:val="center"/>
                </w:tcPr>
                <w:p w14:paraId="520ABFA8">
                  <w:pPr>
                    <w:adjustRightInd w:val="0"/>
                    <w:snapToGrid w:val="0"/>
                    <w:jc w:val="center"/>
                    <w:rPr>
                      <w:b/>
                      <w:bCs/>
                      <w:szCs w:val="21"/>
                    </w:rPr>
                  </w:pPr>
                </w:p>
              </w:tc>
              <w:tc>
                <w:tcPr>
                  <w:tcW w:w="499" w:type="pct"/>
                  <w:vMerge w:val="continue"/>
                  <w:vAlign w:val="center"/>
                </w:tcPr>
                <w:p w14:paraId="520ABFA9">
                  <w:pPr>
                    <w:adjustRightInd w:val="0"/>
                    <w:snapToGrid w:val="0"/>
                    <w:jc w:val="center"/>
                    <w:rPr>
                      <w:b/>
                      <w:bCs/>
                      <w:szCs w:val="21"/>
                    </w:rPr>
                  </w:pPr>
                </w:p>
              </w:tc>
              <w:tc>
                <w:tcPr>
                  <w:tcW w:w="444" w:type="pct"/>
                  <w:vMerge w:val="continue"/>
                  <w:vAlign w:val="center"/>
                </w:tcPr>
                <w:p w14:paraId="520ABFAA">
                  <w:pPr>
                    <w:adjustRightInd w:val="0"/>
                    <w:snapToGrid w:val="0"/>
                    <w:jc w:val="center"/>
                    <w:rPr>
                      <w:b/>
                      <w:bCs/>
                      <w:szCs w:val="21"/>
                    </w:rPr>
                  </w:pPr>
                </w:p>
              </w:tc>
              <w:tc>
                <w:tcPr>
                  <w:tcW w:w="800" w:type="pct"/>
                  <w:vMerge w:val="continue"/>
                  <w:vAlign w:val="center"/>
                </w:tcPr>
                <w:p w14:paraId="520ABFAB">
                  <w:pPr>
                    <w:adjustRightInd w:val="0"/>
                    <w:snapToGrid w:val="0"/>
                    <w:jc w:val="center"/>
                    <w:rPr>
                      <w:b/>
                      <w:bCs/>
                      <w:szCs w:val="21"/>
                    </w:rPr>
                  </w:pPr>
                </w:p>
              </w:tc>
              <w:tc>
                <w:tcPr>
                  <w:tcW w:w="2134" w:type="pct"/>
                  <w:gridSpan w:val="3"/>
                  <w:tcBorders>
                    <w:top w:val="single" w:color="000000" w:sz="6" w:space="0"/>
                    <w:bottom w:val="single" w:color="000000" w:sz="6" w:space="0"/>
                    <w:right w:val="single" w:color="auto" w:sz="4" w:space="0"/>
                  </w:tcBorders>
                  <w:vAlign w:val="center"/>
                </w:tcPr>
                <w:p w14:paraId="520ABFAC">
                  <w:pPr>
                    <w:adjustRightInd w:val="0"/>
                    <w:snapToGrid w:val="0"/>
                    <w:jc w:val="center"/>
                    <w:rPr>
                      <w:b/>
                      <w:bCs/>
                      <w:szCs w:val="21"/>
                    </w:rPr>
                  </w:pPr>
                  <w:r>
                    <w:rPr>
                      <w:rFonts w:hint="eastAsia"/>
                      <w:b/>
                      <w:bCs/>
                      <w:szCs w:val="21"/>
                    </w:rPr>
                    <w:t>电镀废水污水处理站附近</w:t>
                  </w:r>
                </w:p>
              </w:tc>
              <w:tc>
                <w:tcPr>
                  <w:tcW w:w="504" w:type="pct"/>
                  <w:vMerge w:val="continue"/>
                  <w:tcBorders>
                    <w:left w:val="single" w:color="auto" w:sz="4" w:space="0"/>
                    <w:right w:val="nil"/>
                  </w:tcBorders>
                  <w:vAlign w:val="center"/>
                </w:tcPr>
                <w:p w14:paraId="520ABFAD">
                  <w:pPr>
                    <w:adjustRightInd w:val="0"/>
                    <w:snapToGrid w:val="0"/>
                    <w:jc w:val="center"/>
                    <w:rPr>
                      <w:szCs w:val="21"/>
                    </w:rPr>
                  </w:pPr>
                </w:p>
              </w:tc>
            </w:tr>
            <w:tr w14:paraId="520ABFB7">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619" w:type="pct"/>
                  <w:vMerge w:val="continue"/>
                  <w:tcBorders>
                    <w:left w:val="nil"/>
                    <w:bottom w:val="single" w:color="000000" w:sz="6" w:space="0"/>
                  </w:tcBorders>
                  <w:vAlign w:val="center"/>
                </w:tcPr>
                <w:p w14:paraId="520ABFAF">
                  <w:pPr>
                    <w:adjustRightInd w:val="0"/>
                    <w:snapToGrid w:val="0"/>
                    <w:jc w:val="center"/>
                    <w:rPr>
                      <w:b/>
                      <w:bCs/>
                      <w:szCs w:val="21"/>
                    </w:rPr>
                  </w:pPr>
                </w:p>
              </w:tc>
              <w:tc>
                <w:tcPr>
                  <w:tcW w:w="499" w:type="pct"/>
                  <w:vMerge w:val="continue"/>
                  <w:tcBorders>
                    <w:bottom w:val="single" w:color="000000" w:sz="6" w:space="0"/>
                  </w:tcBorders>
                  <w:vAlign w:val="center"/>
                </w:tcPr>
                <w:p w14:paraId="520ABFB0">
                  <w:pPr>
                    <w:adjustRightInd w:val="0"/>
                    <w:snapToGrid w:val="0"/>
                    <w:jc w:val="center"/>
                    <w:rPr>
                      <w:b/>
                      <w:bCs/>
                      <w:szCs w:val="21"/>
                    </w:rPr>
                  </w:pPr>
                </w:p>
              </w:tc>
              <w:tc>
                <w:tcPr>
                  <w:tcW w:w="444" w:type="pct"/>
                  <w:vMerge w:val="continue"/>
                  <w:tcBorders>
                    <w:bottom w:val="single" w:color="000000" w:sz="6" w:space="0"/>
                  </w:tcBorders>
                  <w:vAlign w:val="center"/>
                </w:tcPr>
                <w:p w14:paraId="520ABFB1">
                  <w:pPr>
                    <w:adjustRightInd w:val="0"/>
                    <w:snapToGrid w:val="0"/>
                    <w:jc w:val="center"/>
                    <w:rPr>
                      <w:b/>
                      <w:bCs/>
                      <w:szCs w:val="21"/>
                    </w:rPr>
                  </w:pPr>
                </w:p>
              </w:tc>
              <w:tc>
                <w:tcPr>
                  <w:tcW w:w="800" w:type="pct"/>
                  <w:vMerge w:val="continue"/>
                  <w:tcBorders>
                    <w:bottom w:val="single" w:color="000000" w:sz="6" w:space="0"/>
                  </w:tcBorders>
                  <w:vAlign w:val="center"/>
                </w:tcPr>
                <w:p w14:paraId="520ABFB2">
                  <w:pPr>
                    <w:adjustRightInd w:val="0"/>
                    <w:snapToGrid w:val="0"/>
                    <w:jc w:val="center"/>
                    <w:rPr>
                      <w:b/>
                      <w:bCs/>
                      <w:szCs w:val="21"/>
                    </w:rPr>
                  </w:pPr>
                </w:p>
              </w:tc>
              <w:tc>
                <w:tcPr>
                  <w:tcW w:w="711" w:type="pct"/>
                  <w:tcBorders>
                    <w:top w:val="single" w:color="000000" w:sz="6" w:space="0"/>
                    <w:bottom w:val="single" w:color="000000" w:sz="6" w:space="0"/>
                    <w:right w:val="single" w:color="auto" w:sz="4" w:space="0"/>
                  </w:tcBorders>
                  <w:vAlign w:val="center"/>
                </w:tcPr>
                <w:p w14:paraId="520ABFB3">
                  <w:pPr>
                    <w:adjustRightInd w:val="0"/>
                    <w:snapToGrid w:val="0"/>
                    <w:jc w:val="center"/>
                    <w:rPr>
                      <w:b/>
                      <w:bCs/>
                      <w:szCs w:val="21"/>
                    </w:rPr>
                  </w:pPr>
                  <w:r>
                    <w:rPr>
                      <w:rFonts w:hint="eastAsia"/>
                      <w:b/>
                      <w:bCs/>
                      <w:szCs w:val="21"/>
                    </w:rPr>
                    <w:t>0-0.</w:t>
                  </w:r>
                  <w:r>
                    <w:rPr>
                      <w:b/>
                      <w:bCs/>
                      <w:szCs w:val="21"/>
                    </w:rPr>
                    <w:t>5</w:t>
                  </w:r>
                  <w:r>
                    <w:rPr>
                      <w:rFonts w:hint="eastAsia"/>
                      <w:b/>
                      <w:bCs/>
                      <w:szCs w:val="21"/>
                    </w:rPr>
                    <w:t>m</w:t>
                  </w:r>
                </w:p>
              </w:tc>
              <w:tc>
                <w:tcPr>
                  <w:tcW w:w="710" w:type="pct"/>
                  <w:tcBorders>
                    <w:top w:val="single" w:color="000000" w:sz="6" w:space="0"/>
                    <w:bottom w:val="single" w:color="000000" w:sz="6" w:space="0"/>
                    <w:right w:val="single" w:color="auto" w:sz="4" w:space="0"/>
                  </w:tcBorders>
                  <w:vAlign w:val="center"/>
                </w:tcPr>
                <w:p w14:paraId="520ABFB4">
                  <w:pPr>
                    <w:adjustRightInd w:val="0"/>
                    <w:snapToGrid w:val="0"/>
                    <w:jc w:val="center"/>
                    <w:rPr>
                      <w:b/>
                      <w:bCs/>
                      <w:szCs w:val="21"/>
                    </w:rPr>
                  </w:pPr>
                  <w:r>
                    <w:rPr>
                      <w:rFonts w:hint="eastAsia"/>
                      <w:b/>
                      <w:bCs/>
                      <w:szCs w:val="21"/>
                    </w:rPr>
                    <w:t>0</w:t>
                  </w:r>
                  <w:r>
                    <w:rPr>
                      <w:b/>
                      <w:bCs/>
                      <w:szCs w:val="21"/>
                    </w:rPr>
                    <w:t>.5-1.5</w:t>
                  </w:r>
                  <w:r>
                    <w:rPr>
                      <w:rFonts w:hint="eastAsia"/>
                      <w:b/>
                      <w:bCs/>
                      <w:szCs w:val="21"/>
                    </w:rPr>
                    <w:t>m</w:t>
                  </w:r>
                </w:p>
              </w:tc>
              <w:tc>
                <w:tcPr>
                  <w:tcW w:w="713" w:type="pct"/>
                  <w:tcBorders>
                    <w:top w:val="single" w:color="000000" w:sz="6" w:space="0"/>
                    <w:bottom w:val="single" w:color="000000" w:sz="6" w:space="0"/>
                    <w:right w:val="single" w:color="auto" w:sz="4" w:space="0"/>
                  </w:tcBorders>
                  <w:vAlign w:val="center"/>
                </w:tcPr>
                <w:p w14:paraId="520ABFB5">
                  <w:pPr>
                    <w:adjustRightInd w:val="0"/>
                    <w:snapToGrid w:val="0"/>
                    <w:jc w:val="center"/>
                    <w:rPr>
                      <w:b/>
                      <w:bCs/>
                      <w:szCs w:val="21"/>
                    </w:rPr>
                  </w:pPr>
                  <w:r>
                    <w:rPr>
                      <w:rFonts w:hint="eastAsia"/>
                      <w:b/>
                      <w:bCs/>
                      <w:szCs w:val="21"/>
                    </w:rPr>
                    <w:t>1</w:t>
                  </w:r>
                  <w:r>
                    <w:rPr>
                      <w:b/>
                      <w:bCs/>
                      <w:szCs w:val="21"/>
                    </w:rPr>
                    <w:t>.5</w:t>
                  </w:r>
                  <w:r>
                    <w:rPr>
                      <w:rFonts w:hint="eastAsia"/>
                      <w:b/>
                      <w:bCs/>
                      <w:szCs w:val="21"/>
                    </w:rPr>
                    <w:t>-</w:t>
                  </w:r>
                  <w:r>
                    <w:rPr>
                      <w:b/>
                      <w:bCs/>
                      <w:szCs w:val="21"/>
                    </w:rPr>
                    <w:t>3</w:t>
                  </w:r>
                  <w:r>
                    <w:rPr>
                      <w:rFonts w:hint="eastAsia"/>
                      <w:b/>
                      <w:bCs/>
                      <w:szCs w:val="21"/>
                    </w:rPr>
                    <w:t>m</w:t>
                  </w:r>
                </w:p>
              </w:tc>
              <w:tc>
                <w:tcPr>
                  <w:tcW w:w="504" w:type="pct"/>
                  <w:vMerge w:val="continue"/>
                  <w:tcBorders>
                    <w:left w:val="single" w:color="auto" w:sz="4" w:space="0"/>
                    <w:bottom w:val="single" w:color="000000" w:sz="6" w:space="0"/>
                    <w:right w:val="nil"/>
                  </w:tcBorders>
                  <w:vAlign w:val="center"/>
                </w:tcPr>
                <w:p w14:paraId="520ABFB6">
                  <w:pPr>
                    <w:adjustRightInd w:val="0"/>
                    <w:snapToGrid w:val="0"/>
                    <w:jc w:val="center"/>
                    <w:rPr>
                      <w:szCs w:val="21"/>
                    </w:rPr>
                  </w:pPr>
                </w:p>
              </w:tc>
            </w:tr>
            <w:tr w14:paraId="520ABFC0">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restart"/>
                  <w:tcBorders>
                    <w:top w:val="single" w:color="000000" w:sz="6" w:space="0"/>
                    <w:left w:val="nil"/>
                    <w:bottom w:val="single" w:color="000000" w:sz="6" w:space="0"/>
                  </w:tcBorders>
                  <w:vAlign w:val="center"/>
                </w:tcPr>
                <w:p w14:paraId="520ABFB8">
                  <w:pPr>
                    <w:adjustRightInd w:val="0"/>
                    <w:snapToGrid w:val="0"/>
                    <w:jc w:val="center"/>
                    <w:rPr>
                      <w:szCs w:val="21"/>
                    </w:rPr>
                  </w:pPr>
                  <w:r>
                    <w:rPr>
                      <w:szCs w:val="21"/>
                    </w:rPr>
                    <w:t>2024.11.20</w:t>
                  </w:r>
                </w:p>
              </w:tc>
              <w:tc>
                <w:tcPr>
                  <w:tcW w:w="499" w:type="pct"/>
                  <w:vMerge w:val="restart"/>
                  <w:tcBorders>
                    <w:top w:val="single" w:color="000000" w:sz="6" w:space="0"/>
                  </w:tcBorders>
                  <w:vAlign w:val="center"/>
                </w:tcPr>
                <w:p w14:paraId="520ABFB9">
                  <w:pPr>
                    <w:adjustRightInd w:val="0"/>
                    <w:snapToGrid w:val="0"/>
                    <w:jc w:val="center"/>
                    <w:rPr>
                      <w:szCs w:val="21"/>
                    </w:rPr>
                  </w:pPr>
                  <w:r>
                    <w:rPr>
                      <w:rFonts w:hint="eastAsia"/>
                      <w:szCs w:val="21"/>
                    </w:rPr>
                    <w:t>建设路厂区</w:t>
                  </w:r>
                </w:p>
              </w:tc>
              <w:tc>
                <w:tcPr>
                  <w:tcW w:w="444" w:type="pct"/>
                  <w:tcBorders>
                    <w:top w:val="single" w:color="000000" w:sz="6" w:space="0"/>
                    <w:bottom w:val="single" w:color="000000" w:sz="6" w:space="0"/>
                  </w:tcBorders>
                  <w:vAlign w:val="center"/>
                </w:tcPr>
                <w:p w14:paraId="520ABFBA">
                  <w:pPr>
                    <w:adjustRightInd w:val="0"/>
                    <w:snapToGrid w:val="0"/>
                    <w:jc w:val="center"/>
                    <w:rPr>
                      <w:szCs w:val="21"/>
                    </w:rPr>
                  </w:pPr>
                  <w:r>
                    <w:rPr>
                      <w:rFonts w:hint="eastAsia"/>
                      <w:szCs w:val="21"/>
                    </w:rPr>
                    <w:t>1</w:t>
                  </w:r>
                </w:p>
              </w:tc>
              <w:tc>
                <w:tcPr>
                  <w:tcW w:w="800" w:type="pct"/>
                  <w:tcBorders>
                    <w:top w:val="single" w:color="000000" w:sz="6" w:space="0"/>
                    <w:bottom w:val="single" w:color="000000" w:sz="6" w:space="0"/>
                  </w:tcBorders>
                  <w:vAlign w:val="center"/>
                </w:tcPr>
                <w:p w14:paraId="520ABFBB">
                  <w:pPr>
                    <w:adjustRightInd w:val="0"/>
                    <w:snapToGrid w:val="0"/>
                    <w:jc w:val="center"/>
                    <w:rPr>
                      <w:szCs w:val="21"/>
                    </w:rPr>
                  </w:pPr>
                  <w:r>
                    <w:rPr>
                      <w:rFonts w:hint="eastAsia"/>
                      <w:szCs w:val="21"/>
                    </w:rPr>
                    <w:t>p</w:t>
                  </w:r>
                  <w:r>
                    <w:rPr>
                      <w:szCs w:val="21"/>
                    </w:rPr>
                    <w:t>H</w:t>
                  </w:r>
                  <w:r>
                    <w:rPr>
                      <w:rFonts w:hint="eastAsia"/>
                      <w:szCs w:val="21"/>
                    </w:rPr>
                    <w:t>值</w:t>
                  </w:r>
                </w:p>
              </w:tc>
              <w:tc>
                <w:tcPr>
                  <w:tcW w:w="711" w:type="pct"/>
                  <w:tcBorders>
                    <w:top w:val="single" w:color="000000" w:sz="6" w:space="0"/>
                    <w:bottom w:val="single" w:color="000000" w:sz="6" w:space="0"/>
                  </w:tcBorders>
                  <w:vAlign w:val="center"/>
                </w:tcPr>
                <w:p w14:paraId="520ABFBC">
                  <w:pPr>
                    <w:adjustRightInd w:val="0"/>
                    <w:snapToGrid w:val="0"/>
                    <w:jc w:val="center"/>
                    <w:rPr>
                      <w:szCs w:val="21"/>
                    </w:rPr>
                  </w:pPr>
                  <w:r>
                    <w:rPr>
                      <w:bCs/>
                      <w:szCs w:val="21"/>
                    </w:rPr>
                    <w:t>8.63</w:t>
                  </w:r>
                </w:p>
              </w:tc>
              <w:tc>
                <w:tcPr>
                  <w:tcW w:w="710" w:type="pct"/>
                  <w:tcBorders>
                    <w:top w:val="single" w:color="000000" w:sz="6" w:space="0"/>
                    <w:bottom w:val="single" w:color="000000" w:sz="6" w:space="0"/>
                  </w:tcBorders>
                  <w:vAlign w:val="center"/>
                </w:tcPr>
                <w:p w14:paraId="520ABFBD">
                  <w:pPr>
                    <w:adjustRightInd w:val="0"/>
                    <w:snapToGrid w:val="0"/>
                    <w:jc w:val="center"/>
                    <w:rPr>
                      <w:szCs w:val="21"/>
                    </w:rPr>
                  </w:pPr>
                  <w:r>
                    <w:rPr>
                      <w:bCs/>
                      <w:szCs w:val="21"/>
                    </w:rPr>
                    <w:t>8.87</w:t>
                  </w:r>
                </w:p>
              </w:tc>
              <w:tc>
                <w:tcPr>
                  <w:tcW w:w="713" w:type="pct"/>
                  <w:tcBorders>
                    <w:top w:val="single" w:color="000000" w:sz="6" w:space="0"/>
                    <w:bottom w:val="single" w:color="000000" w:sz="6" w:space="0"/>
                  </w:tcBorders>
                  <w:vAlign w:val="center"/>
                </w:tcPr>
                <w:p w14:paraId="520ABFBE">
                  <w:pPr>
                    <w:adjustRightInd w:val="0"/>
                    <w:snapToGrid w:val="0"/>
                    <w:jc w:val="center"/>
                    <w:rPr>
                      <w:szCs w:val="21"/>
                    </w:rPr>
                  </w:pPr>
                  <w:r>
                    <w:rPr>
                      <w:bCs/>
                      <w:szCs w:val="21"/>
                    </w:rPr>
                    <w:t>8.56</w:t>
                  </w:r>
                </w:p>
              </w:tc>
              <w:tc>
                <w:tcPr>
                  <w:tcW w:w="504" w:type="pct"/>
                  <w:tcBorders>
                    <w:top w:val="single" w:color="000000" w:sz="6" w:space="0"/>
                    <w:bottom w:val="single" w:color="000000" w:sz="6" w:space="0"/>
                    <w:right w:val="nil"/>
                  </w:tcBorders>
                  <w:vAlign w:val="center"/>
                </w:tcPr>
                <w:p w14:paraId="520ABFBF">
                  <w:pPr>
                    <w:adjustRightInd w:val="0"/>
                    <w:snapToGrid w:val="0"/>
                    <w:jc w:val="center"/>
                    <w:rPr>
                      <w:szCs w:val="21"/>
                    </w:rPr>
                  </w:pPr>
                  <w:r>
                    <w:rPr>
                      <w:rFonts w:hint="eastAsia"/>
                      <w:szCs w:val="21"/>
                    </w:rPr>
                    <w:t>/</w:t>
                  </w:r>
                </w:p>
              </w:tc>
            </w:tr>
            <w:tr w14:paraId="520ABFC9">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top w:val="single" w:color="000000" w:sz="6" w:space="0"/>
                    <w:left w:val="nil"/>
                    <w:bottom w:val="single" w:color="000000" w:sz="6" w:space="0"/>
                  </w:tcBorders>
                  <w:vAlign w:val="center"/>
                </w:tcPr>
                <w:p w14:paraId="520ABFC1">
                  <w:pPr>
                    <w:adjustRightInd w:val="0"/>
                    <w:snapToGrid w:val="0"/>
                    <w:jc w:val="center"/>
                    <w:rPr>
                      <w:szCs w:val="21"/>
                    </w:rPr>
                  </w:pPr>
                </w:p>
              </w:tc>
              <w:tc>
                <w:tcPr>
                  <w:tcW w:w="499" w:type="pct"/>
                  <w:vMerge w:val="continue"/>
                  <w:vAlign w:val="center"/>
                </w:tcPr>
                <w:p w14:paraId="520ABFC2">
                  <w:pPr>
                    <w:adjustRightInd w:val="0"/>
                    <w:snapToGrid w:val="0"/>
                    <w:jc w:val="center"/>
                    <w:rPr>
                      <w:szCs w:val="21"/>
                    </w:rPr>
                  </w:pPr>
                </w:p>
              </w:tc>
              <w:tc>
                <w:tcPr>
                  <w:tcW w:w="444" w:type="pct"/>
                  <w:tcBorders>
                    <w:top w:val="single" w:color="000000" w:sz="6" w:space="0"/>
                    <w:bottom w:val="single" w:color="000000" w:sz="6" w:space="0"/>
                  </w:tcBorders>
                  <w:vAlign w:val="center"/>
                </w:tcPr>
                <w:p w14:paraId="520ABFC3">
                  <w:pPr>
                    <w:adjustRightInd w:val="0"/>
                    <w:snapToGrid w:val="0"/>
                    <w:jc w:val="center"/>
                    <w:rPr>
                      <w:szCs w:val="21"/>
                    </w:rPr>
                  </w:pPr>
                  <w:r>
                    <w:rPr>
                      <w:rFonts w:hint="eastAsia"/>
                      <w:szCs w:val="21"/>
                    </w:rPr>
                    <w:t>2</w:t>
                  </w:r>
                </w:p>
              </w:tc>
              <w:tc>
                <w:tcPr>
                  <w:tcW w:w="800" w:type="pct"/>
                  <w:tcBorders>
                    <w:top w:val="single" w:color="000000" w:sz="6" w:space="0"/>
                    <w:bottom w:val="single" w:color="000000" w:sz="6" w:space="0"/>
                  </w:tcBorders>
                  <w:vAlign w:val="center"/>
                </w:tcPr>
                <w:p w14:paraId="520ABFC4">
                  <w:pPr>
                    <w:adjustRightInd w:val="0"/>
                    <w:snapToGrid w:val="0"/>
                    <w:jc w:val="center"/>
                    <w:rPr>
                      <w:szCs w:val="21"/>
                    </w:rPr>
                  </w:pPr>
                  <w:r>
                    <w:rPr>
                      <w:rFonts w:hint="eastAsia"/>
                      <w:szCs w:val="21"/>
                    </w:rPr>
                    <w:t>铬</w:t>
                  </w:r>
                </w:p>
              </w:tc>
              <w:tc>
                <w:tcPr>
                  <w:tcW w:w="711" w:type="pct"/>
                  <w:tcBorders>
                    <w:top w:val="single" w:color="000000" w:sz="6" w:space="0"/>
                    <w:bottom w:val="single" w:color="000000" w:sz="6" w:space="0"/>
                  </w:tcBorders>
                  <w:vAlign w:val="center"/>
                </w:tcPr>
                <w:p w14:paraId="520ABFC5">
                  <w:pPr>
                    <w:adjustRightInd w:val="0"/>
                    <w:snapToGrid w:val="0"/>
                    <w:jc w:val="center"/>
                    <w:rPr>
                      <w:szCs w:val="21"/>
                    </w:rPr>
                  </w:pPr>
                  <w:r>
                    <w:rPr>
                      <w:bCs/>
                      <w:szCs w:val="21"/>
                    </w:rPr>
                    <w:t>109</w:t>
                  </w:r>
                </w:p>
              </w:tc>
              <w:tc>
                <w:tcPr>
                  <w:tcW w:w="710" w:type="pct"/>
                  <w:tcBorders>
                    <w:top w:val="single" w:color="000000" w:sz="6" w:space="0"/>
                    <w:bottom w:val="single" w:color="000000" w:sz="6" w:space="0"/>
                  </w:tcBorders>
                  <w:vAlign w:val="center"/>
                </w:tcPr>
                <w:p w14:paraId="520ABFC6">
                  <w:pPr>
                    <w:adjustRightInd w:val="0"/>
                    <w:snapToGrid w:val="0"/>
                    <w:jc w:val="center"/>
                    <w:rPr>
                      <w:szCs w:val="21"/>
                    </w:rPr>
                  </w:pPr>
                  <w:r>
                    <w:rPr>
                      <w:bCs/>
                      <w:szCs w:val="21"/>
                    </w:rPr>
                    <w:t>36</w:t>
                  </w:r>
                </w:p>
              </w:tc>
              <w:tc>
                <w:tcPr>
                  <w:tcW w:w="713" w:type="pct"/>
                  <w:tcBorders>
                    <w:top w:val="single" w:color="000000" w:sz="6" w:space="0"/>
                    <w:bottom w:val="single" w:color="000000" w:sz="6" w:space="0"/>
                  </w:tcBorders>
                  <w:vAlign w:val="center"/>
                </w:tcPr>
                <w:p w14:paraId="520ABFC7">
                  <w:pPr>
                    <w:adjustRightInd w:val="0"/>
                    <w:snapToGrid w:val="0"/>
                    <w:jc w:val="center"/>
                    <w:rPr>
                      <w:szCs w:val="21"/>
                    </w:rPr>
                  </w:pPr>
                  <w:r>
                    <w:rPr>
                      <w:bCs/>
                      <w:szCs w:val="21"/>
                    </w:rPr>
                    <w:t>35</w:t>
                  </w:r>
                </w:p>
              </w:tc>
              <w:tc>
                <w:tcPr>
                  <w:tcW w:w="504" w:type="pct"/>
                  <w:tcBorders>
                    <w:top w:val="single" w:color="000000" w:sz="6" w:space="0"/>
                    <w:bottom w:val="single" w:color="000000" w:sz="6" w:space="0"/>
                    <w:right w:val="nil"/>
                  </w:tcBorders>
                  <w:vAlign w:val="center"/>
                </w:tcPr>
                <w:p w14:paraId="520ABFC8">
                  <w:pPr>
                    <w:adjustRightInd w:val="0"/>
                    <w:snapToGrid w:val="0"/>
                    <w:jc w:val="center"/>
                    <w:rPr>
                      <w:szCs w:val="21"/>
                    </w:rPr>
                  </w:pPr>
                  <w:r>
                    <w:rPr>
                      <w:rFonts w:hint="eastAsia"/>
                      <w:szCs w:val="21"/>
                    </w:rPr>
                    <w:t>/</w:t>
                  </w:r>
                </w:p>
              </w:tc>
            </w:tr>
            <w:tr w14:paraId="520ABFD2">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top w:val="single" w:color="000000" w:sz="6" w:space="0"/>
                    <w:left w:val="nil"/>
                    <w:bottom w:val="single" w:color="000000" w:sz="6" w:space="0"/>
                  </w:tcBorders>
                  <w:vAlign w:val="center"/>
                </w:tcPr>
                <w:p w14:paraId="520ABFCA">
                  <w:pPr>
                    <w:adjustRightInd w:val="0"/>
                    <w:snapToGrid w:val="0"/>
                    <w:jc w:val="center"/>
                    <w:rPr>
                      <w:szCs w:val="21"/>
                    </w:rPr>
                  </w:pPr>
                </w:p>
              </w:tc>
              <w:tc>
                <w:tcPr>
                  <w:tcW w:w="499" w:type="pct"/>
                  <w:vMerge w:val="continue"/>
                  <w:vAlign w:val="center"/>
                </w:tcPr>
                <w:p w14:paraId="520ABFCB">
                  <w:pPr>
                    <w:adjustRightInd w:val="0"/>
                    <w:snapToGrid w:val="0"/>
                    <w:jc w:val="center"/>
                    <w:rPr>
                      <w:szCs w:val="21"/>
                    </w:rPr>
                  </w:pPr>
                </w:p>
              </w:tc>
              <w:tc>
                <w:tcPr>
                  <w:tcW w:w="444" w:type="pct"/>
                  <w:tcBorders>
                    <w:top w:val="single" w:color="000000" w:sz="6" w:space="0"/>
                    <w:bottom w:val="single" w:color="000000" w:sz="6" w:space="0"/>
                  </w:tcBorders>
                  <w:vAlign w:val="center"/>
                </w:tcPr>
                <w:p w14:paraId="520ABFCC">
                  <w:pPr>
                    <w:adjustRightInd w:val="0"/>
                    <w:snapToGrid w:val="0"/>
                    <w:jc w:val="center"/>
                    <w:rPr>
                      <w:szCs w:val="21"/>
                    </w:rPr>
                  </w:pPr>
                  <w:r>
                    <w:rPr>
                      <w:rFonts w:hint="eastAsia"/>
                      <w:szCs w:val="21"/>
                    </w:rPr>
                    <w:t>3</w:t>
                  </w:r>
                </w:p>
              </w:tc>
              <w:tc>
                <w:tcPr>
                  <w:tcW w:w="800" w:type="pct"/>
                  <w:tcBorders>
                    <w:top w:val="single" w:color="000000" w:sz="6" w:space="0"/>
                    <w:bottom w:val="single" w:color="000000" w:sz="6" w:space="0"/>
                  </w:tcBorders>
                  <w:vAlign w:val="center"/>
                </w:tcPr>
                <w:p w14:paraId="520ABFCD">
                  <w:pPr>
                    <w:adjustRightInd w:val="0"/>
                    <w:snapToGrid w:val="0"/>
                    <w:jc w:val="center"/>
                    <w:rPr>
                      <w:szCs w:val="21"/>
                    </w:rPr>
                  </w:pPr>
                  <w:r>
                    <w:rPr>
                      <w:rFonts w:hint="eastAsia"/>
                      <w:szCs w:val="21"/>
                    </w:rPr>
                    <w:t>六价铬</w:t>
                  </w:r>
                </w:p>
              </w:tc>
              <w:tc>
                <w:tcPr>
                  <w:tcW w:w="711" w:type="pct"/>
                  <w:tcBorders>
                    <w:top w:val="single" w:color="000000" w:sz="6" w:space="0"/>
                    <w:bottom w:val="single" w:color="000000" w:sz="6" w:space="0"/>
                  </w:tcBorders>
                  <w:vAlign w:val="center"/>
                </w:tcPr>
                <w:p w14:paraId="520ABFCE">
                  <w:pPr>
                    <w:adjustRightInd w:val="0"/>
                    <w:snapToGrid w:val="0"/>
                    <w:jc w:val="center"/>
                    <w:rPr>
                      <w:szCs w:val="21"/>
                    </w:rPr>
                  </w:pPr>
                  <w:r>
                    <w:rPr>
                      <w:rFonts w:hint="eastAsia"/>
                      <w:szCs w:val="21"/>
                    </w:rPr>
                    <w:t>ND</w:t>
                  </w:r>
                </w:p>
              </w:tc>
              <w:tc>
                <w:tcPr>
                  <w:tcW w:w="710" w:type="pct"/>
                  <w:tcBorders>
                    <w:top w:val="single" w:color="000000" w:sz="6" w:space="0"/>
                    <w:bottom w:val="single" w:color="000000" w:sz="6" w:space="0"/>
                  </w:tcBorders>
                  <w:vAlign w:val="center"/>
                </w:tcPr>
                <w:p w14:paraId="520ABFCF">
                  <w:pPr>
                    <w:adjustRightInd w:val="0"/>
                    <w:snapToGrid w:val="0"/>
                    <w:jc w:val="center"/>
                    <w:rPr>
                      <w:szCs w:val="21"/>
                    </w:rPr>
                  </w:pPr>
                  <w:r>
                    <w:rPr>
                      <w:rFonts w:hint="eastAsia"/>
                      <w:szCs w:val="21"/>
                    </w:rPr>
                    <w:t>ND</w:t>
                  </w:r>
                </w:p>
              </w:tc>
              <w:tc>
                <w:tcPr>
                  <w:tcW w:w="713" w:type="pct"/>
                  <w:tcBorders>
                    <w:top w:val="single" w:color="000000" w:sz="6" w:space="0"/>
                    <w:bottom w:val="single" w:color="000000" w:sz="6" w:space="0"/>
                  </w:tcBorders>
                  <w:vAlign w:val="center"/>
                </w:tcPr>
                <w:p w14:paraId="520ABFD0">
                  <w:pPr>
                    <w:adjustRightInd w:val="0"/>
                    <w:snapToGrid w:val="0"/>
                    <w:jc w:val="center"/>
                    <w:rPr>
                      <w:szCs w:val="21"/>
                    </w:rPr>
                  </w:pPr>
                  <w:r>
                    <w:rPr>
                      <w:rFonts w:hint="eastAsia"/>
                      <w:szCs w:val="21"/>
                    </w:rPr>
                    <w:t>ND</w:t>
                  </w:r>
                </w:p>
              </w:tc>
              <w:tc>
                <w:tcPr>
                  <w:tcW w:w="504" w:type="pct"/>
                  <w:tcBorders>
                    <w:top w:val="single" w:color="000000" w:sz="6" w:space="0"/>
                    <w:bottom w:val="single" w:color="000000" w:sz="6" w:space="0"/>
                    <w:right w:val="nil"/>
                  </w:tcBorders>
                  <w:vAlign w:val="center"/>
                </w:tcPr>
                <w:p w14:paraId="520ABFD1">
                  <w:pPr>
                    <w:adjustRightInd w:val="0"/>
                    <w:snapToGrid w:val="0"/>
                    <w:jc w:val="center"/>
                    <w:rPr>
                      <w:szCs w:val="21"/>
                    </w:rPr>
                  </w:pPr>
                  <w:r>
                    <w:rPr>
                      <w:rFonts w:hint="eastAsia"/>
                      <w:szCs w:val="21"/>
                    </w:rPr>
                    <w:t>5.7</w:t>
                  </w:r>
                </w:p>
              </w:tc>
            </w:tr>
            <w:tr w14:paraId="520ABFDB">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top w:val="single" w:color="000000" w:sz="6" w:space="0"/>
                    <w:left w:val="nil"/>
                    <w:bottom w:val="single" w:color="000000" w:sz="6" w:space="0"/>
                  </w:tcBorders>
                  <w:vAlign w:val="center"/>
                </w:tcPr>
                <w:p w14:paraId="520ABFD3">
                  <w:pPr>
                    <w:adjustRightInd w:val="0"/>
                    <w:snapToGrid w:val="0"/>
                    <w:jc w:val="center"/>
                    <w:rPr>
                      <w:szCs w:val="21"/>
                    </w:rPr>
                  </w:pPr>
                </w:p>
              </w:tc>
              <w:tc>
                <w:tcPr>
                  <w:tcW w:w="499" w:type="pct"/>
                  <w:vMerge w:val="continue"/>
                  <w:vAlign w:val="center"/>
                </w:tcPr>
                <w:p w14:paraId="520ABFD4">
                  <w:pPr>
                    <w:adjustRightInd w:val="0"/>
                    <w:snapToGrid w:val="0"/>
                    <w:jc w:val="center"/>
                    <w:rPr>
                      <w:szCs w:val="21"/>
                    </w:rPr>
                  </w:pPr>
                </w:p>
              </w:tc>
              <w:tc>
                <w:tcPr>
                  <w:tcW w:w="444" w:type="pct"/>
                  <w:tcBorders>
                    <w:top w:val="single" w:color="000000" w:sz="6" w:space="0"/>
                    <w:bottom w:val="single" w:color="000000" w:sz="6" w:space="0"/>
                  </w:tcBorders>
                  <w:vAlign w:val="center"/>
                </w:tcPr>
                <w:p w14:paraId="520ABFD5">
                  <w:pPr>
                    <w:adjustRightInd w:val="0"/>
                    <w:snapToGrid w:val="0"/>
                    <w:jc w:val="center"/>
                    <w:rPr>
                      <w:szCs w:val="21"/>
                    </w:rPr>
                  </w:pPr>
                  <w:r>
                    <w:rPr>
                      <w:rFonts w:hint="eastAsia"/>
                      <w:szCs w:val="21"/>
                    </w:rPr>
                    <w:t>4</w:t>
                  </w:r>
                </w:p>
              </w:tc>
              <w:tc>
                <w:tcPr>
                  <w:tcW w:w="800" w:type="pct"/>
                  <w:tcBorders>
                    <w:top w:val="single" w:color="000000" w:sz="6" w:space="0"/>
                    <w:bottom w:val="single" w:color="000000" w:sz="6" w:space="0"/>
                  </w:tcBorders>
                  <w:vAlign w:val="center"/>
                </w:tcPr>
                <w:p w14:paraId="520ABFD6">
                  <w:pPr>
                    <w:adjustRightInd w:val="0"/>
                    <w:snapToGrid w:val="0"/>
                    <w:jc w:val="center"/>
                    <w:rPr>
                      <w:szCs w:val="21"/>
                    </w:rPr>
                  </w:pPr>
                  <w:r>
                    <w:rPr>
                      <w:rFonts w:hint="eastAsia"/>
                      <w:szCs w:val="21"/>
                    </w:rPr>
                    <w:t>镍</w:t>
                  </w:r>
                </w:p>
              </w:tc>
              <w:tc>
                <w:tcPr>
                  <w:tcW w:w="711" w:type="pct"/>
                  <w:tcBorders>
                    <w:top w:val="single" w:color="000000" w:sz="6" w:space="0"/>
                    <w:bottom w:val="single" w:color="000000" w:sz="6" w:space="0"/>
                  </w:tcBorders>
                  <w:vAlign w:val="center"/>
                </w:tcPr>
                <w:p w14:paraId="520ABFD7">
                  <w:pPr>
                    <w:adjustRightInd w:val="0"/>
                    <w:snapToGrid w:val="0"/>
                    <w:jc w:val="center"/>
                    <w:rPr>
                      <w:szCs w:val="21"/>
                    </w:rPr>
                  </w:pPr>
                  <w:r>
                    <w:rPr>
                      <w:bCs/>
                      <w:szCs w:val="21"/>
                    </w:rPr>
                    <w:t>36</w:t>
                  </w:r>
                </w:p>
              </w:tc>
              <w:tc>
                <w:tcPr>
                  <w:tcW w:w="710" w:type="pct"/>
                  <w:tcBorders>
                    <w:top w:val="single" w:color="000000" w:sz="6" w:space="0"/>
                    <w:bottom w:val="single" w:color="000000" w:sz="6" w:space="0"/>
                  </w:tcBorders>
                  <w:vAlign w:val="center"/>
                </w:tcPr>
                <w:p w14:paraId="520ABFD8">
                  <w:pPr>
                    <w:adjustRightInd w:val="0"/>
                    <w:snapToGrid w:val="0"/>
                    <w:jc w:val="center"/>
                    <w:rPr>
                      <w:szCs w:val="21"/>
                    </w:rPr>
                  </w:pPr>
                  <w:r>
                    <w:rPr>
                      <w:bCs/>
                      <w:szCs w:val="21"/>
                    </w:rPr>
                    <w:t>33</w:t>
                  </w:r>
                </w:p>
              </w:tc>
              <w:tc>
                <w:tcPr>
                  <w:tcW w:w="713" w:type="pct"/>
                  <w:tcBorders>
                    <w:top w:val="single" w:color="000000" w:sz="6" w:space="0"/>
                    <w:bottom w:val="single" w:color="000000" w:sz="6" w:space="0"/>
                  </w:tcBorders>
                  <w:vAlign w:val="center"/>
                </w:tcPr>
                <w:p w14:paraId="520ABFD9">
                  <w:pPr>
                    <w:adjustRightInd w:val="0"/>
                    <w:snapToGrid w:val="0"/>
                    <w:jc w:val="center"/>
                    <w:rPr>
                      <w:szCs w:val="21"/>
                    </w:rPr>
                  </w:pPr>
                  <w:r>
                    <w:rPr>
                      <w:bCs/>
                      <w:szCs w:val="21"/>
                    </w:rPr>
                    <w:t>36</w:t>
                  </w:r>
                </w:p>
              </w:tc>
              <w:tc>
                <w:tcPr>
                  <w:tcW w:w="504" w:type="pct"/>
                  <w:tcBorders>
                    <w:top w:val="single" w:color="000000" w:sz="6" w:space="0"/>
                    <w:bottom w:val="single" w:color="000000" w:sz="6" w:space="0"/>
                    <w:right w:val="nil"/>
                  </w:tcBorders>
                  <w:vAlign w:val="center"/>
                </w:tcPr>
                <w:p w14:paraId="520ABFDA">
                  <w:pPr>
                    <w:adjustRightInd w:val="0"/>
                    <w:snapToGrid w:val="0"/>
                    <w:jc w:val="center"/>
                    <w:rPr>
                      <w:szCs w:val="21"/>
                    </w:rPr>
                  </w:pPr>
                  <w:r>
                    <w:rPr>
                      <w:rFonts w:hint="eastAsia"/>
                      <w:szCs w:val="21"/>
                    </w:rPr>
                    <w:t>900</w:t>
                  </w:r>
                </w:p>
              </w:tc>
            </w:tr>
            <w:tr w14:paraId="520ABFE4">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top w:val="single" w:color="000000" w:sz="6" w:space="0"/>
                    <w:left w:val="nil"/>
                    <w:bottom w:val="single" w:color="000000" w:sz="6" w:space="0"/>
                  </w:tcBorders>
                  <w:vAlign w:val="center"/>
                </w:tcPr>
                <w:p w14:paraId="520ABFDC">
                  <w:pPr>
                    <w:adjustRightInd w:val="0"/>
                    <w:snapToGrid w:val="0"/>
                    <w:jc w:val="center"/>
                    <w:rPr>
                      <w:szCs w:val="21"/>
                    </w:rPr>
                  </w:pPr>
                </w:p>
              </w:tc>
              <w:tc>
                <w:tcPr>
                  <w:tcW w:w="499" w:type="pct"/>
                  <w:vMerge w:val="continue"/>
                  <w:vAlign w:val="center"/>
                </w:tcPr>
                <w:p w14:paraId="520ABFDD">
                  <w:pPr>
                    <w:adjustRightInd w:val="0"/>
                    <w:snapToGrid w:val="0"/>
                    <w:jc w:val="center"/>
                    <w:rPr>
                      <w:szCs w:val="21"/>
                    </w:rPr>
                  </w:pPr>
                </w:p>
              </w:tc>
              <w:tc>
                <w:tcPr>
                  <w:tcW w:w="444" w:type="pct"/>
                  <w:tcBorders>
                    <w:top w:val="single" w:color="000000" w:sz="6" w:space="0"/>
                    <w:bottom w:val="single" w:color="000000" w:sz="6" w:space="0"/>
                  </w:tcBorders>
                  <w:vAlign w:val="center"/>
                </w:tcPr>
                <w:p w14:paraId="520ABFDE">
                  <w:pPr>
                    <w:adjustRightInd w:val="0"/>
                    <w:snapToGrid w:val="0"/>
                    <w:jc w:val="center"/>
                    <w:rPr>
                      <w:szCs w:val="21"/>
                    </w:rPr>
                  </w:pPr>
                  <w:r>
                    <w:rPr>
                      <w:rFonts w:hint="eastAsia"/>
                      <w:szCs w:val="21"/>
                    </w:rPr>
                    <w:t>5</w:t>
                  </w:r>
                </w:p>
              </w:tc>
              <w:tc>
                <w:tcPr>
                  <w:tcW w:w="800" w:type="pct"/>
                  <w:tcBorders>
                    <w:top w:val="single" w:color="000000" w:sz="6" w:space="0"/>
                    <w:bottom w:val="single" w:color="000000" w:sz="6" w:space="0"/>
                  </w:tcBorders>
                  <w:vAlign w:val="center"/>
                </w:tcPr>
                <w:p w14:paraId="520ABFDF">
                  <w:pPr>
                    <w:adjustRightInd w:val="0"/>
                    <w:snapToGrid w:val="0"/>
                    <w:jc w:val="center"/>
                    <w:rPr>
                      <w:szCs w:val="21"/>
                    </w:rPr>
                  </w:pPr>
                  <w:r>
                    <w:rPr>
                      <w:rFonts w:hint="eastAsia"/>
                      <w:szCs w:val="21"/>
                    </w:rPr>
                    <w:t>镉</w:t>
                  </w:r>
                </w:p>
              </w:tc>
              <w:tc>
                <w:tcPr>
                  <w:tcW w:w="711" w:type="pct"/>
                  <w:tcBorders>
                    <w:top w:val="single" w:color="000000" w:sz="6" w:space="0"/>
                    <w:bottom w:val="single" w:color="000000" w:sz="6" w:space="0"/>
                  </w:tcBorders>
                  <w:vAlign w:val="center"/>
                </w:tcPr>
                <w:p w14:paraId="520ABFE0">
                  <w:pPr>
                    <w:adjustRightInd w:val="0"/>
                    <w:snapToGrid w:val="0"/>
                    <w:jc w:val="center"/>
                    <w:rPr>
                      <w:szCs w:val="21"/>
                    </w:rPr>
                  </w:pPr>
                  <w:r>
                    <w:rPr>
                      <w:bCs/>
                      <w:szCs w:val="21"/>
                    </w:rPr>
                    <w:t>0.84</w:t>
                  </w:r>
                </w:p>
              </w:tc>
              <w:tc>
                <w:tcPr>
                  <w:tcW w:w="710" w:type="pct"/>
                  <w:tcBorders>
                    <w:top w:val="single" w:color="000000" w:sz="6" w:space="0"/>
                    <w:bottom w:val="single" w:color="000000" w:sz="6" w:space="0"/>
                  </w:tcBorders>
                  <w:vAlign w:val="center"/>
                </w:tcPr>
                <w:p w14:paraId="520ABFE1">
                  <w:pPr>
                    <w:adjustRightInd w:val="0"/>
                    <w:snapToGrid w:val="0"/>
                    <w:jc w:val="center"/>
                    <w:rPr>
                      <w:szCs w:val="21"/>
                    </w:rPr>
                  </w:pPr>
                  <w:r>
                    <w:rPr>
                      <w:bCs/>
                      <w:szCs w:val="21"/>
                    </w:rPr>
                    <w:t>0.176</w:t>
                  </w:r>
                </w:p>
              </w:tc>
              <w:tc>
                <w:tcPr>
                  <w:tcW w:w="713" w:type="pct"/>
                  <w:tcBorders>
                    <w:top w:val="single" w:color="000000" w:sz="6" w:space="0"/>
                    <w:bottom w:val="single" w:color="000000" w:sz="6" w:space="0"/>
                  </w:tcBorders>
                  <w:vAlign w:val="center"/>
                </w:tcPr>
                <w:p w14:paraId="520ABFE2">
                  <w:pPr>
                    <w:adjustRightInd w:val="0"/>
                    <w:snapToGrid w:val="0"/>
                    <w:jc w:val="center"/>
                    <w:rPr>
                      <w:szCs w:val="21"/>
                    </w:rPr>
                  </w:pPr>
                  <w:r>
                    <w:rPr>
                      <w:bCs/>
                      <w:szCs w:val="21"/>
                    </w:rPr>
                    <w:t>0.167</w:t>
                  </w:r>
                </w:p>
              </w:tc>
              <w:tc>
                <w:tcPr>
                  <w:tcW w:w="504" w:type="pct"/>
                  <w:tcBorders>
                    <w:top w:val="single" w:color="000000" w:sz="6" w:space="0"/>
                    <w:bottom w:val="single" w:color="000000" w:sz="6" w:space="0"/>
                    <w:right w:val="nil"/>
                  </w:tcBorders>
                  <w:vAlign w:val="center"/>
                </w:tcPr>
                <w:p w14:paraId="520ABFE3">
                  <w:pPr>
                    <w:adjustRightInd w:val="0"/>
                    <w:snapToGrid w:val="0"/>
                    <w:jc w:val="center"/>
                    <w:rPr>
                      <w:szCs w:val="21"/>
                    </w:rPr>
                  </w:pPr>
                  <w:r>
                    <w:rPr>
                      <w:rFonts w:hint="eastAsia"/>
                      <w:szCs w:val="21"/>
                    </w:rPr>
                    <w:t>65</w:t>
                  </w:r>
                </w:p>
              </w:tc>
            </w:tr>
            <w:tr w14:paraId="520ABFED">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top w:val="single" w:color="000000" w:sz="6" w:space="0"/>
                    <w:left w:val="nil"/>
                    <w:bottom w:val="single" w:color="000000" w:sz="6" w:space="0"/>
                  </w:tcBorders>
                  <w:vAlign w:val="center"/>
                </w:tcPr>
                <w:p w14:paraId="520ABFE5">
                  <w:pPr>
                    <w:adjustRightInd w:val="0"/>
                    <w:snapToGrid w:val="0"/>
                    <w:jc w:val="center"/>
                    <w:rPr>
                      <w:szCs w:val="21"/>
                    </w:rPr>
                  </w:pPr>
                </w:p>
              </w:tc>
              <w:tc>
                <w:tcPr>
                  <w:tcW w:w="499" w:type="pct"/>
                  <w:vMerge w:val="continue"/>
                  <w:vAlign w:val="center"/>
                </w:tcPr>
                <w:p w14:paraId="520ABFE6">
                  <w:pPr>
                    <w:adjustRightInd w:val="0"/>
                    <w:snapToGrid w:val="0"/>
                    <w:jc w:val="center"/>
                    <w:rPr>
                      <w:szCs w:val="21"/>
                    </w:rPr>
                  </w:pPr>
                </w:p>
              </w:tc>
              <w:tc>
                <w:tcPr>
                  <w:tcW w:w="444" w:type="pct"/>
                  <w:tcBorders>
                    <w:top w:val="single" w:color="000000" w:sz="6" w:space="0"/>
                    <w:bottom w:val="single" w:color="000000" w:sz="6" w:space="0"/>
                  </w:tcBorders>
                  <w:vAlign w:val="center"/>
                </w:tcPr>
                <w:p w14:paraId="520ABFE7">
                  <w:pPr>
                    <w:adjustRightInd w:val="0"/>
                    <w:snapToGrid w:val="0"/>
                    <w:jc w:val="center"/>
                    <w:rPr>
                      <w:szCs w:val="21"/>
                    </w:rPr>
                  </w:pPr>
                  <w:r>
                    <w:rPr>
                      <w:rFonts w:hint="eastAsia"/>
                      <w:szCs w:val="21"/>
                    </w:rPr>
                    <w:t>6</w:t>
                  </w:r>
                </w:p>
              </w:tc>
              <w:tc>
                <w:tcPr>
                  <w:tcW w:w="800" w:type="pct"/>
                  <w:tcBorders>
                    <w:top w:val="single" w:color="000000" w:sz="6" w:space="0"/>
                    <w:bottom w:val="single" w:color="000000" w:sz="6" w:space="0"/>
                  </w:tcBorders>
                  <w:vAlign w:val="center"/>
                </w:tcPr>
                <w:p w14:paraId="520ABFE8">
                  <w:pPr>
                    <w:adjustRightInd w:val="0"/>
                    <w:snapToGrid w:val="0"/>
                    <w:jc w:val="center"/>
                    <w:rPr>
                      <w:szCs w:val="21"/>
                    </w:rPr>
                  </w:pPr>
                  <w:r>
                    <w:rPr>
                      <w:rFonts w:hint="eastAsia"/>
                      <w:szCs w:val="21"/>
                    </w:rPr>
                    <w:t>铜</w:t>
                  </w:r>
                </w:p>
              </w:tc>
              <w:tc>
                <w:tcPr>
                  <w:tcW w:w="711" w:type="pct"/>
                  <w:tcBorders>
                    <w:top w:val="single" w:color="000000" w:sz="6" w:space="0"/>
                    <w:bottom w:val="single" w:color="000000" w:sz="6" w:space="0"/>
                  </w:tcBorders>
                  <w:vAlign w:val="center"/>
                </w:tcPr>
                <w:p w14:paraId="520ABFE9">
                  <w:pPr>
                    <w:adjustRightInd w:val="0"/>
                    <w:snapToGrid w:val="0"/>
                    <w:jc w:val="center"/>
                    <w:rPr>
                      <w:szCs w:val="21"/>
                    </w:rPr>
                  </w:pPr>
                  <w:r>
                    <w:rPr>
                      <w:bCs/>
                      <w:szCs w:val="21"/>
                    </w:rPr>
                    <w:t>157</w:t>
                  </w:r>
                </w:p>
              </w:tc>
              <w:tc>
                <w:tcPr>
                  <w:tcW w:w="710" w:type="pct"/>
                  <w:tcBorders>
                    <w:top w:val="single" w:color="000000" w:sz="6" w:space="0"/>
                    <w:bottom w:val="single" w:color="000000" w:sz="6" w:space="0"/>
                  </w:tcBorders>
                  <w:vAlign w:val="center"/>
                </w:tcPr>
                <w:p w14:paraId="520ABFEA">
                  <w:pPr>
                    <w:adjustRightInd w:val="0"/>
                    <w:snapToGrid w:val="0"/>
                    <w:jc w:val="center"/>
                    <w:rPr>
                      <w:szCs w:val="21"/>
                    </w:rPr>
                  </w:pPr>
                  <w:r>
                    <w:rPr>
                      <w:bCs/>
                      <w:szCs w:val="21"/>
                    </w:rPr>
                    <w:t>16</w:t>
                  </w:r>
                </w:p>
              </w:tc>
              <w:tc>
                <w:tcPr>
                  <w:tcW w:w="713" w:type="pct"/>
                  <w:tcBorders>
                    <w:top w:val="single" w:color="000000" w:sz="6" w:space="0"/>
                    <w:bottom w:val="single" w:color="000000" w:sz="6" w:space="0"/>
                  </w:tcBorders>
                  <w:vAlign w:val="center"/>
                </w:tcPr>
                <w:p w14:paraId="520ABFEB">
                  <w:pPr>
                    <w:adjustRightInd w:val="0"/>
                    <w:snapToGrid w:val="0"/>
                    <w:jc w:val="center"/>
                    <w:rPr>
                      <w:szCs w:val="21"/>
                    </w:rPr>
                  </w:pPr>
                  <w:r>
                    <w:rPr>
                      <w:bCs/>
                      <w:szCs w:val="21"/>
                    </w:rPr>
                    <w:t>25</w:t>
                  </w:r>
                </w:p>
              </w:tc>
              <w:tc>
                <w:tcPr>
                  <w:tcW w:w="504" w:type="pct"/>
                  <w:tcBorders>
                    <w:top w:val="single" w:color="000000" w:sz="6" w:space="0"/>
                    <w:bottom w:val="single" w:color="000000" w:sz="6" w:space="0"/>
                    <w:right w:val="nil"/>
                  </w:tcBorders>
                  <w:vAlign w:val="center"/>
                </w:tcPr>
                <w:p w14:paraId="520ABFEC">
                  <w:pPr>
                    <w:adjustRightInd w:val="0"/>
                    <w:snapToGrid w:val="0"/>
                    <w:jc w:val="center"/>
                    <w:rPr>
                      <w:szCs w:val="21"/>
                    </w:rPr>
                  </w:pPr>
                  <w:r>
                    <w:rPr>
                      <w:rFonts w:hint="eastAsia"/>
                      <w:szCs w:val="21"/>
                    </w:rPr>
                    <w:t>18000</w:t>
                  </w:r>
                </w:p>
              </w:tc>
            </w:tr>
            <w:tr w14:paraId="520ABFF6">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top w:val="single" w:color="000000" w:sz="6" w:space="0"/>
                    <w:left w:val="nil"/>
                    <w:bottom w:val="single" w:color="000000" w:sz="6" w:space="0"/>
                  </w:tcBorders>
                  <w:vAlign w:val="center"/>
                </w:tcPr>
                <w:p w14:paraId="520ABFEE">
                  <w:pPr>
                    <w:adjustRightInd w:val="0"/>
                    <w:snapToGrid w:val="0"/>
                    <w:jc w:val="center"/>
                    <w:rPr>
                      <w:szCs w:val="21"/>
                    </w:rPr>
                  </w:pPr>
                </w:p>
              </w:tc>
              <w:tc>
                <w:tcPr>
                  <w:tcW w:w="499" w:type="pct"/>
                  <w:vMerge w:val="continue"/>
                  <w:vAlign w:val="center"/>
                </w:tcPr>
                <w:p w14:paraId="520ABFEF">
                  <w:pPr>
                    <w:adjustRightInd w:val="0"/>
                    <w:snapToGrid w:val="0"/>
                    <w:jc w:val="center"/>
                    <w:rPr>
                      <w:szCs w:val="21"/>
                    </w:rPr>
                  </w:pPr>
                </w:p>
              </w:tc>
              <w:tc>
                <w:tcPr>
                  <w:tcW w:w="444" w:type="pct"/>
                  <w:tcBorders>
                    <w:top w:val="single" w:color="000000" w:sz="6" w:space="0"/>
                    <w:bottom w:val="single" w:color="000000" w:sz="6" w:space="0"/>
                  </w:tcBorders>
                  <w:vAlign w:val="center"/>
                </w:tcPr>
                <w:p w14:paraId="520ABFF0">
                  <w:pPr>
                    <w:adjustRightInd w:val="0"/>
                    <w:snapToGrid w:val="0"/>
                    <w:jc w:val="center"/>
                    <w:rPr>
                      <w:szCs w:val="21"/>
                    </w:rPr>
                  </w:pPr>
                  <w:r>
                    <w:rPr>
                      <w:rFonts w:hint="eastAsia"/>
                      <w:szCs w:val="21"/>
                    </w:rPr>
                    <w:t>7</w:t>
                  </w:r>
                </w:p>
              </w:tc>
              <w:tc>
                <w:tcPr>
                  <w:tcW w:w="800" w:type="pct"/>
                  <w:tcBorders>
                    <w:top w:val="single" w:color="000000" w:sz="6" w:space="0"/>
                    <w:bottom w:val="single" w:color="000000" w:sz="6" w:space="0"/>
                  </w:tcBorders>
                  <w:vAlign w:val="center"/>
                </w:tcPr>
                <w:p w14:paraId="520ABFF1">
                  <w:pPr>
                    <w:adjustRightInd w:val="0"/>
                    <w:snapToGrid w:val="0"/>
                    <w:jc w:val="center"/>
                    <w:rPr>
                      <w:szCs w:val="21"/>
                    </w:rPr>
                  </w:pPr>
                  <w:r>
                    <w:rPr>
                      <w:rFonts w:hint="eastAsia"/>
                      <w:szCs w:val="21"/>
                    </w:rPr>
                    <w:t>锌</w:t>
                  </w:r>
                </w:p>
              </w:tc>
              <w:tc>
                <w:tcPr>
                  <w:tcW w:w="711" w:type="pct"/>
                  <w:tcBorders>
                    <w:top w:val="single" w:color="000000" w:sz="6" w:space="0"/>
                    <w:bottom w:val="single" w:color="000000" w:sz="6" w:space="0"/>
                  </w:tcBorders>
                  <w:vAlign w:val="center"/>
                </w:tcPr>
                <w:p w14:paraId="520ABFF2">
                  <w:pPr>
                    <w:adjustRightInd w:val="0"/>
                    <w:snapToGrid w:val="0"/>
                    <w:jc w:val="center"/>
                    <w:rPr>
                      <w:szCs w:val="21"/>
                    </w:rPr>
                  </w:pPr>
                  <w:r>
                    <w:rPr>
                      <w:bCs/>
                      <w:szCs w:val="21"/>
                    </w:rPr>
                    <w:t>188</w:t>
                  </w:r>
                </w:p>
              </w:tc>
              <w:tc>
                <w:tcPr>
                  <w:tcW w:w="710" w:type="pct"/>
                  <w:tcBorders>
                    <w:top w:val="single" w:color="000000" w:sz="6" w:space="0"/>
                    <w:bottom w:val="single" w:color="000000" w:sz="6" w:space="0"/>
                  </w:tcBorders>
                  <w:vAlign w:val="center"/>
                </w:tcPr>
                <w:p w14:paraId="520ABFF3">
                  <w:pPr>
                    <w:adjustRightInd w:val="0"/>
                    <w:snapToGrid w:val="0"/>
                    <w:jc w:val="center"/>
                    <w:rPr>
                      <w:szCs w:val="21"/>
                    </w:rPr>
                  </w:pPr>
                  <w:r>
                    <w:rPr>
                      <w:bCs/>
                      <w:szCs w:val="21"/>
                    </w:rPr>
                    <w:t>65</w:t>
                  </w:r>
                </w:p>
              </w:tc>
              <w:tc>
                <w:tcPr>
                  <w:tcW w:w="713" w:type="pct"/>
                  <w:tcBorders>
                    <w:top w:val="single" w:color="000000" w:sz="6" w:space="0"/>
                    <w:bottom w:val="single" w:color="000000" w:sz="6" w:space="0"/>
                  </w:tcBorders>
                  <w:vAlign w:val="center"/>
                </w:tcPr>
                <w:p w14:paraId="520ABFF4">
                  <w:pPr>
                    <w:adjustRightInd w:val="0"/>
                    <w:snapToGrid w:val="0"/>
                    <w:jc w:val="center"/>
                    <w:rPr>
                      <w:szCs w:val="21"/>
                    </w:rPr>
                  </w:pPr>
                  <w:r>
                    <w:rPr>
                      <w:bCs/>
                      <w:szCs w:val="21"/>
                    </w:rPr>
                    <w:t>81</w:t>
                  </w:r>
                </w:p>
              </w:tc>
              <w:tc>
                <w:tcPr>
                  <w:tcW w:w="504" w:type="pct"/>
                  <w:tcBorders>
                    <w:top w:val="single" w:color="000000" w:sz="6" w:space="0"/>
                    <w:bottom w:val="single" w:color="000000" w:sz="6" w:space="0"/>
                    <w:right w:val="nil"/>
                  </w:tcBorders>
                  <w:vAlign w:val="center"/>
                </w:tcPr>
                <w:p w14:paraId="520ABFF5">
                  <w:pPr>
                    <w:adjustRightInd w:val="0"/>
                    <w:snapToGrid w:val="0"/>
                    <w:jc w:val="center"/>
                    <w:rPr>
                      <w:szCs w:val="21"/>
                    </w:rPr>
                  </w:pPr>
                  <w:r>
                    <w:rPr>
                      <w:rFonts w:hint="eastAsia"/>
                      <w:szCs w:val="21"/>
                    </w:rPr>
                    <w:t>/</w:t>
                  </w:r>
                </w:p>
              </w:tc>
            </w:tr>
            <w:tr w14:paraId="520ABFFF">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top w:val="single" w:color="000000" w:sz="6" w:space="0"/>
                    <w:left w:val="nil"/>
                    <w:bottom w:val="single" w:color="000000" w:sz="6" w:space="0"/>
                  </w:tcBorders>
                  <w:vAlign w:val="center"/>
                </w:tcPr>
                <w:p w14:paraId="520ABFF7">
                  <w:pPr>
                    <w:adjustRightInd w:val="0"/>
                    <w:snapToGrid w:val="0"/>
                    <w:jc w:val="center"/>
                    <w:rPr>
                      <w:szCs w:val="21"/>
                    </w:rPr>
                  </w:pPr>
                </w:p>
              </w:tc>
              <w:tc>
                <w:tcPr>
                  <w:tcW w:w="499" w:type="pct"/>
                  <w:vMerge w:val="continue"/>
                  <w:tcBorders>
                    <w:bottom w:val="single" w:color="000000" w:sz="6" w:space="0"/>
                  </w:tcBorders>
                  <w:vAlign w:val="center"/>
                </w:tcPr>
                <w:p w14:paraId="520ABFF8">
                  <w:pPr>
                    <w:adjustRightInd w:val="0"/>
                    <w:snapToGrid w:val="0"/>
                    <w:jc w:val="center"/>
                    <w:rPr>
                      <w:szCs w:val="21"/>
                    </w:rPr>
                  </w:pPr>
                </w:p>
              </w:tc>
              <w:tc>
                <w:tcPr>
                  <w:tcW w:w="444" w:type="pct"/>
                  <w:tcBorders>
                    <w:top w:val="single" w:color="000000" w:sz="6" w:space="0"/>
                    <w:bottom w:val="single" w:color="000000" w:sz="6" w:space="0"/>
                  </w:tcBorders>
                  <w:vAlign w:val="center"/>
                </w:tcPr>
                <w:p w14:paraId="520ABFF9">
                  <w:pPr>
                    <w:adjustRightInd w:val="0"/>
                    <w:snapToGrid w:val="0"/>
                    <w:jc w:val="center"/>
                    <w:rPr>
                      <w:szCs w:val="21"/>
                    </w:rPr>
                  </w:pPr>
                  <w:r>
                    <w:rPr>
                      <w:rFonts w:hint="eastAsia"/>
                      <w:szCs w:val="21"/>
                    </w:rPr>
                    <w:t>8</w:t>
                  </w:r>
                </w:p>
              </w:tc>
              <w:tc>
                <w:tcPr>
                  <w:tcW w:w="800" w:type="pct"/>
                  <w:tcBorders>
                    <w:top w:val="single" w:color="000000" w:sz="6" w:space="0"/>
                    <w:bottom w:val="single" w:color="000000" w:sz="6" w:space="0"/>
                  </w:tcBorders>
                  <w:vAlign w:val="center"/>
                </w:tcPr>
                <w:p w14:paraId="520ABFFA">
                  <w:pPr>
                    <w:adjustRightInd w:val="0"/>
                    <w:snapToGrid w:val="0"/>
                    <w:jc w:val="center"/>
                    <w:rPr>
                      <w:szCs w:val="21"/>
                    </w:rPr>
                  </w:pPr>
                  <w:r>
                    <w:rPr>
                      <w:rFonts w:hint="eastAsia"/>
                      <w:szCs w:val="21"/>
                    </w:rPr>
                    <w:t>总氰化物</w:t>
                  </w:r>
                </w:p>
              </w:tc>
              <w:tc>
                <w:tcPr>
                  <w:tcW w:w="711" w:type="pct"/>
                  <w:tcBorders>
                    <w:top w:val="single" w:color="000000" w:sz="6" w:space="0"/>
                    <w:bottom w:val="single" w:color="000000" w:sz="6" w:space="0"/>
                  </w:tcBorders>
                  <w:vAlign w:val="center"/>
                </w:tcPr>
                <w:p w14:paraId="520ABFFB">
                  <w:pPr>
                    <w:adjustRightInd w:val="0"/>
                    <w:snapToGrid w:val="0"/>
                    <w:jc w:val="center"/>
                  </w:pPr>
                  <w:r>
                    <w:rPr>
                      <w:rFonts w:hAnsi="宋体"/>
                      <w:bCs/>
                      <w:szCs w:val="21"/>
                    </w:rPr>
                    <w:t>未检出</w:t>
                  </w:r>
                </w:p>
              </w:tc>
              <w:tc>
                <w:tcPr>
                  <w:tcW w:w="710" w:type="pct"/>
                  <w:tcBorders>
                    <w:top w:val="single" w:color="000000" w:sz="6" w:space="0"/>
                    <w:bottom w:val="single" w:color="000000" w:sz="6" w:space="0"/>
                  </w:tcBorders>
                  <w:vAlign w:val="center"/>
                </w:tcPr>
                <w:p w14:paraId="520ABFFC">
                  <w:pPr>
                    <w:adjustRightInd w:val="0"/>
                    <w:snapToGrid w:val="0"/>
                    <w:jc w:val="center"/>
                    <w:rPr>
                      <w:szCs w:val="21"/>
                    </w:rPr>
                  </w:pPr>
                  <w:r>
                    <w:rPr>
                      <w:rFonts w:hAnsi="宋体"/>
                      <w:bCs/>
                      <w:szCs w:val="21"/>
                    </w:rPr>
                    <w:t>未检出</w:t>
                  </w:r>
                </w:p>
              </w:tc>
              <w:tc>
                <w:tcPr>
                  <w:tcW w:w="713" w:type="pct"/>
                  <w:tcBorders>
                    <w:top w:val="single" w:color="000000" w:sz="6" w:space="0"/>
                    <w:bottom w:val="single" w:color="000000" w:sz="6" w:space="0"/>
                  </w:tcBorders>
                  <w:vAlign w:val="center"/>
                </w:tcPr>
                <w:p w14:paraId="520ABFFD">
                  <w:pPr>
                    <w:adjustRightInd w:val="0"/>
                    <w:snapToGrid w:val="0"/>
                    <w:jc w:val="center"/>
                    <w:rPr>
                      <w:szCs w:val="21"/>
                    </w:rPr>
                  </w:pPr>
                  <w:r>
                    <w:rPr>
                      <w:rFonts w:hAnsi="宋体"/>
                      <w:bCs/>
                      <w:szCs w:val="21"/>
                    </w:rPr>
                    <w:t>未检出</w:t>
                  </w:r>
                </w:p>
              </w:tc>
              <w:tc>
                <w:tcPr>
                  <w:tcW w:w="504" w:type="pct"/>
                  <w:tcBorders>
                    <w:top w:val="single" w:color="000000" w:sz="6" w:space="0"/>
                    <w:bottom w:val="single" w:color="000000" w:sz="6" w:space="0"/>
                    <w:right w:val="nil"/>
                  </w:tcBorders>
                  <w:vAlign w:val="center"/>
                </w:tcPr>
                <w:p w14:paraId="520ABFFE">
                  <w:pPr>
                    <w:adjustRightInd w:val="0"/>
                    <w:snapToGrid w:val="0"/>
                    <w:jc w:val="center"/>
                    <w:rPr>
                      <w:szCs w:val="21"/>
                    </w:rPr>
                  </w:pPr>
                  <w:r>
                    <w:rPr>
                      <w:rFonts w:hint="eastAsia"/>
                      <w:szCs w:val="21"/>
                    </w:rPr>
                    <w:t>135</w:t>
                  </w:r>
                </w:p>
              </w:tc>
            </w:tr>
            <w:tr w14:paraId="520AC008">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restart"/>
                  <w:tcBorders>
                    <w:top w:val="single" w:color="000000" w:sz="6" w:space="0"/>
                    <w:left w:val="nil"/>
                  </w:tcBorders>
                  <w:vAlign w:val="center"/>
                </w:tcPr>
                <w:p w14:paraId="520AC000">
                  <w:pPr>
                    <w:adjustRightInd w:val="0"/>
                    <w:snapToGrid w:val="0"/>
                    <w:jc w:val="center"/>
                    <w:rPr>
                      <w:szCs w:val="21"/>
                    </w:rPr>
                  </w:pPr>
                  <w:r>
                    <w:rPr>
                      <w:rFonts w:hint="eastAsia"/>
                      <w:szCs w:val="21"/>
                    </w:rPr>
                    <w:t>2024.11.30</w:t>
                  </w:r>
                </w:p>
              </w:tc>
              <w:tc>
                <w:tcPr>
                  <w:tcW w:w="499" w:type="pct"/>
                  <w:vMerge w:val="restart"/>
                  <w:tcBorders>
                    <w:top w:val="single" w:color="000000" w:sz="6" w:space="0"/>
                  </w:tcBorders>
                  <w:vAlign w:val="center"/>
                </w:tcPr>
                <w:p w14:paraId="520AC001">
                  <w:pPr>
                    <w:adjustRightInd w:val="0"/>
                    <w:snapToGrid w:val="0"/>
                    <w:jc w:val="center"/>
                    <w:rPr>
                      <w:szCs w:val="21"/>
                    </w:rPr>
                  </w:pPr>
                  <w:r>
                    <w:rPr>
                      <w:rFonts w:hint="eastAsia"/>
                      <w:szCs w:val="21"/>
                    </w:rPr>
                    <w:t>解放路厂区</w:t>
                  </w:r>
                </w:p>
              </w:tc>
              <w:tc>
                <w:tcPr>
                  <w:tcW w:w="444" w:type="pct"/>
                  <w:tcBorders>
                    <w:top w:val="single" w:color="000000" w:sz="6" w:space="0"/>
                    <w:bottom w:val="single" w:color="000000" w:sz="6" w:space="0"/>
                  </w:tcBorders>
                  <w:vAlign w:val="center"/>
                </w:tcPr>
                <w:p w14:paraId="520AC002">
                  <w:pPr>
                    <w:adjustRightInd w:val="0"/>
                    <w:snapToGrid w:val="0"/>
                    <w:jc w:val="center"/>
                    <w:rPr>
                      <w:szCs w:val="21"/>
                    </w:rPr>
                  </w:pPr>
                  <w:r>
                    <w:rPr>
                      <w:rFonts w:hint="eastAsia"/>
                      <w:szCs w:val="21"/>
                    </w:rPr>
                    <w:t>1</w:t>
                  </w:r>
                </w:p>
              </w:tc>
              <w:tc>
                <w:tcPr>
                  <w:tcW w:w="800" w:type="pct"/>
                  <w:tcBorders>
                    <w:top w:val="single" w:color="000000" w:sz="6" w:space="0"/>
                    <w:bottom w:val="single" w:color="000000" w:sz="6" w:space="0"/>
                  </w:tcBorders>
                  <w:vAlign w:val="center"/>
                </w:tcPr>
                <w:p w14:paraId="520AC003">
                  <w:pPr>
                    <w:adjustRightInd w:val="0"/>
                    <w:snapToGrid w:val="0"/>
                    <w:jc w:val="center"/>
                    <w:rPr>
                      <w:szCs w:val="21"/>
                    </w:rPr>
                  </w:pPr>
                  <w:r>
                    <w:rPr>
                      <w:rFonts w:hint="eastAsia"/>
                      <w:szCs w:val="21"/>
                    </w:rPr>
                    <w:t>p</w:t>
                  </w:r>
                  <w:r>
                    <w:rPr>
                      <w:szCs w:val="21"/>
                    </w:rPr>
                    <w:t>H</w:t>
                  </w:r>
                  <w:r>
                    <w:rPr>
                      <w:rFonts w:hint="eastAsia"/>
                      <w:szCs w:val="21"/>
                    </w:rPr>
                    <w:t>值</w:t>
                  </w:r>
                </w:p>
              </w:tc>
              <w:tc>
                <w:tcPr>
                  <w:tcW w:w="711" w:type="pct"/>
                  <w:tcBorders>
                    <w:top w:val="single" w:color="000000" w:sz="6" w:space="0"/>
                    <w:bottom w:val="single" w:color="000000" w:sz="6" w:space="0"/>
                  </w:tcBorders>
                  <w:vAlign w:val="center"/>
                </w:tcPr>
                <w:p w14:paraId="520AC004">
                  <w:pPr>
                    <w:adjustRightInd w:val="0"/>
                    <w:snapToGrid w:val="0"/>
                    <w:jc w:val="center"/>
                    <w:rPr>
                      <w:szCs w:val="21"/>
                    </w:rPr>
                  </w:pPr>
                  <w:r>
                    <w:rPr>
                      <w:bCs/>
                      <w:szCs w:val="21"/>
                    </w:rPr>
                    <w:t>8.23</w:t>
                  </w:r>
                </w:p>
              </w:tc>
              <w:tc>
                <w:tcPr>
                  <w:tcW w:w="710" w:type="pct"/>
                  <w:tcBorders>
                    <w:top w:val="single" w:color="000000" w:sz="6" w:space="0"/>
                    <w:bottom w:val="single" w:color="000000" w:sz="6" w:space="0"/>
                  </w:tcBorders>
                  <w:vAlign w:val="center"/>
                </w:tcPr>
                <w:p w14:paraId="520AC005">
                  <w:pPr>
                    <w:adjustRightInd w:val="0"/>
                    <w:snapToGrid w:val="0"/>
                    <w:jc w:val="center"/>
                    <w:rPr>
                      <w:szCs w:val="21"/>
                    </w:rPr>
                  </w:pPr>
                  <w:r>
                    <w:rPr>
                      <w:bCs/>
                      <w:szCs w:val="21"/>
                    </w:rPr>
                    <w:t>8.54</w:t>
                  </w:r>
                </w:p>
              </w:tc>
              <w:tc>
                <w:tcPr>
                  <w:tcW w:w="713" w:type="pct"/>
                  <w:tcBorders>
                    <w:top w:val="single" w:color="000000" w:sz="6" w:space="0"/>
                    <w:bottom w:val="single" w:color="000000" w:sz="6" w:space="0"/>
                  </w:tcBorders>
                  <w:vAlign w:val="center"/>
                </w:tcPr>
                <w:p w14:paraId="520AC006">
                  <w:pPr>
                    <w:adjustRightInd w:val="0"/>
                    <w:snapToGrid w:val="0"/>
                    <w:jc w:val="center"/>
                    <w:rPr>
                      <w:szCs w:val="21"/>
                    </w:rPr>
                  </w:pPr>
                  <w:r>
                    <w:rPr>
                      <w:bCs/>
                      <w:szCs w:val="21"/>
                    </w:rPr>
                    <w:t>8.38</w:t>
                  </w:r>
                </w:p>
              </w:tc>
              <w:tc>
                <w:tcPr>
                  <w:tcW w:w="504" w:type="pct"/>
                  <w:tcBorders>
                    <w:top w:val="single" w:color="000000" w:sz="6" w:space="0"/>
                    <w:bottom w:val="single" w:color="000000" w:sz="6" w:space="0"/>
                    <w:right w:val="nil"/>
                  </w:tcBorders>
                  <w:vAlign w:val="center"/>
                </w:tcPr>
                <w:p w14:paraId="520AC007">
                  <w:pPr>
                    <w:adjustRightInd w:val="0"/>
                    <w:snapToGrid w:val="0"/>
                    <w:jc w:val="center"/>
                    <w:rPr>
                      <w:szCs w:val="21"/>
                    </w:rPr>
                  </w:pPr>
                  <w:r>
                    <w:rPr>
                      <w:rFonts w:hint="eastAsia"/>
                      <w:szCs w:val="21"/>
                    </w:rPr>
                    <w:t>/</w:t>
                  </w:r>
                </w:p>
              </w:tc>
            </w:tr>
            <w:tr w14:paraId="520AC011">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left w:val="nil"/>
                  </w:tcBorders>
                  <w:vAlign w:val="center"/>
                </w:tcPr>
                <w:p w14:paraId="520AC009">
                  <w:pPr>
                    <w:adjustRightInd w:val="0"/>
                    <w:snapToGrid w:val="0"/>
                    <w:jc w:val="center"/>
                    <w:rPr>
                      <w:szCs w:val="21"/>
                    </w:rPr>
                  </w:pPr>
                </w:p>
              </w:tc>
              <w:tc>
                <w:tcPr>
                  <w:tcW w:w="499" w:type="pct"/>
                  <w:vMerge w:val="continue"/>
                  <w:vAlign w:val="center"/>
                </w:tcPr>
                <w:p w14:paraId="520AC00A">
                  <w:pPr>
                    <w:adjustRightInd w:val="0"/>
                    <w:snapToGrid w:val="0"/>
                    <w:jc w:val="center"/>
                    <w:rPr>
                      <w:szCs w:val="21"/>
                    </w:rPr>
                  </w:pPr>
                </w:p>
              </w:tc>
              <w:tc>
                <w:tcPr>
                  <w:tcW w:w="444" w:type="pct"/>
                  <w:tcBorders>
                    <w:top w:val="single" w:color="000000" w:sz="6" w:space="0"/>
                    <w:bottom w:val="single" w:color="000000" w:sz="6" w:space="0"/>
                  </w:tcBorders>
                  <w:vAlign w:val="center"/>
                </w:tcPr>
                <w:p w14:paraId="520AC00B">
                  <w:pPr>
                    <w:adjustRightInd w:val="0"/>
                    <w:snapToGrid w:val="0"/>
                    <w:jc w:val="center"/>
                    <w:rPr>
                      <w:szCs w:val="21"/>
                    </w:rPr>
                  </w:pPr>
                  <w:r>
                    <w:rPr>
                      <w:rFonts w:hint="eastAsia"/>
                      <w:szCs w:val="21"/>
                    </w:rPr>
                    <w:t>2</w:t>
                  </w:r>
                </w:p>
              </w:tc>
              <w:tc>
                <w:tcPr>
                  <w:tcW w:w="800" w:type="pct"/>
                  <w:tcBorders>
                    <w:top w:val="single" w:color="000000" w:sz="6" w:space="0"/>
                    <w:bottom w:val="single" w:color="000000" w:sz="6" w:space="0"/>
                  </w:tcBorders>
                  <w:vAlign w:val="center"/>
                </w:tcPr>
                <w:p w14:paraId="520AC00C">
                  <w:pPr>
                    <w:adjustRightInd w:val="0"/>
                    <w:snapToGrid w:val="0"/>
                    <w:jc w:val="center"/>
                    <w:rPr>
                      <w:szCs w:val="21"/>
                    </w:rPr>
                  </w:pPr>
                  <w:r>
                    <w:rPr>
                      <w:rFonts w:hint="eastAsia"/>
                      <w:szCs w:val="21"/>
                    </w:rPr>
                    <w:t>铬</w:t>
                  </w:r>
                </w:p>
              </w:tc>
              <w:tc>
                <w:tcPr>
                  <w:tcW w:w="711" w:type="pct"/>
                  <w:tcBorders>
                    <w:top w:val="single" w:color="000000" w:sz="6" w:space="0"/>
                    <w:bottom w:val="single" w:color="000000" w:sz="6" w:space="0"/>
                  </w:tcBorders>
                  <w:vAlign w:val="center"/>
                </w:tcPr>
                <w:p w14:paraId="520AC00D">
                  <w:pPr>
                    <w:adjustRightInd w:val="0"/>
                    <w:snapToGrid w:val="0"/>
                    <w:jc w:val="center"/>
                    <w:rPr>
                      <w:szCs w:val="21"/>
                    </w:rPr>
                  </w:pPr>
                  <w:r>
                    <w:rPr>
                      <w:bCs/>
                      <w:szCs w:val="21"/>
                    </w:rPr>
                    <w:t>38</w:t>
                  </w:r>
                </w:p>
              </w:tc>
              <w:tc>
                <w:tcPr>
                  <w:tcW w:w="710" w:type="pct"/>
                  <w:tcBorders>
                    <w:top w:val="single" w:color="000000" w:sz="6" w:space="0"/>
                    <w:bottom w:val="single" w:color="000000" w:sz="6" w:space="0"/>
                  </w:tcBorders>
                  <w:vAlign w:val="center"/>
                </w:tcPr>
                <w:p w14:paraId="520AC00E">
                  <w:pPr>
                    <w:adjustRightInd w:val="0"/>
                    <w:snapToGrid w:val="0"/>
                    <w:jc w:val="center"/>
                    <w:rPr>
                      <w:szCs w:val="21"/>
                    </w:rPr>
                  </w:pPr>
                  <w:r>
                    <w:rPr>
                      <w:bCs/>
                      <w:szCs w:val="21"/>
                    </w:rPr>
                    <w:t>58</w:t>
                  </w:r>
                </w:p>
              </w:tc>
              <w:tc>
                <w:tcPr>
                  <w:tcW w:w="713" w:type="pct"/>
                  <w:tcBorders>
                    <w:top w:val="single" w:color="000000" w:sz="6" w:space="0"/>
                    <w:bottom w:val="single" w:color="000000" w:sz="6" w:space="0"/>
                  </w:tcBorders>
                  <w:vAlign w:val="center"/>
                </w:tcPr>
                <w:p w14:paraId="520AC00F">
                  <w:pPr>
                    <w:adjustRightInd w:val="0"/>
                    <w:snapToGrid w:val="0"/>
                    <w:jc w:val="center"/>
                    <w:rPr>
                      <w:szCs w:val="21"/>
                    </w:rPr>
                  </w:pPr>
                  <w:r>
                    <w:rPr>
                      <w:bCs/>
                      <w:szCs w:val="21"/>
                    </w:rPr>
                    <w:t>103</w:t>
                  </w:r>
                </w:p>
              </w:tc>
              <w:tc>
                <w:tcPr>
                  <w:tcW w:w="504" w:type="pct"/>
                  <w:tcBorders>
                    <w:top w:val="single" w:color="000000" w:sz="6" w:space="0"/>
                    <w:bottom w:val="single" w:color="000000" w:sz="6" w:space="0"/>
                    <w:right w:val="nil"/>
                  </w:tcBorders>
                  <w:vAlign w:val="center"/>
                </w:tcPr>
                <w:p w14:paraId="520AC010">
                  <w:pPr>
                    <w:adjustRightInd w:val="0"/>
                    <w:snapToGrid w:val="0"/>
                    <w:jc w:val="center"/>
                    <w:rPr>
                      <w:szCs w:val="21"/>
                    </w:rPr>
                  </w:pPr>
                  <w:r>
                    <w:rPr>
                      <w:rFonts w:hint="eastAsia"/>
                      <w:szCs w:val="21"/>
                    </w:rPr>
                    <w:t>/</w:t>
                  </w:r>
                </w:p>
              </w:tc>
            </w:tr>
            <w:tr w14:paraId="520AC01A">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left w:val="nil"/>
                  </w:tcBorders>
                  <w:vAlign w:val="center"/>
                </w:tcPr>
                <w:p w14:paraId="520AC012">
                  <w:pPr>
                    <w:adjustRightInd w:val="0"/>
                    <w:snapToGrid w:val="0"/>
                    <w:jc w:val="center"/>
                    <w:rPr>
                      <w:szCs w:val="21"/>
                    </w:rPr>
                  </w:pPr>
                </w:p>
              </w:tc>
              <w:tc>
                <w:tcPr>
                  <w:tcW w:w="499" w:type="pct"/>
                  <w:vMerge w:val="continue"/>
                  <w:vAlign w:val="center"/>
                </w:tcPr>
                <w:p w14:paraId="520AC013">
                  <w:pPr>
                    <w:adjustRightInd w:val="0"/>
                    <w:snapToGrid w:val="0"/>
                    <w:jc w:val="center"/>
                    <w:rPr>
                      <w:szCs w:val="21"/>
                    </w:rPr>
                  </w:pPr>
                </w:p>
              </w:tc>
              <w:tc>
                <w:tcPr>
                  <w:tcW w:w="444" w:type="pct"/>
                  <w:tcBorders>
                    <w:top w:val="single" w:color="000000" w:sz="6" w:space="0"/>
                    <w:bottom w:val="single" w:color="000000" w:sz="6" w:space="0"/>
                  </w:tcBorders>
                  <w:vAlign w:val="center"/>
                </w:tcPr>
                <w:p w14:paraId="520AC014">
                  <w:pPr>
                    <w:adjustRightInd w:val="0"/>
                    <w:snapToGrid w:val="0"/>
                    <w:jc w:val="center"/>
                    <w:rPr>
                      <w:szCs w:val="21"/>
                    </w:rPr>
                  </w:pPr>
                  <w:r>
                    <w:rPr>
                      <w:rFonts w:hint="eastAsia"/>
                      <w:szCs w:val="21"/>
                    </w:rPr>
                    <w:t>3</w:t>
                  </w:r>
                </w:p>
              </w:tc>
              <w:tc>
                <w:tcPr>
                  <w:tcW w:w="800" w:type="pct"/>
                  <w:tcBorders>
                    <w:top w:val="single" w:color="000000" w:sz="6" w:space="0"/>
                    <w:bottom w:val="single" w:color="000000" w:sz="6" w:space="0"/>
                  </w:tcBorders>
                  <w:vAlign w:val="center"/>
                </w:tcPr>
                <w:p w14:paraId="520AC015">
                  <w:pPr>
                    <w:adjustRightInd w:val="0"/>
                    <w:snapToGrid w:val="0"/>
                    <w:jc w:val="center"/>
                    <w:rPr>
                      <w:szCs w:val="21"/>
                    </w:rPr>
                  </w:pPr>
                  <w:r>
                    <w:rPr>
                      <w:rFonts w:hint="eastAsia"/>
                      <w:szCs w:val="21"/>
                    </w:rPr>
                    <w:t>六价铬</w:t>
                  </w:r>
                </w:p>
              </w:tc>
              <w:tc>
                <w:tcPr>
                  <w:tcW w:w="711" w:type="pct"/>
                  <w:tcBorders>
                    <w:top w:val="single" w:color="000000" w:sz="6" w:space="0"/>
                    <w:bottom w:val="single" w:color="000000" w:sz="6" w:space="0"/>
                  </w:tcBorders>
                  <w:vAlign w:val="center"/>
                </w:tcPr>
                <w:p w14:paraId="520AC016">
                  <w:pPr>
                    <w:adjustRightInd w:val="0"/>
                    <w:snapToGrid w:val="0"/>
                    <w:jc w:val="center"/>
                    <w:rPr>
                      <w:szCs w:val="21"/>
                    </w:rPr>
                  </w:pPr>
                  <w:r>
                    <w:rPr>
                      <w:rFonts w:hint="eastAsia"/>
                      <w:szCs w:val="21"/>
                    </w:rPr>
                    <w:t>ND</w:t>
                  </w:r>
                </w:p>
              </w:tc>
              <w:tc>
                <w:tcPr>
                  <w:tcW w:w="710" w:type="pct"/>
                  <w:tcBorders>
                    <w:top w:val="single" w:color="000000" w:sz="6" w:space="0"/>
                    <w:bottom w:val="single" w:color="000000" w:sz="6" w:space="0"/>
                  </w:tcBorders>
                  <w:vAlign w:val="center"/>
                </w:tcPr>
                <w:p w14:paraId="520AC017">
                  <w:pPr>
                    <w:adjustRightInd w:val="0"/>
                    <w:snapToGrid w:val="0"/>
                    <w:jc w:val="center"/>
                    <w:rPr>
                      <w:szCs w:val="21"/>
                    </w:rPr>
                  </w:pPr>
                  <w:r>
                    <w:rPr>
                      <w:rFonts w:hint="eastAsia"/>
                      <w:szCs w:val="21"/>
                    </w:rPr>
                    <w:t>ND</w:t>
                  </w:r>
                </w:p>
              </w:tc>
              <w:tc>
                <w:tcPr>
                  <w:tcW w:w="713" w:type="pct"/>
                  <w:tcBorders>
                    <w:top w:val="single" w:color="000000" w:sz="6" w:space="0"/>
                    <w:bottom w:val="single" w:color="000000" w:sz="6" w:space="0"/>
                  </w:tcBorders>
                  <w:vAlign w:val="center"/>
                </w:tcPr>
                <w:p w14:paraId="520AC018">
                  <w:pPr>
                    <w:adjustRightInd w:val="0"/>
                    <w:snapToGrid w:val="0"/>
                    <w:jc w:val="center"/>
                    <w:rPr>
                      <w:szCs w:val="21"/>
                    </w:rPr>
                  </w:pPr>
                  <w:r>
                    <w:rPr>
                      <w:rFonts w:hint="eastAsia"/>
                      <w:szCs w:val="21"/>
                    </w:rPr>
                    <w:t>ND</w:t>
                  </w:r>
                </w:p>
              </w:tc>
              <w:tc>
                <w:tcPr>
                  <w:tcW w:w="504" w:type="pct"/>
                  <w:tcBorders>
                    <w:top w:val="single" w:color="000000" w:sz="6" w:space="0"/>
                    <w:bottom w:val="single" w:color="000000" w:sz="6" w:space="0"/>
                    <w:right w:val="nil"/>
                  </w:tcBorders>
                  <w:vAlign w:val="center"/>
                </w:tcPr>
                <w:p w14:paraId="520AC019">
                  <w:pPr>
                    <w:adjustRightInd w:val="0"/>
                    <w:snapToGrid w:val="0"/>
                    <w:jc w:val="center"/>
                    <w:rPr>
                      <w:szCs w:val="21"/>
                    </w:rPr>
                  </w:pPr>
                  <w:r>
                    <w:rPr>
                      <w:rFonts w:hint="eastAsia"/>
                      <w:szCs w:val="21"/>
                    </w:rPr>
                    <w:t>5.7</w:t>
                  </w:r>
                </w:p>
              </w:tc>
            </w:tr>
            <w:tr w14:paraId="520AC023">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left w:val="nil"/>
                  </w:tcBorders>
                  <w:vAlign w:val="center"/>
                </w:tcPr>
                <w:p w14:paraId="520AC01B">
                  <w:pPr>
                    <w:adjustRightInd w:val="0"/>
                    <w:snapToGrid w:val="0"/>
                    <w:jc w:val="center"/>
                    <w:rPr>
                      <w:szCs w:val="21"/>
                    </w:rPr>
                  </w:pPr>
                </w:p>
              </w:tc>
              <w:tc>
                <w:tcPr>
                  <w:tcW w:w="499" w:type="pct"/>
                  <w:vMerge w:val="continue"/>
                  <w:vAlign w:val="center"/>
                </w:tcPr>
                <w:p w14:paraId="520AC01C">
                  <w:pPr>
                    <w:adjustRightInd w:val="0"/>
                    <w:snapToGrid w:val="0"/>
                    <w:jc w:val="center"/>
                    <w:rPr>
                      <w:szCs w:val="21"/>
                    </w:rPr>
                  </w:pPr>
                </w:p>
              </w:tc>
              <w:tc>
                <w:tcPr>
                  <w:tcW w:w="444" w:type="pct"/>
                  <w:tcBorders>
                    <w:top w:val="single" w:color="000000" w:sz="6" w:space="0"/>
                    <w:bottom w:val="single" w:color="000000" w:sz="6" w:space="0"/>
                  </w:tcBorders>
                  <w:vAlign w:val="center"/>
                </w:tcPr>
                <w:p w14:paraId="520AC01D">
                  <w:pPr>
                    <w:adjustRightInd w:val="0"/>
                    <w:snapToGrid w:val="0"/>
                    <w:jc w:val="center"/>
                    <w:rPr>
                      <w:szCs w:val="21"/>
                    </w:rPr>
                  </w:pPr>
                  <w:r>
                    <w:rPr>
                      <w:rFonts w:hint="eastAsia"/>
                      <w:szCs w:val="21"/>
                    </w:rPr>
                    <w:t>4</w:t>
                  </w:r>
                </w:p>
              </w:tc>
              <w:tc>
                <w:tcPr>
                  <w:tcW w:w="800" w:type="pct"/>
                  <w:tcBorders>
                    <w:top w:val="single" w:color="000000" w:sz="6" w:space="0"/>
                    <w:bottom w:val="single" w:color="000000" w:sz="6" w:space="0"/>
                  </w:tcBorders>
                  <w:vAlign w:val="center"/>
                </w:tcPr>
                <w:p w14:paraId="520AC01E">
                  <w:pPr>
                    <w:adjustRightInd w:val="0"/>
                    <w:snapToGrid w:val="0"/>
                    <w:jc w:val="center"/>
                    <w:rPr>
                      <w:szCs w:val="21"/>
                    </w:rPr>
                  </w:pPr>
                  <w:r>
                    <w:rPr>
                      <w:rFonts w:hint="eastAsia"/>
                      <w:szCs w:val="21"/>
                    </w:rPr>
                    <w:t>镍</w:t>
                  </w:r>
                </w:p>
              </w:tc>
              <w:tc>
                <w:tcPr>
                  <w:tcW w:w="711" w:type="pct"/>
                  <w:tcBorders>
                    <w:top w:val="single" w:color="000000" w:sz="6" w:space="0"/>
                    <w:bottom w:val="single" w:color="000000" w:sz="6" w:space="0"/>
                  </w:tcBorders>
                  <w:vAlign w:val="center"/>
                </w:tcPr>
                <w:p w14:paraId="520AC01F">
                  <w:pPr>
                    <w:adjustRightInd w:val="0"/>
                    <w:snapToGrid w:val="0"/>
                    <w:jc w:val="center"/>
                    <w:rPr>
                      <w:szCs w:val="21"/>
                    </w:rPr>
                  </w:pPr>
                  <w:r>
                    <w:rPr>
                      <w:bCs/>
                      <w:szCs w:val="21"/>
                    </w:rPr>
                    <w:t>34</w:t>
                  </w:r>
                </w:p>
              </w:tc>
              <w:tc>
                <w:tcPr>
                  <w:tcW w:w="710" w:type="pct"/>
                  <w:tcBorders>
                    <w:top w:val="single" w:color="000000" w:sz="6" w:space="0"/>
                    <w:bottom w:val="single" w:color="000000" w:sz="6" w:space="0"/>
                  </w:tcBorders>
                  <w:vAlign w:val="center"/>
                </w:tcPr>
                <w:p w14:paraId="520AC020">
                  <w:pPr>
                    <w:adjustRightInd w:val="0"/>
                    <w:snapToGrid w:val="0"/>
                    <w:jc w:val="center"/>
                    <w:rPr>
                      <w:szCs w:val="21"/>
                    </w:rPr>
                  </w:pPr>
                  <w:r>
                    <w:rPr>
                      <w:bCs/>
                      <w:szCs w:val="21"/>
                    </w:rPr>
                    <w:t>43</w:t>
                  </w:r>
                </w:p>
              </w:tc>
              <w:tc>
                <w:tcPr>
                  <w:tcW w:w="713" w:type="pct"/>
                  <w:tcBorders>
                    <w:top w:val="single" w:color="000000" w:sz="6" w:space="0"/>
                    <w:bottom w:val="single" w:color="000000" w:sz="6" w:space="0"/>
                  </w:tcBorders>
                  <w:vAlign w:val="center"/>
                </w:tcPr>
                <w:p w14:paraId="520AC021">
                  <w:pPr>
                    <w:adjustRightInd w:val="0"/>
                    <w:snapToGrid w:val="0"/>
                    <w:jc w:val="center"/>
                    <w:rPr>
                      <w:szCs w:val="21"/>
                    </w:rPr>
                  </w:pPr>
                  <w:r>
                    <w:rPr>
                      <w:bCs/>
                      <w:szCs w:val="21"/>
                    </w:rPr>
                    <w:t>43</w:t>
                  </w:r>
                </w:p>
              </w:tc>
              <w:tc>
                <w:tcPr>
                  <w:tcW w:w="504" w:type="pct"/>
                  <w:tcBorders>
                    <w:top w:val="single" w:color="000000" w:sz="6" w:space="0"/>
                    <w:bottom w:val="single" w:color="000000" w:sz="6" w:space="0"/>
                    <w:right w:val="nil"/>
                  </w:tcBorders>
                  <w:vAlign w:val="center"/>
                </w:tcPr>
                <w:p w14:paraId="520AC022">
                  <w:pPr>
                    <w:adjustRightInd w:val="0"/>
                    <w:snapToGrid w:val="0"/>
                    <w:jc w:val="center"/>
                    <w:rPr>
                      <w:szCs w:val="21"/>
                    </w:rPr>
                  </w:pPr>
                  <w:r>
                    <w:rPr>
                      <w:rFonts w:hint="eastAsia"/>
                      <w:szCs w:val="21"/>
                    </w:rPr>
                    <w:t>900</w:t>
                  </w:r>
                </w:p>
              </w:tc>
            </w:tr>
            <w:tr w14:paraId="520AC02C">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left w:val="nil"/>
                  </w:tcBorders>
                  <w:vAlign w:val="center"/>
                </w:tcPr>
                <w:p w14:paraId="520AC024">
                  <w:pPr>
                    <w:adjustRightInd w:val="0"/>
                    <w:snapToGrid w:val="0"/>
                    <w:jc w:val="center"/>
                    <w:rPr>
                      <w:szCs w:val="21"/>
                    </w:rPr>
                  </w:pPr>
                </w:p>
              </w:tc>
              <w:tc>
                <w:tcPr>
                  <w:tcW w:w="499" w:type="pct"/>
                  <w:vMerge w:val="continue"/>
                  <w:vAlign w:val="center"/>
                </w:tcPr>
                <w:p w14:paraId="520AC025">
                  <w:pPr>
                    <w:adjustRightInd w:val="0"/>
                    <w:snapToGrid w:val="0"/>
                    <w:jc w:val="center"/>
                    <w:rPr>
                      <w:szCs w:val="21"/>
                    </w:rPr>
                  </w:pPr>
                </w:p>
              </w:tc>
              <w:tc>
                <w:tcPr>
                  <w:tcW w:w="444" w:type="pct"/>
                  <w:tcBorders>
                    <w:top w:val="single" w:color="000000" w:sz="6" w:space="0"/>
                    <w:bottom w:val="single" w:color="000000" w:sz="6" w:space="0"/>
                  </w:tcBorders>
                  <w:vAlign w:val="center"/>
                </w:tcPr>
                <w:p w14:paraId="520AC026">
                  <w:pPr>
                    <w:adjustRightInd w:val="0"/>
                    <w:snapToGrid w:val="0"/>
                    <w:jc w:val="center"/>
                    <w:rPr>
                      <w:szCs w:val="21"/>
                    </w:rPr>
                  </w:pPr>
                  <w:r>
                    <w:rPr>
                      <w:rFonts w:hint="eastAsia"/>
                      <w:szCs w:val="21"/>
                    </w:rPr>
                    <w:t>5</w:t>
                  </w:r>
                </w:p>
              </w:tc>
              <w:tc>
                <w:tcPr>
                  <w:tcW w:w="800" w:type="pct"/>
                  <w:tcBorders>
                    <w:top w:val="single" w:color="000000" w:sz="6" w:space="0"/>
                    <w:bottom w:val="single" w:color="000000" w:sz="6" w:space="0"/>
                  </w:tcBorders>
                  <w:vAlign w:val="center"/>
                </w:tcPr>
                <w:p w14:paraId="520AC027">
                  <w:pPr>
                    <w:adjustRightInd w:val="0"/>
                    <w:snapToGrid w:val="0"/>
                    <w:jc w:val="center"/>
                    <w:rPr>
                      <w:szCs w:val="21"/>
                    </w:rPr>
                  </w:pPr>
                  <w:r>
                    <w:rPr>
                      <w:rFonts w:hint="eastAsia"/>
                      <w:szCs w:val="21"/>
                    </w:rPr>
                    <w:t>镉</w:t>
                  </w:r>
                </w:p>
              </w:tc>
              <w:tc>
                <w:tcPr>
                  <w:tcW w:w="711" w:type="pct"/>
                  <w:tcBorders>
                    <w:top w:val="single" w:color="000000" w:sz="6" w:space="0"/>
                    <w:bottom w:val="single" w:color="000000" w:sz="6" w:space="0"/>
                  </w:tcBorders>
                  <w:vAlign w:val="center"/>
                </w:tcPr>
                <w:p w14:paraId="520AC028">
                  <w:pPr>
                    <w:adjustRightInd w:val="0"/>
                    <w:snapToGrid w:val="0"/>
                    <w:jc w:val="center"/>
                    <w:rPr>
                      <w:szCs w:val="21"/>
                    </w:rPr>
                  </w:pPr>
                  <w:r>
                    <w:rPr>
                      <w:bCs/>
                      <w:szCs w:val="21"/>
                    </w:rPr>
                    <w:t>0.146</w:t>
                  </w:r>
                </w:p>
              </w:tc>
              <w:tc>
                <w:tcPr>
                  <w:tcW w:w="710" w:type="pct"/>
                  <w:tcBorders>
                    <w:top w:val="single" w:color="000000" w:sz="6" w:space="0"/>
                    <w:bottom w:val="single" w:color="000000" w:sz="6" w:space="0"/>
                  </w:tcBorders>
                  <w:vAlign w:val="center"/>
                </w:tcPr>
                <w:p w14:paraId="520AC029">
                  <w:pPr>
                    <w:adjustRightInd w:val="0"/>
                    <w:snapToGrid w:val="0"/>
                    <w:jc w:val="center"/>
                    <w:rPr>
                      <w:szCs w:val="21"/>
                    </w:rPr>
                  </w:pPr>
                  <w:r>
                    <w:rPr>
                      <w:bCs/>
                      <w:szCs w:val="21"/>
                    </w:rPr>
                    <w:t>0.729</w:t>
                  </w:r>
                </w:p>
              </w:tc>
              <w:tc>
                <w:tcPr>
                  <w:tcW w:w="713" w:type="pct"/>
                  <w:tcBorders>
                    <w:top w:val="single" w:color="000000" w:sz="6" w:space="0"/>
                    <w:bottom w:val="single" w:color="000000" w:sz="6" w:space="0"/>
                  </w:tcBorders>
                  <w:vAlign w:val="center"/>
                </w:tcPr>
                <w:p w14:paraId="520AC02A">
                  <w:pPr>
                    <w:adjustRightInd w:val="0"/>
                    <w:snapToGrid w:val="0"/>
                    <w:jc w:val="center"/>
                    <w:rPr>
                      <w:szCs w:val="21"/>
                    </w:rPr>
                  </w:pPr>
                  <w:r>
                    <w:rPr>
                      <w:bCs/>
                      <w:szCs w:val="21"/>
                    </w:rPr>
                    <w:t>1.17</w:t>
                  </w:r>
                </w:p>
              </w:tc>
              <w:tc>
                <w:tcPr>
                  <w:tcW w:w="504" w:type="pct"/>
                  <w:tcBorders>
                    <w:top w:val="single" w:color="000000" w:sz="6" w:space="0"/>
                    <w:bottom w:val="single" w:color="000000" w:sz="6" w:space="0"/>
                    <w:right w:val="nil"/>
                  </w:tcBorders>
                  <w:vAlign w:val="center"/>
                </w:tcPr>
                <w:p w14:paraId="520AC02B">
                  <w:pPr>
                    <w:adjustRightInd w:val="0"/>
                    <w:snapToGrid w:val="0"/>
                    <w:jc w:val="center"/>
                    <w:rPr>
                      <w:szCs w:val="21"/>
                    </w:rPr>
                  </w:pPr>
                  <w:r>
                    <w:rPr>
                      <w:rFonts w:hint="eastAsia"/>
                      <w:szCs w:val="21"/>
                    </w:rPr>
                    <w:t>65</w:t>
                  </w:r>
                </w:p>
              </w:tc>
            </w:tr>
            <w:tr w14:paraId="520AC035">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left w:val="nil"/>
                  </w:tcBorders>
                  <w:vAlign w:val="center"/>
                </w:tcPr>
                <w:p w14:paraId="520AC02D">
                  <w:pPr>
                    <w:adjustRightInd w:val="0"/>
                    <w:snapToGrid w:val="0"/>
                    <w:jc w:val="center"/>
                    <w:rPr>
                      <w:szCs w:val="21"/>
                    </w:rPr>
                  </w:pPr>
                </w:p>
              </w:tc>
              <w:tc>
                <w:tcPr>
                  <w:tcW w:w="499" w:type="pct"/>
                  <w:vMerge w:val="continue"/>
                  <w:vAlign w:val="center"/>
                </w:tcPr>
                <w:p w14:paraId="520AC02E">
                  <w:pPr>
                    <w:adjustRightInd w:val="0"/>
                    <w:snapToGrid w:val="0"/>
                    <w:jc w:val="center"/>
                    <w:rPr>
                      <w:szCs w:val="21"/>
                    </w:rPr>
                  </w:pPr>
                </w:p>
              </w:tc>
              <w:tc>
                <w:tcPr>
                  <w:tcW w:w="444" w:type="pct"/>
                  <w:tcBorders>
                    <w:top w:val="single" w:color="000000" w:sz="6" w:space="0"/>
                    <w:bottom w:val="single" w:color="000000" w:sz="6" w:space="0"/>
                  </w:tcBorders>
                  <w:vAlign w:val="center"/>
                </w:tcPr>
                <w:p w14:paraId="520AC02F">
                  <w:pPr>
                    <w:adjustRightInd w:val="0"/>
                    <w:snapToGrid w:val="0"/>
                    <w:jc w:val="center"/>
                    <w:rPr>
                      <w:szCs w:val="21"/>
                    </w:rPr>
                  </w:pPr>
                  <w:r>
                    <w:rPr>
                      <w:rFonts w:hint="eastAsia"/>
                      <w:szCs w:val="21"/>
                    </w:rPr>
                    <w:t>6</w:t>
                  </w:r>
                </w:p>
              </w:tc>
              <w:tc>
                <w:tcPr>
                  <w:tcW w:w="800" w:type="pct"/>
                  <w:tcBorders>
                    <w:top w:val="single" w:color="000000" w:sz="6" w:space="0"/>
                    <w:bottom w:val="single" w:color="000000" w:sz="6" w:space="0"/>
                  </w:tcBorders>
                  <w:vAlign w:val="center"/>
                </w:tcPr>
                <w:p w14:paraId="520AC030">
                  <w:pPr>
                    <w:adjustRightInd w:val="0"/>
                    <w:snapToGrid w:val="0"/>
                    <w:jc w:val="center"/>
                    <w:rPr>
                      <w:szCs w:val="21"/>
                    </w:rPr>
                  </w:pPr>
                  <w:r>
                    <w:rPr>
                      <w:rFonts w:hint="eastAsia"/>
                      <w:szCs w:val="21"/>
                    </w:rPr>
                    <w:t>铜</w:t>
                  </w:r>
                </w:p>
              </w:tc>
              <w:tc>
                <w:tcPr>
                  <w:tcW w:w="711" w:type="pct"/>
                  <w:tcBorders>
                    <w:top w:val="single" w:color="000000" w:sz="6" w:space="0"/>
                    <w:bottom w:val="single" w:color="000000" w:sz="6" w:space="0"/>
                  </w:tcBorders>
                  <w:vAlign w:val="center"/>
                </w:tcPr>
                <w:p w14:paraId="520AC031">
                  <w:pPr>
                    <w:adjustRightInd w:val="0"/>
                    <w:snapToGrid w:val="0"/>
                    <w:jc w:val="center"/>
                    <w:rPr>
                      <w:szCs w:val="21"/>
                    </w:rPr>
                  </w:pPr>
                  <w:r>
                    <w:rPr>
                      <w:rFonts w:hint="eastAsia"/>
                      <w:bCs/>
                      <w:szCs w:val="21"/>
                    </w:rPr>
                    <w:t>2</w:t>
                  </w:r>
                  <w:r>
                    <w:rPr>
                      <w:bCs/>
                      <w:szCs w:val="21"/>
                    </w:rPr>
                    <w:t>9</w:t>
                  </w:r>
                </w:p>
              </w:tc>
              <w:tc>
                <w:tcPr>
                  <w:tcW w:w="710" w:type="pct"/>
                  <w:tcBorders>
                    <w:top w:val="single" w:color="000000" w:sz="6" w:space="0"/>
                    <w:bottom w:val="single" w:color="000000" w:sz="6" w:space="0"/>
                  </w:tcBorders>
                  <w:vAlign w:val="center"/>
                </w:tcPr>
                <w:p w14:paraId="520AC032">
                  <w:pPr>
                    <w:adjustRightInd w:val="0"/>
                    <w:snapToGrid w:val="0"/>
                    <w:jc w:val="center"/>
                    <w:rPr>
                      <w:szCs w:val="21"/>
                    </w:rPr>
                  </w:pPr>
                  <w:r>
                    <w:rPr>
                      <w:rFonts w:hint="eastAsia"/>
                      <w:bCs/>
                      <w:szCs w:val="21"/>
                    </w:rPr>
                    <w:t>5</w:t>
                  </w:r>
                  <w:r>
                    <w:rPr>
                      <w:bCs/>
                      <w:szCs w:val="21"/>
                    </w:rPr>
                    <w:t>3</w:t>
                  </w:r>
                </w:p>
              </w:tc>
              <w:tc>
                <w:tcPr>
                  <w:tcW w:w="713" w:type="pct"/>
                  <w:tcBorders>
                    <w:top w:val="single" w:color="000000" w:sz="6" w:space="0"/>
                    <w:bottom w:val="single" w:color="000000" w:sz="6" w:space="0"/>
                  </w:tcBorders>
                  <w:vAlign w:val="center"/>
                </w:tcPr>
                <w:p w14:paraId="520AC033">
                  <w:pPr>
                    <w:adjustRightInd w:val="0"/>
                    <w:snapToGrid w:val="0"/>
                    <w:jc w:val="center"/>
                    <w:rPr>
                      <w:szCs w:val="21"/>
                    </w:rPr>
                  </w:pPr>
                  <w:r>
                    <w:rPr>
                      <w:rFonts w:hint="eastAsia"/>
                      <w:bCs/>
                      <w:szCs w:val="21"/>
                    </w:rPr>
                    <w:t>1</w:t>
                  </w:r>
                  <w:r>
                    <w:rPr>
                      <w:bCs/>
                      <w:szCs w:val="21"/>
                    </w:rPr>
                    <w:t>91</w:t>
                  </w:r>
                </w:p>
              </w:tc>
              <w:tc>
                <w:tcPr>
                  <w:tcW w:w="504" w:type="pct"/>
                  <w:tcBorders>
                    <w:top w:val="single" w:color="000000" w:sz="6" w:space="0"/>
                    <w:bottom w:val="single" w:color="000000" w:sz="6" w:space="0"/>
                    <w:right w:val="nil"/>
                  </w:tcBorders>
                  <w:vAlign w:val="center"/>
                </w:tcPr>
                <w:p w14:paraId="520AC034">
                  <w:pPr>
                    <w:adjustRightInd w:val="0"/>
                    <w:snapToGrid w:val="0"/>
                    <w:jc w:val="center"/>
                    <w:rPr>
                      <w:szCs w:val="21"/>
                    </w:rPr>
                  </w:pPr>
                  <w:r>
                    <w:rPr>
                      <w:rFonts w:hint="eastAsia"/>
                      <w:szCs w:val="21"/>
                    </w:rPr>
                    <w:t>18000</w:t>
                  </w:r>
                </w:p>
              </w:tc>
            </w:tr>
            <w:tr w14:paraId="520AC03E">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left w:val="nil"/>
                  </w:tcBorders>
                  <w:vAlign w:val="center"/>
                </w:tcPr>
                <w:p w14:paraId="520AC036">
                  <w:pPr>
                    <w:adjustRightInd w:val="0"/>
                    <w:snapToGrid w:val="0"/>
                    <w:jc w:val="center"/>
                    <w:rPr>
                      <w:szCs w:val="21"/>
                    </w:rPr>
                  </w:pPr>
                </w:p>
              </w:tc>
              <w:tc>
                <w:tcPr>
                  <w:tcW w:w="499" w:type="pct"/>
                  <w:vMerge w:val="continue"/>
                  <w:vAlign w:val="center"/>
                </w:tcPr>
                <w:p w14:paraId="520AC037">
                  <w:pPr>
                    <w:adjustRightInd w:val="0"/>
                    <w:snapToGrid w:val="0"/>
                    <w:jc w:val="center"/>
                    <w:rPr>
                      <w:szCs w:val="21"/>
                    </w:rPr>
                  </w:pPr>
                </w:p>
              </w:tc>
              <w:tc>
                <w:tcPr>
                  <w:tcW w:w="444" w:type="pct"/>
                  <w:tcBorders>
                    <w:top w:val="single" w:color="000000" w:sz="6" w:space="0"/>
                    <w:bottom w:val="single" w:color="000000" w:sz="6" w:space="0"/>
                  </w:tcBorders>
                  <w:vAlign w:val="center"/>
                </w:tcPr>
                <w:p w14:paraId="520AC038">
                  <w:pPr>
                    <w:adjustRightInd w:val="0"/>
                    <w:snapToGrid w:val="0"/>
                    <w:jc w:val="center"/>
                    <w:rPr>
                      <w:szCs w:val="21"/>
                    </w:rPr>
                  </w:pPr>
                  <w:r>
                    <w:rPr>
                      <w:rFonts w:hint="eastAsia"/>
                      <w:szCs w:val="21"/>
                    </w:rPr>
                    <w:t>7</w:t>
                  </w:r>
                </w:p>
              </w:tc>
              <w:tc>
                <w:tcPr>
                  <w:tcW w:w="800" w:type="pct"/>
                  <w:tcBorders>
                    <w:top w:val="single" w:color="000000" w:sz="6" w:space="0"/>
                    <w:bottom w:val="single" w:color="000000" w:sz="6" w:space="0"/>
                  </w:tcBorders>
                  <w:vAlign w:val="center"/>
                </w:tcPr>
                <w:p w14:paraId="520AC039">
                  <w:pPr>
                    <w:adjustRightInd w:val="0"/>
                    <w:snapToGrid w:val="0"/>
                    <w:jc w:val="center"/>
                    <w:rPr>
                      <w:szCs w:val="21"/>
                    </w:rPr>
                  </w:pPr>
                  <w:r>
                    <w:rPr>
                      <w:rFonts w:hint="eastAsia"/>
                      <w:szCs w:val="21"/>
                    </w:rPr>
                    <w:t>锌</w:t>
                  </w:r>
                </w:p>
              </w:tc>
              <w:tc>
                <w:tcPr>
                  <w:tcW w:w="711" w:type="pct"/>
                  <w:tcBorders>
                    <w:top w:val="single" w:color="000000" w:sz="6" w:space="0"/>
                    <w:bottom w:val="single" w:color="000000" w:sz="6" w:space="0"/>
                  </w:tcBorders>
                  <w:vAlign w:val="center"/>
                </w:tcPr>
                <w:p w14:paraId="520AC03A">
                  <w:pPr>
                    <w:adjustRightInd w:val="0"/>
                    <w:snapToGrid w:val="0"/>
                    <w:jc w:val="center"/>
                    <w:rPr>
                      <w:szCs w:val="21"/>
                    </w:rPr>
                  </w:pPr>
                  <w:r>
                    <w:rPr>
                      <w:rFonts w:hint="eastAsia"/>
                      <w:bCs/>
                      <w:szCs w:val="21"/>
                    </w:rPr>
                    <w:t>7</w:t>
                  </w:r>
                  <w:r>
                    <w:rPr>
                      <w:bCs/>
                      <w:szCs w:val="21"/>
                    </w:rPr>
                    <w:t>8</w:t>
                  </w:r>
                </w:p>
              </w:tc>
              <w:tc>
                <w:tcPr>
                  <w:tcW w:w="710" w:type="pct"/>
                  <w:tcBorders>
                    <w:top w:val="single" w:color="000000" w:sz="6" w:space="0"/>
                    <w:bottom w:val="single" w:color="000000" w:sz="6" w:space="0"/>
                  </w:tcBorders>
                  <w:vAlign w:val="center"/>
                </w:tcPr>
                <w:p w14:paraId="520AC03B">
                  <w:pPr>
                    <w:adjustRightInd w:val="0"/>
                    <w:snapToGrid w:val="0"/>
                    <w:jc w:val="center"/>
                    <w:rPr>
                      <w:szCs w:val="21"/>
                    </w:rPr>
                  </w:pPr>
                  <w:r>
                    <w:rPr>
                      <w:rFonts w:hint="eastAsia"/>
                      <w:bCs/>
                      <w:szCs w:val="21"/>
                    </w:rPr>
                    <w:t>1</w:t>
                  </w:r>
                  <w:r>
                    <w:rPr>
                      <w:bCs/>
                      <w:szCs w:val="21"/>
                    </w:rPr>
                    <w:t>57</w:t>
                  </w:r>
                </w:p>
              </w:tc>
              <w:tc>
                <w:tcPr>
                  <w:tcW w:w="713" w:type="pct"/>
                  <w:tcBorders>
                    <w:top w:val="single" w:color="000000" w:sz="6" w:space="0"/>
                    <w:bottom w:val="single" w:color="000000" w:sz="6" w:space="0"/>
                  </w:tcBorders>
                  <w:vAlign w:val="center"/>
                </w:tcPr>
                <w:p w14:paraId="520AC03C">
                  <w:pPr>
                    <w:adjustRightInd w:val="0"/>
                    <w:snapToGrid w:val="0"/>
                    <w:jc w:val="center"/>
                    <w:rPr>
                      <w:szCs w:val="21"/>
                    </w:rPr>
                  </w:pPr>
                  <w:r>
                    <w:rPr>
                      <w:rFonts w:hint="eastAsia"/>
                      <w:bCs/>
                      <w:szCs w:val="21"/>
                    </w:rPr>
                    <w:t>4</w:t>
                  </w:r>
                  <w:r>
                    <w:rPr>
                      <w:bCs/>
                      <w:szCs w:val="21"/>
                    </w:rPr>
                    <w:t>69</w:t>
                  </w:r>
                </w:p>
              </w:tc>
              <w:tc>
                <w:tcPr>
                  <w:tcW w:w="504" w:type="pct"/>
                  <w:tcBorders>
                    <w:top w:val="single" w:color="000000" w:sz="6" w:space="0"/>
                    <w:bottom w:val="single" w:color="000000" w:sz="6" w:space="0"/>
                    <w:right w:val="nil"/>
                  </w:tcBorders>
                  <w:vAlign w:val="center"/>
                </w:tcPr>
                <w:p w14:paraId="520AC03D">
                  <w:pPr>
                    <w:adjustRightInd w:val="0"/>
                    <w:snapToGrid w:val="0"/>
                    <w:jc w:val="center"/>
                    <w:rPr>
                      <w:szCs w:val="21"/>
                    </w:rPr>
                  </w:pPr>
                  <w:r>
                    <w:rPr>
                      <w:rFonts w:hint="eastAsia"/>
                      <w:szCs w:val="21"/>
                    </w:rPr>
                    <w:t>/</w:t>
                  </w:r>
                </w:p>
              </w:tc>
            </w:tr>
            <w:tr w14:paraId="520AC047">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619" w:type="pct"/>
                  <w:vMerge w:val="continue"/>
                  <w:tcBorders>
                    <w:left w:val="nil"/>
                    <w:bottom w:val="single" w:color="000000" w:sz="6" w:space="0"/>
                  </w:tcBorders>
                  <w:vAlign w:val="center"/>
                </w:tcPr>
                <w:p w14:paraId="520AC03F">
                  <w:pPr>
                    <w:adjustRightInd w:val="0"/>
                    <w:snapToGrid w:val="0"/>
                    <w:jc w:val="center"/>
                    <w:rPr>
                      <w:szCs w:val="21"/>
                    </w:rPr>
                  </w:pPr>
                </w:p>
              </w:tc>
              <w:tc>
                <w:tcPr>
                  <w:tcW w:w="499" w:type="pct"/>
                  <w:vMerge w:val="continue"/>
                  <w:tcBorders>
                    <w:bottom w:val="single" w:color="000000" w:sz="6" w:space="0"/>
                  </w:tcBorders>
                  <w:vAlign w:val="center"/>
                </w:tcPr>
                <w:p w14:paraId="520AC040">
                  <w:pPr>
                    <w:adjustRightInd w:val="0"/>
                    <w:snapToGrid w:val="0"/>
                    <w:jc w:val="center"/>
                    <w:rPr>
                      <w:szCs w:val="21"/>
                    </w:rPr>
                  </w:pPr>
                </w:p>
              </w:tc>
              <w:tc>
                <w:tcPr>
                  <w:tcW w:w="444" w:type="pct"/>
                  <w:tcBorders>
                    <w:top w:val="single" w:color="000000" w:sz="6" w:space="0"/>
                    <w:bottom w:val="single" w:color="000000" w:sz="6" w:space="0"/>
                  </w:tcBorders>
                  <w:vAlign w:val="center"/>
                </w:tcPr>
                <w:p w14:paraId="520AC041">
                  <w:pPr>
                    <w:adjustRightInd w:val="0"/>
                    <w:snapToGrid w:val="0"/>
                    <w:jc w:val="center"/>
                    <w:rPr>
                      <w:szCs w:val="21"/>
                    </w:rPr>
                  </w:pPr>
                  <w:r>
                    <w:rPr>
                      <w:rFonts w:hint="eastAsia"/>
                      <w:szCs w:val="21"/>
                    </w:rPr>
                    <w:t>8</w:t>
                  </w:r>
                </w:p>
              </w:tc>
              <w:tc>
                <w:tcPr>
                  <w:tcW w:w="800" w:type="pct"/>
                  <w:tcBorders>
                    <w:top w:val="single" w:color="000000" w:sz="6" w:space="0"/>
                    <w:bottom w:val="single" w:color="000000" w:sz="6" w:space="0"/>
                  </w:tcBorders>
                  <w:vAlign w:val="center"/>
                </w:tcPr>
                <w:p w14:paraId="520AC042">
                  <w:pPr>
                    <w:adjustRightInd w:val="0"/>
                    <w:snapToGrid w:val="0"/>
                    <w:jc w:val="center"/>
                    <w:rPr>
                      <w:szCs w:val="21"/>
                    </w:rPr>
                  </w:pPr>
                  <w:r>
                    <w:rPr>
                      <w:rFonts w:hint="eastAsia"/>
                      <w:szCs w:val="21"/>
                    </w:rPr>
                    <w:t>氰化物</w:t>
                  </w:r>
                </w:p>
              </w:tc>
              <w:tc>
                <w:tcPr>
                  <w:tcW w:w="711" w:type="pct"/>
                  <w:tcBorders>
                    <w:top w:val="single" w:color="000000" w:sz="6" w:space="0"/>
                    <w:bottom w:val="single" w:color="000000" w:sz="6" w:space="0"/>
                  </w:tcBorders>
                  <w:vAlign w:val="center"/>
                </w:tcPr>
                <w:p w14:paraId="520AC043">
                  <w:pPr>
                    <w:adjustRightInd w:val="0"/>
                    <w:snapToGrid w:val="0"/>
                    <w:jc w:val="center"/>
                    <w:rPr>
                      <w:szCs w:val="21"/>
                    </w:rPr>
                  </w:pPr>
                  <w:r>
                    <w:rPr>
                      <w:rFonts w:hint="eastAsia"/>
                      <w:szCs w:val="21"/>
                    </w:rPr>
                    <w:t>ND</w:t>
                  </w:r>
                </w:p>
              </w:tc>
              <w:tc>
                <w:tcPr>
                  <w:tcW w:w="710" w:type="pct"/>
                  <w:tcBorders>
                    <w:top w:val="single" w:color="000000" w:sz="6" w:space="0"/>
                    <w:bottom w:val="single" w:color="000000" w:sz="6" w:space="0"/>
                  </w:tcBorders>
                  <w:vAlign w:val="center"/>
                </w:tcPr>
                <w:p w14:paraId="520AC044">
                  <w:pPr>
                    <w:adjustRightInd w:val="0"/>
                    <w:snapToGrid w:val="0"/>
                    <w:jc w:val="center"/>
                    <w:rPr>
                      <w:szCs w:val="21"/>
                    </w:rPr>
                  </w:pPr>
                  <w:r>
                    <w:rPr>
                      <w:rFonts w:hint="eastAsia"/>
                      <w:szCs w:val="21"/>
                    </w:rPr>
                    <w:t>ND</w:t>
                  </w:r>
                </w:p>
              </w:tc>
              <w:tc>
                <w:tcPr>
                  <w:tcW w:w="713" w:type="pct"/>
                  <w:tcBorders>
                    <w:top w:val="single" w:color="000000" w:sz="6" w:space="0"/>
                    <w:bottom w:val="single" w:color="000000" w:sz="6" w:space="0"/>
                  </w:tcBorders>
                  <w:vAlign w:val="center"/>
                </w:tcPr>
                <w:p w14:paraId="520AC045">
                  <w:pPr>
                    <w:adjustRightInd w:val="0"/>
                    <w:snapToGrid w:val="0"/>
                    <w:jc w:val="center"/>
                    <w:rPr>
                      <w:szCs w:val="21"/>
                    </w:rPr>
                  </w:pPr>
                  <w:r>
                    <w:rPr>
                      <w:rFonts w:hint="eastAsia"/>
                      <w:szCs w:val="21"/>
                    </w:rPr>
                    <w:t>ND</w:t>
                  </w:r>
                </w:p>
              </w:tc>
              <w:tc>
                <w:tcPr>
                  <w:tcW w:w="504" w:type="pct"/>
                  <w:tcBorders>
                    <w:top w:val="single" w:color="000000" w:sz="6" w:space="0"/>
                    <w:bottom w:val="single" w:color="000000" w:sz="6" w:space="0"/>
                    <w:right w:val="nil"/>
                  </w:tcBorders>
                  <w:vAlign w:val="center"/>
                </w:tcPr>
                <w:p w14:paraId="520AC046">
                  <w:pPr>
                    <w:adjustRightInd w:val="0"/>
                    <w:snapToGrid w:val="0"/>
                    <w:jc w:val="center"/>
                    <w:rPr>
                      <w:szCs w:val="21"/>
                    </w:rPr>
                  </w:pPr>
                  <w:r>
                    <w:rPr>
                      <w:rFonts w:hint="eastAsia"/>
                      <w:szCs w:val="21"/>
                    </w:rPr>
                    <w:t>135</w:t>
                  </w:r>
                </w:p>
              </w:tc>
            </w:tr>
          </w:tbl>
          <w:p w14:paraId="520AC048">
            <w:pPr>
              <w:adjustRightInd w:val="0"/>
              <w:snapToGrid w:val="0"/>
              <w:spacing w:line="460" w:lineRule="exact"/>
              <w:ind w:firstLine="480" w:firstLineChars="200"/>
              <w:rPr>
                <w:sz w:val="24"/>
              </w:rPr>
            </w:pPr>
            <w:r>
              <w:rPr>
                <w:rFonts w:hint="eastAsia"/>
                <w:sz w:val="24"/>
              </w:rPr>
              <w:t>由上表监测数据可知，建设路厂区和解放路厂区电镀废水污水处理站附近土壤的各检测值均能满足《土壤环境质量建设用地土壤污染风险管控标准（试行）》（GB36600-2018）表1和表2第二类用地筛选值的限值要求，现有工程的运行未对土壤环境质量产生影响。</w:t>
            </w:r>
          </w:p>
          <w:p w14:paraId="520AC049">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43</w:t>
            </w:r>
            <w:r>
              <w:rPr>
                <w:rFonts w:eastAsia="黑体"/>
                <w:sz w:val="24"/>
              </w:rPr>
              <w:t xml:space="preserve">  </w:t>
            </w:r>
            <w:r>
              <w:rPr>
                <w:rFonts w:hint="eastAsia" w:eastAsia="黑体"/>
                <w:sz w:val="24"/>
              </w:rPr>
              <w:t xml:space="preserve">       </w:t>
            </w:r>
            <w:r>
              <w:rPr>
                <w:rFonts w:eastAsia="黑体"/>
                <w:sz w:val="24"/>
              </w:rPr>
              <w:t>地下水质量现状监测结果一览表</w:t>
            </w:r>
            <w:r>
              <w:rPr>
                <w:rFonts w:hint="eastAsia" w:eastAsia="黑体"/>
                <w:sz w:val="24"/>
              </w:rPr>
              <w:t xml:space="preserve">          单位：mg/L</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568"/>
              <w:gridCol w:w="1912"/>
              <w:gridCol w:w="1394"/>
              <w:gridCol w:w="1550"/>
              <w:gridCol w:w="1550"/>
            </w:tblGrid>
            <w:tr w14:paraId="0749220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tblHeader/>
                <w:jc w:val="center"/>
              </w:trPr>
              <w:tc>
                <w:tcPr>
                  <w:tcW w:w="983" w:type="pct"/>
                  <w:vAlign w:val="center"/>
                </w:tcPr>
                <w:p w14:paraId="493744D0">
                  <w:pPr>
                    <w:jc w:val="center"/>
                    <w:rPr>
                      <w:b/>
                      <w:bCs/>
                      <w:szCs w:val="21"/>
                    </w:rPr>
                  </w:pPr>
                  <w:r>
                    <w:rPr>
                      <w:rFonts w:hAnsi="宋体"/>
                      <w:b/>
                      <w:bCs/>
                      <w:szCs w:val="21"/>
                    </w:rPr>
                    <w:t>采样地点</w:t>
                  </w:r>
                </w:p>
              </w:tc>
              <w:tc>
                <w:tcPr>
                  <w:tcW w:w="1199" w:type="pct"/>
                  <w:vAlign w:val="center"/>
                </w:tcPr>
                <w:p w14:paraId="6857BF18">
                  <w:pPr>
                    <w:jc w:val="center"/>
                    <w:rPr>
                      <w:b/>
                      <w:bCs/>
                      <w:szCs w:val="21"/>
                    </w:rPr>
                  </w:pPr>
                  <w:r>
                    <w:rPr>
                      <w:rFonts w:hAnsi="宋体"/>
                      <w:b/>
                      <w:bCs/>
                      <w:szCs w:val="21"/>
                    </w:rPr>
                    <w:t>采样因子</w:t>
                  </w:r>
                </w:p>
              </w:tc>
              <w:tc>
                <w:tcPr>
                  <w:tcW w:w="874" w:type="pct"/>
                  <w:vAlign w:val="center"/>
                </w:tcPr>
                <w:p w14:paraId="094AEC44">
                  <w:pPr>
                    <w:jc w:val="center"/>
                    <w:rPr>
                      <w:b/>
                      <w:bCs/>
                      <w:szCs w:val="21"/>
                    </w:rPr>
                  </w:pPr>
                  <w:r>
                    <w:rPr>
                      <w:rFonts w:hAnsi="宋体"/>
                      <w:b/>
                      <w:bCs/>
                      <w:szCs w:val="21"/>
                    </w:rPr>
                    <w:t>测值范围</w:t>
                  </w:r>
                </w:p>
              </w:tc>
              <w:tc>
                <w:tcPr>
                  <w:tcW w:w="972" w:type="pct"/>
                  <w:vAlign w:val="center"/>
                </w:tcPr>
                <w:p w14:paraId="1A569970">
                  <w:pPr>
                    <w:jc w:val="center"/>
                    <w:rPr>
                      <w:b/>
                      <w:bCs/>
                      <w:szCs w:val="21"/>
                    </w:rPr>
                  </w:pPr>
                  <w:r>
                    <w:rPr>
                      <w:rFonts w:hAnsi="宋体"/>
                      <w:b/>
                      <w:bCs/>
                      <w:szCs w:val="21"/>
                    </w:rPr>
                    <w:t>标准限值</w:t>
                  </w:r>
                </w:p>
              </w:tc>
              <w:tc>
                <w:tcPr>
                  <w:tcW w:w="972" w:type="pct"/>
                  <w:vAlign w:val="center"/>
                </w:tcPr>
                <w:p w14:paraId="4D2C5981">
                  <w:pPr>
                    <w:jc w:val="center"/>
                    <w:rPr>
                      <w:rFonts w:hint="eastAsia" w:hAnsi="宋体"/>
                      <w:b/>
                      <w:bCs/>
                      <w:szCs w:val="21"/>
                    </w:rPr>
                  </w:pPr>
                  <w:r>
                    <w:rPr>
                      <w:rFonts w:hint="eastAsia" w:hAnsi="宋体"/>
                      <w:b/>
                      <w:bCs/>
                      <w:szCs w:val="21"/>
                    </w:rPr>
                    <w:t>超标率</w:t>
                  </w:r>
                </w:p>
              </w:tc>
            </w:tr>
            <w:tr w14:paraId="7D8BF5E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5000" w:type="pct"/>
                  <w:gridSpan w:val="5"/>
                  <w:vAlign w:val="center"/>
                </w:tcPr>
                <w:p w14:paraId="689A2BB7">
                  <w:pPr>
                    <w:jc w:val="center"/>
                    <w:rPr>
                      <w:rFonts w:hint="eastAsia" w:hAnsi="宋体"/>
                      <w:b/>
                      <w:bCs/>
                      <w:szCs w:val="21"/>
                    </w:rPr>
                  </w:pPr>
                  <w:r>
                    <w:rPr>
                      <w:rFonts w:hint="eastAsia" w:hAnsi="宋体"/>
                      <w:b/>
                      <w:bCs/>
                      <w:szCs w:val="21"/>
                    </w:rPr>
                    <w:t>建设路厂区</w:t>
                  </w:r>
                </w:p>
              </w:tc>
            </w:tr>
            <w:tr w14:paraId="3B087ED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restart"/>
                  <w:vAlign w:val="center"/>
                </w:tcPr>
                <w:p w14:paraId="1BAB0CD5">
                  <w:pPr>
                    <w:jc w:val="center"/>
                    <w:rPr>
                      <w:bCs/>
                      <w:szCs w:val="21"/>
                    </w:rPr>
                  </w:pPr>
                  <w:r>
                    <w:rPr>
                      <w:rFonts w:hAnsi="宋体"/>
                      <w:bCs/>
                      <w:szCs w:val="21"/>
                    </w:rPr>
                    <w:t>地下水取水口</w:t>
                  </w:r>
                </w:p>
              </w:tc>
              <w:tc>
                <w:tcPr>
                  <w:tcW w:w="1199" w:type="pct"/>
                  <w:vAlign w:val="center"/>
                </w:tcPr>
                <w:p w14:paraId="0C181A41">
                  <w:pPr>
                    <w:jc w:val="center"/>
                    <w:rPr>
                      <w:bCs/>
                      <w:szCs w:val="21"/>
                    </w:rPr>
                  </w:pPr>
                  <w:r>
                    <w:rPr>
                      <w:bCs/>
                      <w:szCs w:val="21"/>
                    </w:rPr>
                    <w:t>pH</w:t>
                  </w:r>
                </w:p>
              </w:tc>
              <w:tc>
                <w:tcPr>
                  <w:tcW w:w="874" w:type="pct"/>
                  <w:vAlign w:val="center"/>
                </w:tcPr>
                <w:p w14:paraId="13B3DF0C">
                  <w:pPr>
                    <w:jc w:val="center"/>
                    <w:rPr>
                      <w:bCs/>
                      <w:szCs w:val="21"/>
                    </w:rPr>
                  </w:pPr>
                  <w:r>
                    <w:rPr>
                      <w:bCs/>
                      <w:szCs w:val="21"/>
                    </w:rPr>
                    <w:t>7.8</w:t>
                  </w:r>
                </w:p>
              </w:tc>
              <w:tc>
                <w:tcPr>
                  <w:tcW w:w="972" w:type="pct"/>
                  <w:vAlign w:val="center"/>
                </w:tcPr>
                <w:p w14:paraId="76808202">
                  <w:pPr>
                    <w:jc w:val="center"/>
                    <w:rPr>
                      <w:bCs/>
                      <w:szCs w:val="21"/>
                    </w:rPr>
                  </w:pPr>
                  <w:r>
                    <w:rPr>
                      <w:bCs/>
                      <w:szCs w:val="21"/>
                    </w:rPr>
                    <w:t>6.5-8.5</w:t>
                  </w:r>
                </w:p>
              </w:tc>
              <w:tc>
                <w:tcPr>
                  <w:tcW w:w="972" w:type="pct"/>
                  <w:vAlign w:val="center"/>
                </w:tcPr>
                <w:p w14:paraId="3585A2C8">
                  <w:pPr>
                    <w:jc w:val="center"/>
                    <w:rPr>
                      <w:bCs/>
                      <w:szCs w:val="21"/>
                    </w:rPr>
                  </w:pPr>
                  <w:r>
                    <w:rPr>
                      <w:rFonts w:hint="eastAsia"/>
                      <w:bCs/>
                      <w:szCs w:val="21"/>
                    </w:rPr>
                    <w:t>0</w:t>
                  </w:r>
                </w:p>
              </w:tc>
            </w:tr>
            <w:tr w14:paraId="669844D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4FF6B82D">
                  <w:pPr>
                    <w:jc w:val="center"/>
                    <w:rPr>
                      <w:bCs/>
                      <w:szCs w:val="21"/>
                    </w:rPr>
                  </w:pPr>
                </w:p>
              </w:tc>
              <w:tc>
                <w:tcPr>
                  <w:tcW w:w="1199" w:type="pct"/>
                  <w:vAlign w:val="center"/>
                </w:tcPr>
                <w:p w14:paraId="4704676C">
                  <w:pPr>
                    <w:jc w:val="center"/>
                    <w:rPr>
                      <w:bCs/>
                      <w:szCs w:val="21"/>
                    </w:rPr>
                  </w:pPr>
                  <w:r>
                    <w:rPr>
                      <w:rFonts w:hAnsi="宋体"/>
                      <w:bCs/>
                      <w:szCs w:val="21"/>
                    </w:rPr>
                    <w:t>氨氮</w:t>
                  </w:r>
                </w:p>
              </w:tc>
              <w:tc>
                <w:tcPr>
                  <w:tcW w:w="874" w:type="pct"/>
                  <w:vAlign w:val="center"/>
                </w:tcPr>
                <w:p w14:paraId="0F00623E">
                  <w:pPr>
                    <w:jc w:val="center"/>
                    <w:rPr>
                      <w:bCs/>
                      <w:szCs w:val="21"/>
                    </w:rPr>
                  </w:pPr>
                  <w:r>
                    <w:rPr>
                      <w:bCs/>
                      <w:szCs w:val="21"/>
                    </w:rPr>
                    <w:t>0.192</w:t>
                  </w:r>
                </w:p>
              </w:tc>
              <w:tc>
                <w:tcPr>
                  <w:tcW w:w="972" w:type="pct"/>
                  <w:vAlign w:val="center"/>
                </w:tcPr>
                <w:p w14:paraId="1CC5AD5B">
                  <w:pPr>
                    <w:jc w:val="center"/>
                    <w:rPr>
                      <w:bCs/>
                      <w:szCs w:val="21"/>
                    </w:rPr>
                  </w:pPr>
                  <w:r>
                    <w:rPr>
                      <w:bCs/>
                      <w:szCs w:val="21"/>
                    </w:rPr>
                    <w:t>0.2</w:t>
                  </w:r>
                </w:p>
              </w:tc>
              <w:tc>
                <w:tcPr>
                  <w:tcW w:w="972" w:type="pct"/>
                  <w:vAlign w:val="center"/>
                </w:tcPr>
                <w:p w14:paraId="53621067">
                  <w:pPr>
                    <w:jc w:val="center"/>
                    <w:rPr>
                      <w:bCs/>
                      <w:szCs w:val="21"/>
                    </w:rPr>
                  </w:pPr>
                  <w:r>
                    <w:rPr>
                      <w:rFonts w:hint="eastAsia"/>
                      <w:bCs/>
                      <w:szCs w:val="21"/>
                    </w:rPr>
                    <w:t>0</w:t>
                  </w:r>
                </w:p>
              </w:tc>
            </w:tr>
            <w:tr w14:paraId="72FF362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7A94C7B6">
                  <w:pPr>
                    <w:jc w:val="center"/>
                    <w:rPr>
                      <w:bCs/>
                      <w:szCs w:val="21"/>
                    </w:rPr>
                  </w:pPr>
                </w:p>
              </w:tc>
              <w:tc>
                <w:tcPr>
                  <w:tcW w:w="1199" w:type="pct"/>
                  <w:vAlign w:val="center"/>
                </w:tcPr>
                <w:p w14:paraId="38BE7D64">
                  <w:pPr>
                    <w:jc w:val="center"/>
                    <w:rPr>
                      <w:bCs/>
                      <w:szCs w:val="21"/>
                    </w:rPr>
                  </w:pPr>
                  <w:r>
                    <w:rPr>
                      <w:rFonts w:hAnsi="宋体"/>
                      <w:bCs/>
                      <w:szCs w:val="21"/>
                    </w:rPr>
                    <w:t>硝酸盐</w:t>
                  </w:r>
                </w:p>
              </w:tc>
              <w:tc>
                <w:tcPr>
                  <w:tcW w:w="874" w:type="pct"/>
                  <w:vAlign w:val="center"/>
                </w:tcPr>
                <w:p w14:paraId="7EDD2AEF">
                  <w:pPr>
                    <w:jc w:val="center"/>
                    <w:rPr>
                      <w:bCs/>
                      <w:szCs w:val="21"/>
                    </w:rPr>
                  </w:pPr>
                  <w:r>
                    <w:rPr>
                      <w:bCs/>
                      <w:szCs w:val="21"/>
                    </w:rPr>
                    <w:t>ND</w:t>
                  </w:r>
                </w:p>
              </w:tc>
              <w:tc>
                <w:tcPr>
                  <w:tcW w:w="972" w:type="pct"/>
                  <w:vAlign w:val="center"/>
                </w:tcPr>
                <w:p w14:paraId="05C50937">
                  <w:pPr>
                    <w:jc w:val="center"/>
                    <w:rPr>
                      <w:bCs/>
                      <w:szCs w:val="21"/>
                    </w:rPr>
                  </w:pPr>
                  <w:r>
                    <w:rPr>
                      <w:bCs/>
                      <w:szCs w:val="21"/>
                    </w:rPr>
                    <w:t>20</w:t>
                  </w:r>
                </w:p>
              </w:tc>
              <w:tc>
                <w:tcPr>
                  <w:tcW w:w="972" w:type="pct"/>
                  <w:vAlign w:val="center"/>
                </w:tcPr>
                <w:p w14:paraId="47A5E69C">
                  <w:pPr>
                    <w:jc w:val="center"/>
                    <w:rPr>
                      <w:bCs/>
                      <w:szCs w:val="21"/>
                    </w:rPr>
                  </w:pPr>
                  <w:r>
                    <w:rPr>
                      <w:rFonts w:hint="eastAsia"/>
                      <w:bCs/>
                      <w:szCs w:val="21"/>
                    </w:rPr>
                    <w:t>0</w:t>
                  </w:r>
                </w:p>
              </w:tc>
            </w:tr>
            <w:tr w14:paraId="5D24E01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43CD78B1">
                  <w:pPr>
                    <w:jc w:val="center"/>
                    <w:rPr>
                      <w:bCs/>
                      <w:szCs w:val="21"/>
                    </w:rPr>
                  </w:pPr>
                </w:p>
              </w:tc>
              <w:tc>
                <w:tcPr>
                  <w:tcW w:w="1199" w:type="pct"/>
                  <w:vAlign w:val="center"/>
                </w:tcPr>
                <w:p w14:paraId="3C9C0853">
                  <w:pPr>
                    <w:jc w:val="center"/>
                    <w:rPr>
                      <w:bCs/>
                      <w:szCs w:val="21"/>
                    </w:rPr>
                  </w:pPr>
                  <w:r>
                    <w:rPr>
                      <w:rFonts w:hAnsi="宋体"/>
                      <w:bCs/>
                      <w:szCs w:val="21"/>
                    </w:rPr>
                    <w:t>亚硝酸盐</w:t>
                  </w:r>
                </w:p>
              </w:tc>
              <w:tc>
                <w:tcPr>
                  <w:tcW w:w="874" w:type="pct"/>
                  <w:vAlign w:val="center"/>
                </w:tcPr>
                <w:p w14:paraId="48F832D1">
                  <w:pPr>
                    <w:jc w:val="center"/>
                    <w:rPr>
                      <w:bCs/>
                      <w:szCs w:val="21"/>
                    </w:rPr>
                  </w:pPr>
                  <w:r>
                    <w:rPr>
                      <w:bCs/>
                      <w:szCs w:val="21"/>
                    </w:rPr>
                    <w:t>ND</w:t>
                  </w:r>
                </w:p>
              </w:tc>
              <w:tc>
                <w:tcPr>
                  <w:tcW w:w="972" w:type="pct"/>
                  <w:vAlign w:val="center"/>
                </w:tcPr>
                <w:p w14:paraId="74C24D85">
                  <w:pPr>
                    <w:jc w:val="center"/>
                    <w:rPr>
                      <w:bCs/>
                      <w:szCs w:val="21"/>
                    </w:rPr>
                  </w:pPr>
                  <w:r>
                    <w:rPr>
                      <w:bCs/>
                      <w:szCs w:val="21"/>
                    </w:rPr>
                    <w:t>1.0</w:t>
                  </w:r>
                </w:p>
              </w:tc>
              <w:tc>
                <w:tcPr>
                  <w:tcW w:w="972" w:type="pct"/>
                  <w:vAlign w:val="center"/>
                </w:tcPr>
                <w:p w14:paraId="06EC4641">
                  <w:pPr>
                    <w:jc w:val="center"/>
                    <w:rPr>
                      <w:bCs/>
                      <w:szCs w:val="21"/>
                    </w:rPr>
                  </w:pPr>
                  <w:r>
                    <w:rPr>
                      <w:rFonts w:hint="eastAsia"/>
                      <w:bCs/>
                      <w:szCs w:val="21"/>
                    </w:rPr>
                    <w:t>0</w:t>
                  </w:r>
                </w:p>
              </w:tc>
            </w:tr>
            <w:tr w14:paraId="5466176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AB617CA">
                  <w:pPr>
                    <w:jc w:val="center"/>
                    <w:rPr>
                      <w:bCs/>
                      <w:szCs w:val="21"/>
                    </w:rPr>
                  </w:pPr>
                </w:p>
              </w:tc>
              <w:tc>
                <w:tcPr>
                  <w:tcW w:w="1199" w:type="pct"/>
                  <w:vAlign w:val="center"/>
                </w:tcPr>
                <w:p w14:paraId="66BB921F">
                  <w:pPr>
                    <w:jc w:val="center"/>
                    <w:rPr>
                      <w:bCs/>
                      <w:szCs w:val="21"/>
                    </w:rPr>
                  </w:pPr>
                  <w:r>
                    <w:rPr>
                      <w:rFonts w:hAnsi="宋体"/>
                      <w:bCs/>
                      <w:szCs w:val="21"/>
                    </w:rPr>
                    <w:t>挥发酚</w:t>
                  </w:r>
                </w:p>
              </w:tc>
              <w:tc>
                <w:tcPr>
                  <w:tcW w:w="874" w:type="pct"/>
                  <w:vAlign w:val="center"/>
                </w:tcPr>
                <w:p w14:paraId="44E1A520">
                  <w:pPr>
                    <w:jc w:val="center"/>
                    <w:rPr>
                      <w:bCs/>
                      <w:szCs w:val="21"/>
                    </w:rPr>
                  </w:pPr>
                  <w:r>
                    <w:rPr>
                      <w:bCs/>
                      <w:szCs w:val="21"/>
                    </w:rPr>
                    <w:t>ND</w:t>
                  </w:r>
                </w:p>
              </w:tc>
              <w:tc>
                <w:tcPr>
                  <w:tcW w:w="972" w:type="pct"/>
                  <w:vAlign w:val="center"/>
                </w:tcPr>
                <w:p w14:paraId="1F888BC0">
                  <w:pPr>
                    <w:jc w:val="center"/>
                    <w:rPr>
                      <w:bCs/>
                      <w:szCs w:val="21"/>
                    </w:rPr>
                  </w:pPr>
                  <w:r>
                    <w:rPr>
                      <w:bCs/>
                      <w:szCs w:val="21"/>
                    </w:rPr>
                    <w:t>0.002</w:t>
                  </w:r>
                </w:p>
              </w:tc>
              <w:tc>
                <w:tcPr>
                  <w:tcW w:w="972" w:type="pct"/>
                  <w:vAlign w:val="center"/>
                </w:tcPr>
                <w:p w14:paraId="0E79B527">
                  <w:pPr>
                    <w:jc w:val="center"/>
                    <w:rPr>
                      <w:bCs/>
                      <w:szCs w:val="21"/>
                    </w:rPr>
                  </w:pPr>
                  <w:r>
                    <w:rPr>
                      <w:rFonts w:hint="eastAsia"/>
                      <w:bCs/>
                      <w:szCs w:val="21"/>
                    </w:rPr>
                    <w:t>0</w:t>
                  </w:r>
                </w:p>
              </w:tc>
            </w:tr>
            <w:tr w14:paraId="67EC7DA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B9C64F1">
                  <w:pPr>
                    <w:jc w:val="center"/>
                    <w:rPr>
                      <w:bCs/>
                      <w:szCs w:val="21"/>
                    </w:rPr>
                  </w:pPr>
                </w:p>
              </w:tc>
              <w:tc>
                <w:tcPr>
                  <w:tcW w:w="1199" w:type="pct"/>
                  <w:vAlign w:val="center"/>
                </w:tcPr>
                <w:p w14:paraId="69D956ED">
                  <w:pPr>
                    <w:jc w:val="center"/>
                    <w:rPr>
                      <w:bCs/>
                      <w:szCs w:val="21"/>
                    </w:rPr>
                  </w:pPr>
                  <w:r>
                    <w:rPr>
                      <w:rFonts w:hAnsi="宋体"/>
                      <w:bCs/>
                      <w:szCs w:val="21"/>
                    </w:rPr>
                    <w:t>氰化物</w:t>
                  </w:r>
                </w:p>
              </w:tc>
              <w:tc>
                <w:tcPr>
                  <w:tcW w:w="874" w:type="pct"/>
                  <w:vAlign w:val="center"/>
                </w:tcPr>
                <w:p w14:paraId="51E8B928">
                  <w:pPr>
                    <w:jc w:val="center"/>
                    <w:rPr>
                      <w:bCs/>
                      <w:szCs w:val="21"/>
                    </w:rPr>
                  </w:pPr>
                  <w:r>
                    <w:rPr>
                      <w:bCs/>
                      <w:szCs w:val="21"/>
                    </w:rPr>
                    <w:t>ND</w:t>
                  </w:r>
                </w:p>
              </w:tc>
              <w:tc>
                <w:tcPr>
                  <w:tcW w:w="972" w:type="pct"/>
                  <w:vAlign w:val="center"/>
                </w:tcPr>
                <w:p w14:paraId="6814256C">
                  <w:pPr>
                    <w:jc w:val="center"/>
                    <w:rPr>
                      <w:bCs/>
                      <w:szCs w:val="21"/>
                    </w:rPr>
                  </w:pPr>
                  <w:r>
                    <w:rPr>
                      <w:bCs/>
                      <w:szCs w:val="21"/>
                    </w:rPr>
                    <w:t>0.05</w:t>
                  </w:r>
                </w:p>
              </w:tc>
              <w:tc>
                <w:tcPr>
                  <w:tcW w:w="972" w:type="pct"/>
                  <w:vAlign w:val="center"/>
                </w:tcPr>
                <w:p w14:paraId="3B8513DB">
                  <w:pPr>
                    <w:jc w:val="center"/>
                    <w:rPr>
                      <w:bCs/>
                      <w:szCs w:val="21"/>
                    </w:rPr>
                  </w:pPr>
                  <w:r>
                    <w:rPr>
                      <w:rFonts w:hint="eastAsia"/>
                      <w:bCs/>
                      <w:szCs w:val="21"/>
                    </w:rPr>
                    <w:t>0</w:t>
                  </w:r>
                </w:p>
              </w:tc>
            </w:tr>
            <w:tr w14:paraId="0A4BE1F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769DF65D">
                  <w:pPr>
                    <w:jc w:val="center"/>
                    <w:rPr>
                      <w:bCs/>
                      <w:szCs w:val="21"/>
                    </w:rPr>
                  </w:pPr>
                </w:p>
              </w:tc>
              <w:tc>
                <w:tcPr>
                  <w:tcW w:w="1199" w:type="pct"/>
                  <w:vAlign w:val="center"/>
                </w:tcPr>
                <w:p w14:paraId="2501478C">
                  <w:pPr>
                    <w:jc w:val="center"/>
                    <w:rPr>
                      <w:bCs/>
                      <w:szCs w:val="21"/>
                    </w:rPr>
                  </w:pPr>
                  <w:r>
                    <w:rPr>
                      <w:rFonts w:hAnsi="宋体"/>
                      <w:bCs/>
                      <w:szCs w:val="21"/>
                    </w:rPr>
                    <w:t>砷</w:t>
                  </w:r>
                </w:p>
              </w:tc>
              <w:tc>
                <w:tcPr>
                  <w:tcW w:w="874" w:type="pct"/>
                  <w:vAlign w:val="center"/>
                </w:tcPr>
                <w:p w14:paraId="3D227FC8">
                  <w:pPr>
                    <w:jc w:val="center"/>
                    <w:rPr>
                      <w:bCs/>
                      <w:szCs w:val="21"/>
                    </w:rPr>
                  </w:pPr>
                  <w:r>
                    <w:rPr>
                      <w:bCs/>
                      <w:szCs w:val="21"/>
                    </w:rPr>
                    <w:t>ND</w:t>
                  </w:r>
                </w:p>
              </w:tc>
              <w:tc>
                <w:tcPr>
                  <w:tcW w:w="972" w:type="pct"/>
                  <w:vAlign w:val="center"/>
                </w:tcPr>
                <w:p w14:paraId="6F8CDECA">
                  <w:pPr>
                    <w:jc w:val="center"/>
                    <w:rPr>
                      <w:bCs/>
                      <w:szCs w:val="21"/>
                    </w:rPr>
                  </w:pPr>
                  <w:r>
                    <w:rPr>
                      <w:bCs/>
                      <w:szCs w:val="21"/>
                    </w:rPr>
                    <w:t>0.01</w:t>
                  </w:r>
                </w:p>
              </w:tc>
              <w:tc>
                <w:tcPr>
                  <w:tcW w:w="972" w:type="pct"/>
                  <w:vAlign w:val="center"/>
                </w:tcPr>
                <w:p w14:paraId="3102307B">
                  <w:pPr>
                    <w:jc w:val="center"/>
                    <w:rPr>
                      <w:bCs/>
                      <w:szCs w:val="21"/>
                    </w:rPr>
                  </w:pPr>
                  <w:r>
                    <w:rPr>
                      <w:rFonts w:hint="eastAsia"/>
                      <w:bCs/>
                      <w:szCs w:val="21"/>
                    </w:rPr>
                    <w:t>0</w:t>
                  </w:r>
                </w:p>
              </w:tc>
            </w:tr>
            <w:tr w14:paraId="301A9A3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1C29BBCC">
                  <w:pPr>
                    <w:jc w:val="center"/>
                    <w:rPr>
                      <w:bCs/>
                      <w:szCs w:val="21"/>
                    </w:rPr>
                  </w:pPr>
                </w:p>
              </w:tc>
              <w:tc>
                <w:tcPr>
                  <w:tcW w:w="1199" w:type="pct"/>
                  <w:vAlign w:val="center"/>
                </w:tcPr>
                <w:p w14:paraId="08163184">
                  <w:pPr>
                    <w:jc w:val="center"/>
                    <w:rPr>
                      <w:bCs/>
                      <w:szCs w:val="21"/>
                    </w:rPr>
                  </w:pPr>
                  <w:r>
                    <w:rPr>
                      <w:rFonts w:hAnsi="宋体"/>
                      <w:bCs/>
                      <w:szCs w:val="21"/>
                    </w:rPr>
                    <w:t>汞</w:t>
                  </w:r>
                </w:p>
              </w:tc>
              <w:tc>
                <w:tcPr>
                  <w:tcW w:w="874" w:type="pct"/>
                  <w:vAlign w:val="center"/>
                </w:tcPr>
                <w:p w14:paraId="56765577">
                  <w:pPr>
                    <w:jc w:val="center"/>
                    <w:rPr>
                      <w:bCs/>
                      <w:szCs w:val="21"/>
                    </w:rPr>
                  </w:pPr>
                  <w:r>
                    <w:rPr>
                      <w:bCs/>
                      <w:szCs w:val="21"/>
                    </w:rPr>
                    <w:t>ND</w:t>
                  </w:r>
                </w:p>
              </w:tc>
              <w:tc>
                <w:tcPr>
                  <w:tcW w:w="972" w:type="pct"/>
                  <w:vAlign w:val="center"/>
                </w:tcPr>
                <w:p w14:paraId="14B99F22">
                  <w:pPr>
                    <w:jc w:val="center"/>
                    <w:rPr>
                      <w:bCs/>
                      <w:szCs w:val="21"/>
                    </w:rPr>
                  </w:pPr>
                  <w:r>
                    <w:rPr>
                      <w:bCs/>
                      <w:szCs w:val="21"/>
                    </w:rPr>
                    <w:t>0.001</w:t>
                  </w:r>
                </w:p>
              </w:tc>
              <w:tc>
                <w:tcPr>
                  <w:tcW w:w="972" w:type="pct"/>
                  <w:vAlign w:val="center"/>
                </w:tcPr>
                <w:p w14:paraId="66DBD9BD">
                  <w:pPr>
                    <w:jc w:val="center"/>
                    <w:rPr>
                      <w:bCs/>
                      <w:szCs w:val="21"/>
                    </w:rPr>
                  </w:pPr>
                  <w:r>
                    <w:rPr>
                      <w:rFonts w:hint="eastAsia"/>
                      <w:bCs/>
                      <w:szCs w:val="21"/>
                    </w:rPr>
                    <w:t>0</w:t>
                  </w:r>
                </w:p>
              </w:tc>
            </w:tr>
            <w:tr w14:paraId="4BA5990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079B1909">
                  <w:pPr>
                    <w:jc w:val="center"/>
                    <w:rPr>
                      <w:bCs/>
                      <w:szCs w:val="21"/>
                    </w:rPr>
                  </w:pPr>
                </w:p>
              </w:tc>
              <w:tc>
                <w:tcPr>
                  <w:tcW w:w="1199" w:type="pct"/>
                  <w:vAlign w:val="center"/>
                </w:tcPr>
                <w:p w14:paraId="641C14B5">
                  <w:pPr>
                    <w:jc w:val="center"/>
                    <w:rPr>
                      <w:bCs/>
                      <w:szCs w:val="21"/>
                    </w:rPr>
                  </w:pPr>
                  <w:r>
                    <w:rPr>
                      <w:rFonts w:hAnsi="宋体"/>
                      <w:bCs/>
                      <w:szCs w:val="21"/>
                    </w:rPr>
                    <w:t>六价铬</w:t>
                  </w:r>
                </w:p>
              </w:tc>
              <w:tc>
                <w:tcPr>
                  <w:tcW w:w="874" w:type="pct"/>
                  <w:vAlign w:val="center"/>
                </w:tcPr>
                <w:p w14:paraId="24534490">
                  <w:pPr>
                    <w:jc w:val="center"/>
                    <w:rPr>
                      <w:bCs/>
                      <w:szCs w:val="21"/>
                    </w:rPr>
                  </w:pPr>
                  <w:r>
                    <w:rPr>
                      <w:bCs/>
                      <w:szCs w:val="21"/>
                    </w:rPr>
                    <w:t>ND</w:t>
                  </w:r>
                </w:p>
              </w:tc>
              <w:tc>
                <w:tcPr>
                  <w:tcW w:w="972" w:type="pct"/>
                  <w:vAlign w:val="center"/>
                </w:tcPr>
                <w:p w14:paraId="297A15DD">
                  <w:pPr>
                    <w:jc w:val="center"/>
                    <w:rPr>
                      <w:bCs/>
                      <w:szCs w:val="21"/>
                    </w:rPr>
                  </w:pPr>
                  <w:r>
                    <w:rPr>
                      <w:bCs/>
                      <w:szCs w:val="21"/>
                    </w:rPr>
                    <w:t>0.05</w:t>
                  </w:r>
                </w:p>
              </w:tc>
              <w:tc>
                <w:tcPr>
                  <w:tcW w:w="972" w:type="pct"/>
                  <w:vAlign w:val="center"/>
                </w:tcPr>
                <w:p w14:paraId="30B56121">
                  <w:pPr>
                    <w:jc w:val="center"/>
                    <w:rPr>
                      <w:bCs/>
                      <w:szCs w:val="21"/>
                    </w:rPr>
                  </w:pPr>
                  <w:r>
                    <w:rPr>
                      <w:rFonts w:hint="eastAsia"/>
                      <w:bCs/>
                      <w:szCs w:val="21"/>
                    </w:rPr>
                    <w:t>0</w:t>
                  </w:r>
                </w:p>
              </w:tc>
            </w:tr>
            <w:tr w14:paraId="6D7AD497">
              <w:tblPrEx>
                <w:tblCellMar>
                  <w:top w:w="0" w:type="dxa"/>
                  <w:left w:w="108" w:type="dxa"/>
                  <w:bottom w:w="0" w:type="dxa"/>
                  <w:right w:w="108" w:type="dxa"/>
                </w:tblCellMar>
              </w:tblPrEx>
              <w:trPr>
                <w:trHeight w:val="397" w:hRule="atLeast"/>
                <w:jc w:val="center"/>
              </w:trPr>
              <w:tc>
                <w:tcPr>
                  <w:tcW w:w="983" w:type="pct"/>
                  <w:vMerge w:val="continue"/>
                  <w:vAlign w:val="center"/>
                </w:tcPr>
                <w:p w14:paraId="2AED526E">
                  <w:pPr>
                    <w:widowControl/>
                    <w:jc w:val="center"/>
                    <w:rPr>
                      <w:bCs/>
                      <w:szCs w:val="21"/>
                    </w:rPr>
                  </w:pPr>
                </w:p>
              </w:tc>
              <w:tc>
                <w:tcPr>
                  <w:tcW w:w="1199" w:type="pct"/>
                  <w:vAlign w:val="center"/>
                </w:tcPr>
                <w:p w14:paraId="6D7FFD1B">
                  <w:pPr>
                    <w:jc w:val="center"/>
                    <w:rPr>
                      <w:bCs/>
                      <w:szCs w:val="21"/>
                    </w:rPr>
                  </w:pPr>
                  <w:r>
                    <w:rPr>
                      <w:rFonts w:hAnsi="宋体"/>
                      <w:bCs/>
                      <w:szCs w:val="21"/>
                    </w:rPr>
                    <w:t>总硬度</w:t>
                  </w:r>
                </w:p>
              </w:tc>
              <w:tc>
                <w:tcPr>
                  <w:tcW w:w="874" w:type="pct"/>
                  <w:vAlign w:val="center"/>
                </w:tcPr>
                <w:p w14:paraId="621DE905">
                  <w:pPr>
                    <w:jc w:val="center"/>
                    <w:rPr>
                      <w:bCs/>
                      <w:szCs w:val="21"/>
                    </w:rPr>
                  </w:pPr>
                  <w:r>
                    <w:rPr>
                      <w:bCs/>
                      <w:szCs w:val="21"/>
                    </w:rPr>
                    <w:t>325</w:t>
                  </w:r>
                </w:p>
              </w:tc>
              <w:tc>
                <w:tcPr>
                  <w:tcW w:w="972" w:type="pct"/>
                  <w:vAlign w:val="center"/>
                </w:tcPr>
                <w:p w14:paraId="30815A88">
                  <w:pPr>
                    <w:jc w:val="center"/>
                    <w:rPr>
                      <w:bCs/>
                      <w:szCs w:val="21"/>
                    </w:rPr>
                  </w:pPr>
                  <w:r>
                    <w:rPr>
                      <w:bCs/>
                      <w:szCs w:val="21"/>
                    </w:rPr>
                    <w:t>450</w:t>
                  </w:r>
                </w:p>
              </w:tc>
              <w:tc>
                <w:tcPr>
                  <w:tcW w:w="972" w:type="pct"/>
                  <w:vAlign w:val="center"/>
                </w:tcPr>
                <w:p w14:paraId="384E2273">
                  <w:pPr>
                    <w:jc w:val="center"/>
                    <w:rPr>
                      <w:bCs/>
                      <w:szCs w:val="21"/>
                    </w:rPr>
                  </w:pPr>
                  <w:r>
                    <w:rPr>
                      <w:rFonts w:hint="eastAsia"/>
                      <w:bCs/>
                      <w:szCs w:val="21"/>
                    </w:rPr>
                    <w:t>0</w:t>
                  </w:r>
                </w:p>
              </w:tc>
            </w:tr>
            <w:tr w14:paraId="3616305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1C3AA61C">
                  <w:pPr>
                    <w:widowControl/>
                    <w:jc w:val="center"/>
                    <w:rPr>
                      <w:bCs/>
                      <w:szCs w:val="21"/>
                    </w:rPr>
                  </w:pPr>
                </w:p>
              </w:tc>
              <w:tc>
                <w:tcPr>
                  <w:tcW w:w="1199" w:type="pct"/>
                  <w:vAlign w:val="center"/>
                </w:tcPr>
                <w:p w14:paraId="11034063">
                  <w:pPr>
                    <w:jc w:val="center"/>
                    <w:rPr>
                      <w:bCs/>
                      <w:szCs w:val="21"/>
                    </w:rPr>
                  </w:pPr>
                  <w:r>
                    <w:rPr>
                      <w:rFonts w:hAnsi="宋体"/>
                      <w:bCs/>
                      <w:szCs w:val="21"/>
                    </w:rPr>
                    <w:t>铅</w:t>
                  </w:r>
                  <w:r>
                    <w:rPr>
                      <w:bCs/>
                      <w:szCs w:val="21"/>
                    </w:rPr>
                    <w:t>(μg/L)</w:t>
                  </w:r>
                </w:p>
              </w:tc>
              <w:tc>
                <w:tcPr>
                  <w:tcW w:w="874" w:type="pct"/>
                  <w:vAlign w:val="center"/>
                </w:tcPr>
                <w:p w14:paraId="44C9E2FE">
                  <w:pPr>
                    <w:jc w:val="center"/>
                    <w:rPr>
                      <w:bCs/>
                      <w:szCs w:val="21"/>
                    </w:rPr>
                  </w:pPr>
                  <w:r>
                    <w:rPr>
                      <w:bCs/>
                      <w:szCs w:val="21"/>
                    </w:rPr>
                    <w:t>ND</w:t>
                  </w:r>
                </w:p>
              </w:tc>
              <w:tc>
                <w:tcPr>
                  <w:tcW w:w="972" w:type="pct"/>
                  <w:vAlign w:val="center"/>
                </w:tcPr>
                <w:p w14:paraId="1015F9A0">
                  <w:pPr>
                    <w:jc w:val="center"/>
                    <w:rPr>
                      <w:bCs/>
                      <w:szCs w:val="21"/>
                    </w:rPr>
                  </w:pPr>
                  <w:r>
                    <w:rPr>
                      <w:bCs/>
                      <w:szCs w:val="21"/>
                    </w:rPr>
                    <w:t>0.01</w:t>
                  </w:r>
                </w:p>
              </w:tc>
              <w:tc>
                <w:tcPr>
                  <w:tcW w:w="972" w:type="pct"/>
                  <w:vAlign w:val="center"/>
                </w:tcPr>
                <w:p w14:paraId="09C865E0">
                  <w:pPr>
                    <w:jc w:val="center"/>
                    <w:rPr>
                      <w:bCs/>
                      <w:szCs w:val="21"/>
                    </w:rPr>
                  </w:pPr>
                  <w:r>
                    <w:rPr>
                      <w:rFonts w:hint="eastAsia"/>
                      <w:bCs/>
                      <w:szCs w:val="21"/>
                    </w:rPr>
                    <w:t>0</w:t>
                  </w:r>
                </w:p>
              </w:tc>
            </w:tr>
            <w:tr w14:paraId="1108E975">
              <w:tblPrEx>
                <w:tblCellMar>
                  <w:top w:w="0" w:type="dxa"/>
                  <w:left w:w="108" w:type="dxa"/>
                  <w:bottom w:w="0" w:type="dxa"/>
                  <w:right w:w="108" w:type="dxa"/>
                </w:tblCellMar>
              </w:tblPrEx>
              <w:trPr>
                <w:trHeight w:val="397" w:hRule="atLeast"/>
                <w:jc w:val="center"/>
              </w:trPr>
              <w:tc>
                <w:tcPr>
                  <w:tcW w:w="983" w:type="pct"/>
                  <w:vMerge w:val="continue"/>
                  <w:vAlign w:val="center"/>
                </w:tcPr>
                <w:p w14:paraId="0C4847F4">
                  <w:pPr>
                    <w:widowControl/>
                    <w:jc w:val="center"/>
                    <w:rPr>
                      <w:bCs/>
                      <w:szCs w:val="21"/>
                    </w:rPr>
                  </w:pPr>
                </w:p>
              </w:tc>
              <w:tc>
                <w:tcPr>
                  <w:tcW w:w="1199" w:type="pct"/>
                  <w:vAlign w:val="center"/>
                </w:tcPr>
                <w:p w14:paraId="4BFD1BC7">
                  <w:pPr>
                    <w:jc w:val="center"/>
                    <w:rPr>
                      <w:bCs/>
                      <w:szCs w:val="21"/>
                    </w:rPr>
                  </w:pPr>
                  <w:r>
                    <w:rPr>
                      <w:rFonts w:hAnsi="宋体"/>
                      <w:bCs/>
                      <w:szCs w:val="21"/>
                    </w:rPr>
                    <w:t>氟化物</w:t>
                  </w:r>
                </w:p>
              </w:tc>
              <w:tc>
                <w:tcPr>
                  <w:tcW w:w="874" w:type="pct"/>
                  <w:vAlign w:val="center"/>
                </w:tcPr>
                <w:p w14:paraId="481F8DB7">
                  <w:pPr>
                    <w:jc w:val="center"/>
                    <w:rPr>
                      <w:bCs/>
                      <w:szCs w:val="21"/>
                    </w:rPr>
                  </w:pPr>
                  <w:r>
                    <w:rPr>
                      <w:bCs/>
                      <w:szCs w:val="21"/>
                    </w:rPr>
                    <w:t>0.57</w:t>
                  </w:r>
                </w:p>
              </w:tc>
              <w:tc>
                <w:tcPr>
                  <w:tcW w:w="972" w:type="pct"/>
                  <w:vAlign w:val="center"/>
                </w:tcPr>
                <w:p w14:paraId="7D8C78F2">
                  <w:pPr>
                    <w:jc w:val="center"/>
                    <w:rPr>
                      <w:bCs/>
                      <w:szCs w:val="21"/>
                    </w:rPr>
                  </w:pPr>
                  <w:r>
                    <w:rPr>
                      <w:bCs/>
                      <w:szCs w:val="21"/>
                    </w:rPr>
                    <w:t>1.0</w:t>
                  </w:r>
                </w:p>
              </w:tc>
              <w:tc>
                <w:tcPr>
                  <w:tcW w:w="972" w:type="pct"/>
                  <w:vAlign w:val="center"/>
                </w:tcPr>
                <w:p w14:paraId="6269FBAD">
                  <w:pPr>
                    <w:jc w:val="center"/>
                    <w:rPr>
                      <w:bCs/>
                      <w:szCs w:val="21"/>
                    </w:rPr>
                  </w:pPr>
                  <w:r>
                    <w:rPr>
                      <w:rFonts w:hint="eastAsia"/>
                      <w:bCs/>
                      <w:szCs w:val="21"/>
                    </w:rPr>
                    <w:t>0</w:t>
                  </w:r>
                </w:p>
              </w:tc>
            </w:tr>
            <w:tr w14:paraId="3C55217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1DF0E5A1">
                  <w:pPr>
                    <w:widowControl/>
                    <w:jc w:val="center"/>
                    <w:rPr>
                      <w:bCs/>
                      <w:szCs w:val="21"/>
                    </w:rPr>
                  </w:pPr>
                </w:p>
              </w:tc>
              <w:tc>
                <w:tcPr>
                  <w:tcW w:w="1199" w:type="pct"/>
                  <w:vAlign w:val="center"/>
                </w:tcPr>
                <w:p w14:paraId="3DA606D6">
                  <w:pPr>
                    <w:jc w:val="center"/>
                    <w:rPr>
                      <w:bCs/>
                      <w:szCs w:val="21"/>
                    </w:rPr>
                  </w:pPr>
                  <w:r>
                    <w:rPr>
                      <w:rFonts w:hAnsi="宋体"/>
                      <w:bCs/>
                      <w:szCs w:val="21"/>
                    </w:rPr>
                    <w:t>镉</w:t>
                  </w:r>
                  <w:r>
                    <w:rPr>
                      <w:bCs/>
                      <w:szCs w:val="21"/>
                    </w:rPr>
                    <w:t>(μg/L)</w:t>
                  </w:r>
                </w:p>
              </w:tc>
              <w:tc>
                <w:tcPr>
                  <w:tcW w:w="874" w:type="pct"/>
                  <w:vAlign w:val="center"/>
                </w:tcPr>
                <w:p w14:paraId="2561262C">
                  <w:pPr>
                    <w:jc w:val="center"/>
                    <w:rPr>
                      <w:bCs/>
                      <w:szCs w:val="21"/>
                    </w:rPr>
                  </w:pPr>
                  <w:r>
                    <w:rPr>
                      <w:bCs/>
                      <w:szCs w:val="21"/>
                    </w:rPr>
                    <w:t>0.002</w:t>
                  </w:r>
                </w:p>
              </w:tc>
              <w:tc>
                <w:tcPr>
                  <w:tcW w:w="972" w:type="pct"/>
                  <w:vAlign w:val="center"/>
                </w:tcPr>
                <w:p w14:paraId="1B022514">
                  <w:pPr>
                    <w:jc w:val="center"/>
                    <w:rPr>
                      <w:bCs/>
                      <w:szCs w:val="21"/>
                    </w:rPr>
                  </w:pPr>
                  <w:r>
                    <w:rPr>
                      <w:bCs/>
                      <w:szCs w:val="21"/>
                    </w:rPr>
                    <w:t>0.005</w:t>
                  </w:r>
                </w:p>
              </w:tc>
              <w:tc>
                <w:tcPr>
                  <w:tcW w:w="972" w:type="pct"/>
                  <w:vAlign w:val="center"/>
                </w:tcPr>
                <w:p w14:paraId="008C067E">
                  <w:pPr>
                    <w:jc w:val="center"/>
                    <w:rPr>
                      <w:bCs/>
                      <w:szCs w:val="21"/>
                    </w:rPr>
                  </w:pPr>
                  <w:r>
                    <w:rPr>
                      <w:rFonts w:hint="eastAsia"/>
                      <w:bCs/>
                      <w:szCs w:val="21"/>
                    </w:rPr>
                    <w:t>0</w:t>
                  </w:r>
                </w:p>
              </w:tc>
            </w:tr>
            <w:tr w14:paraId="4B95BCB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28F2C594">
                  <w:pPr>
                    <w:widowControl/>
                    <w:jc w:val="center"/>
                    <w:rPr>
                      <w:bCs/>
                      <w:szCs w:val="21"/>
                    </w:rPr>
                  </w:pPr>
                </w:p>
              </w:tc>
              <w:tc>
                <w:tcPr>
                  <w:tcW w:w="1199" w:type="pct"/>
                  <w:vAlign w:val="center"/>
                </w:tcPr>
                <w:p w14:paraId="04927A56">
                  <w:pPr>
                    <w:jc w:val="center"/>
                    <w:rPr>
                      <w:bCs/>
                      <w:szCs w:val="21"/>
                    </w:rPr>
                  </w:pPr>
                  <w:r>
                    <w:rPr>
                      <w:rFonts w:hAnsi="宋体"/>
                      <w:bCs/>
                      <w:szCs w:val="21"/>
                    </w:rPr>
                    <w:t>铁</w:t>
                  </w:r>
                </w:p>
              </w:tc>
              <w:tc>
                <w:tcPr>
                  <w:tcW w:w="874" w:type="pct"/>
                  <w:vAlign w:val="center"/>
                </w:tcPr>
                <w:p w14:paraId="026BF83B">
                  <w:pPr>
                    <w:jc w:val="center"/>
                    <w:rPr>
                      <w:bCs/>
                      <w:szCs w:val="21"/>
                    </w:rPr>
                  </w:pPr>
                  <w:r>
                    <w:rPr>
                      <w:bCs/>
                      <w:szCs w:val="21"/>
                    </w:rPr>
                    <w:t>ND</w:t>
                  </w:r>
                </w:p>
              </w:tc>
              <w:tc>
                <w:tcPr>
                  <w:tcW w:w="972" w:type="pct"/>
                  <w:vAlign w:val="center"/>
                </w:tcPr>
                <w:p w14:paraId="031EB1C0">
                  <w:pPr>
                    <w:jc w:val="center"/>
                    <w:rPr>
                      <w:bCs/>
                      <w:szCs w:val="21"/>
                    </w:rPr>
                  </w:pPr>
                  <w:r>
                    <w:rPr>
                      <w:bCs/>
                      <w:szCs w:val="21"/>
                    </w:rPr>
                    <w:t>0.3</w:t>
                  </w:r>
                </w:p>
              </w:tc>
              <w:tc>
                <w:tcPr>
                  <w:tcW w:w="972" w:type="pct"/>
                  <w:vAlign w:val="center"/>
                </w:tcPr>
                <w:p w14:paraId="7772ED6B">
                  <w:pPr>
                    <w:jc w:val="center"/>
                    <w:rPr>
                      <w:bCs/>
                      <w:szCs w:val="21"/>
                    </w:rPr>
                  </w:pPr>
                  <w:r>
                    <w:rPr>
                      <w:rFonts w:hint="eastAsia"/>
                      <w:bCs/>
                      <w:szCs w:val="21"/>
                    </w:rPr>
                    <w:t>0</w:t>
                  </w:r>
                </w:p>
              </w:tc>
            </w:tr>
            <w:tr w14:paraId="6921C95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4A75782A">
                  <w:pPr>
                    <w:widowControl/>
                    <w:jc w:val="center"/>
                    <w:rPr>
                      <w:bCs/>
                      <w:szCs w:val="21"/>
                    </w:rPr>
                  </w:pPr>
                </w:p>
              </w:tc>
              <w:tc>
                <w:tcPr>
                  <w:tcW w:w="1199" w:type="pct"/>
                  <w:vAlign w:val="center"/>
                </w:tcPr>
                <w:p w14:paraId="178FC498">
                  <w:pPr>
                    <w:jc w:val="center"/>
                    <w:rPr>
                      <w:bCs/>
                      <w:szCs w:val="21"/>
                    </w:rPr>
                  </w:pPr>
                  <w:r>
                    <w:rPr>
                      <w:rFonts w:hAnsi="宋体"/>
                      <w:bCs/>
                      <w:szCs w:val="21"/>
                    </w:rPr>
                    <w:t>锰</w:t>
                  </w:r>
                </w:p>
              </w:tc>
              <w:tc>
                <w:tcPr>
                  <w:tcW w:w="874" w:type="pct"/>
                  <w:vAlign w:val="center"/>
                </w:tcPr>
                <w:p w14:paraId="0175ACD3">
                  <w:pPr>
                    <w:jc w:val="center"/>
                    <w:rPr>
                      <w:bCs/>
                      <w:szCs w:val="21"/>
                    </w:rPr>
                  </w:pPr>
                  <w:r>
                    <w:rPr>
                      <w:bCs/>
                      <w:szCs w:val="21"/>
                    </w:rPr>
                    <w:t>ND</w:t>
                  </w:r>
                </w:p>
              </w:tc>
              <w:tc>
                <w:tcPr>
                  <w:tcW w:w="972" w:type="pct"/>
                  <w:vAlign w:val="center"/>
                </w:tcPr>
                <w:p w14:paraId="1A73D792">
                  <w:pPr>
                    <w:jc w:val="center"/>
                    <w:rPr>
                      <w:bCs/>
                      <w:szCs w:val="21"/>
                    </w:rPr>
                  </w:pPr>
                  <w:r>
                    <w:rPr>
                      <w:bCs/>
                      <w:szCs w:val="21"/>
                    </w:rPr>
                    <w:t>0.10</w:t>
                  </w:r>
                </w:p>
              </w:tc>
              <w:tc>
                <w:tcPr>
                  <w:tcW w:w="972" w:type="pct"/>
                  <w:vAlign w:val="center"/>
                </w:tcPr>
                <w:p w14:paraId="2C3C9CB3">
                  <w:pPr>
                    <w:jc w:val="center"/>
                    <w:rPr>
                      <w:bCs/>
                      <w:szCs w:val="21"/>
                    </w:rPr>
                  </w:pPr>
                  <w:r>
                    <w:rPr>
                      <w:rFonts w:hint="eastAsia"/>
                      <w:bCs/>
                      <w:szCs w:val="21"/>
                    </w:rPr>
                    <w:t>0</w:t>
                  </w:r>
                </w:p>
              </w:tc>
            </w:tr>
            <w:tr w14:paraId="0B0FD82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5036EB82">
                  <w:pPr>
                    <w:widowControl/>
                    <w:jc w:val="center"/>
                    <w:rPr>
                      <w:bCs/>
                      <w:szCs w:val="21"/>
                    </w:rPr>
                  </w:pPr>
                </w:p>
              </w:tc>
              <w:tc>
                <w:tcPr>
                  <w:tcW w:w="1199" w:type="pct"/>
                  <w:vAlign w:val="center"/>
                </w:tcPr>
                <w:p w14:paraId="65F5BFFA">
                  <w:pPr>
                    <w:pStyle w:val="62"/>
                    <w:ind w:firstLine="0"/>
                    <w:jc w:val="center"/>
                    <w:rPr>
                      <w:rFonts w:ascii="Times New Roman" w:eastAsia="宋体"/>
                      <w:b w:val="0"/>
                      <w:bCs/>
                      <w:sz w:val="21"/>
                      <w:szCs w:val="21"/>
                    </w:rPr>
                  </w:pPr>
                  <w:r>
                    <w:rPr>
                      <w:rFonts w:ascii="Times New Roman" w:hAnsi="宋体" w:eastAsia="宋体"/>
                      <w:b w:val="0"/>
                      <w:bCs/>
                      <w:sz w:val="21"/>
                      <w:szCs w:val="21"/>
                    </w:rPr>
                    <w:t>溶解性总固体</w:t>
                  </w:r>
                </w:p>
              </w:tc>
              <w:tc>
                <w:tcPr>
                  <w:tcW w:w="874" w:type="pct"/>
                  <w:vAlign w:val="center"/>
                </w:tcPr>
                <w:p w14:paraId="1FD2CD49">
                  <w:pPr>
                    <w:jc w:val="center"/>
                    <w:rPr>
                      <w:bCs/>
                      <w:szCs w:val="21"/>
                    </w:rPr>
                  </w:pPr>
                  <w:r>
                    <w:rPr>
                      <w:bCs/>
                      <w:szCs w:val="21"/>
                    </w:rPr>
                    <w:t>438</w:t>
                  </w:r>
                </w:p>
              </w:tc>
              <w:tc>
                <w:tcPr>
                  <w:tcW w:w="972" w:type="pct"/>
                  <w:vAlign w:val="center"/>
                </w:tcPr>
                <w:p w14:paraId="751A3FD6">
                  <w:pPr>
                    <w:jc w:val="center"/>
                    <w:rPr>
                      <w:bCs/>
                      <w:szCs w:val="21"/>
                    </w:rPr>
                  </w:pPr>
                  <w:r>
                    <w:rPr>
                      <w:bCs/>
                      <w:szCs w:val="21"/>
                    </w:rPr>
                    <w:t>1000</w:t>
                  </w:r>
                </w:p>
              </w:tc>
              <w:tc>
                <w:tcPr>
                  <w:tcW w:w="972" w:type="pct"/>
                  <w:vAlign w:val="center"/>
                </w:tcPr>
                <w:p w14:paraId="5D4901DA">
                  <w:pPr>
                    <w:jc w:val="center"/>
                    <w:rPr>
                      <w:bCs/>
                      <w:szCs w:val="21"/>
                    </w:rPr>
                  </w:pPr>
                  <w:r>
                    <w:rPr>
                      <w:rFonts w:hint="eastAsia"/>
                      <w:bCs/>
                      <w:szCs w:val="21"/>
                    </w:rPr>
                    <w:t>0</w:t>
                  </w:r>
                </w:p>
              </w:tc>
            </w:tr>
            <w:tr w14:paraId="00FF3BF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79E4EB52">
                  <w:pPr>
                    <w:widowControl/>
                    <w:jc w:val="center"/>
                    <w:rPr>
                      <w:bCs/>
                      <w:szCs w:val="21"/>
                    </w:rPr>
                  </w:pPr>
                </w:p>
              </w:tc>
              <w:tc>
                <w:tcPr>
                  <w:tcW w:w="1199" w:type="pct"/>
                  <w:vAlign w:val="center"/>
                </w:tcPr>
                <w:p w14:paraId="5E2492BC">
                  <w:pPr>
                    <w:tabs>
                      <w:tab w:val="left" w:pos="5910"/>
                    </w:tabs>
                    <w:jc w:val="center"/>
                    <w:rPr>
                      <w:bCs/>
                      <w:szCs w:val="21"/>
                    </w:rPr>
                  </w:pPr>
                  <w:r>
                    <w:rPr>
                      <w:rFonts w:hAnsi="宋体"/>
                      <w:bCs/>
                      <w:szCs w:val="21"/>
                    </w:rPr>
                    <w:t>高锰酸盐指数</w:t>
                  </w:r>
                </w:p>
                <w:p w14:paraId="3C1E3081">
                  <w:pPr>
                    <w:tabs>
                      <w:tab w:val="left" w:pos="5910"/>
                    </w:tabs>
                    <w:jc w:val="center"/>
                    <w:rPr>
                      <w:bCs/>
                      <w:szCs w:val="21"/>
                    </w:rPr>
                  </w:pPr>
                  <w:r>
                    <w:rPr>
                      <w:rFonts w:hAnsi="宋体"/>
                      <w:bCs/>
                      <w:szCs w:val="21"/>
                    </w:rPr>
                    <w:t>（耗氧量）</w:t>
                  </w:r>
                </w:p>
              </w:tc>
              <w:tc>
                <w:tcPr>
                  <w:tcW w:w="874" w:type="pct"/>
                  <w:vAlign w:val="center"/>
                </w:tcPr>
                <w:p w14:paraId="6D37A884">
                  <w:pPr>
                    <w:jc w:val="center"/>
                    <w:rPr>
                      <w:bCs/>
                      <w:szCs w:val="21"/>
                    </w:rPr>
                  </w:pPr>
                  <w:r>
                    <w:rPr>
                      <w:bCs/>
                      <w:szCs w:val="21"/>
                    </w:rPr>
                    <w:t>1.2</w:t>
                  </w:r>
                </w:p>
              </w:tc>
              <w:tc>
                <w:tcPr>
                  <w:tcW w:w="972" w:type="pct"/>
                  <w:vAlign w:val="center"/>
                </w:tcPr>
                <w:p w14:paraId="0B48C020">
                  <w:pPr>
                    <w:jc w:val="center"/>
                    <w:rPr>
                      <w:bCs/>
                      <w:szCs w:val="21"/>
                    </w:rPr>
                  </w:pPr>
                  <w:r>
                    <w:rPr>
                      <w:bCs/>
                      <w:szCs w:val="21"/>
                    </w:rPr>
                    <w:t>3.0</w:t>
                  </w:r>
                </w:p>
              </w:tc>
              <w:tc>
                <w:tcPr>
                  <w:tcW w:w="972" w:type="pct"/>
                  <w:vAlign w:val="center"/>
                </w:tcPr>
                <w:p w14:paraId="3571B5ED">
                  <w:pPr>
                    <w:jc w:val="center"/>
                    <w:rPr>
                      <w:bCs/>
                      <w:szCs w:val="21"/>
                    </w:rPr>
                  </w:pPr>
                  <w:r>
                    <w:rPr>
                      <w:rFonts w:hint="eastAsia"/>
                      <w:bCs/>
                      <w:szCs w:val="21"/>
                    </w:rPr>
                    <w:t>0</w:t>
                  </w:r>
                </w:p>
              </w:tc>
            </w:tr>
            <w:tr w14:paraId="40FAC76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5AABDF8C">
                  <w:pPr>
                    <w:widowControl/>
                    <w:jc w:val="center"/>
                    <w:rPr>
                      <w:bCs/>
                      <w:szCs w:val="21"/>
                    </w:rPr>
                  </w:pPr>
                </w:p>
              </w:tc>
              <w:tc>
                <w:tcPr>
                  <w:tcW w:w="1199" w:type="pct"/>
                  <w:vAlign w:val="center"/>
                </w:tcPr>
                <w:p w14:paraId="0EABEAE2">
                  <w:pPr>
                    <w:pStyle w:val="62"/>
                    <w:ind w:firstLine="0"/>
                    <w:jc w:val="center"/>
                    <w:rPr>
                      <w:rFonts w:ascii="Times New Roman" w:eastAsia="宋体"/>
                      <w:b w:val="0"/>
                      <w:bCs/>
                      <w:sz w:val="21"/>
                      <w:szCs w:val="21"/>
                    </w:rPr>
                  </w:pPr>
                  <w:r>
                    <w:rPr>
                      <w:rFonts w:ascii="Times New Roman" w:hAnsi="宋体" w:eastAsia="宋体"/>
                      <w:b w:val="0"/>
                      <w:bCs/>
                      <w:sz w:val="21"/>
                      <w:szCs w:val="21"/>
                    </w:rPr>
                    <w:t>硫酸盐</w:t>
                  </w:r>
                </w:p>
              </w:tc>
              <w:tc>
                <w:tcPr>
                  <w:tcW w:w="874" w:type="pct"/>
                  <w:vAlign w:val="center"/>
                </w:tcPr>
                <w:p w14:paraId="745EAA0E">
                  <w:pPr>
                    <w:jc w:val="center"/>
                    <w:rPr>
                      <w:bCs/>
                      <w:szCs w:val="21"/>
                    </w:rPr>
                  </w:pPr>
                  <w:r>
                    <w:rPr>
                      <w:bCs/>
                      <w:szCs w:val="21"/>
                    </w:rPr>
                    <w:t>113</w:t>
                  </w:r>
                </w:p>
              </w:tc>
              <w:tc>
                <w:tcPr>
                  <w:tcW w:w="972" w:type="pct"/>
                  <w:vAlign w:val="center"/>
                </w:tcPr>
                <w:p w14:paraId="6EAEBFA3">
                  <w:pPr>
                    <w:jc w:val="center"/>
                    <w:rPr>
                      <w:bCs/>
                      <w:szCs w:val="21"/>
                    </w:rPr>
                  </w:pPr>
                  <w:r>
                    <w:rPr>
                      <w:bCs/>
                      <w:szCs w:val="21"/>
                    </w:rPr>
                    <w:t>450</w:t>
                  </w:r>
                </w:p>
              </w:tc>
              <w:tc>
                <w:tcPr>
                  <w:tcW w:w="972" w:type="pct"/>
                  <w:vAlign w:val="center"/>
                </w:tcPr>
                <w:p w14:paraId="411B3DEB">
                  <w:pPr>
                    <w:jc w:val="center"/>
                    <w:rPr>
                      <w:bCs/>
                      <w:szCs w:val="21"/>
                    </w:rPr>
                  </w:pPr>
                  <w:r>
                    <w:rPr>
                      <w:rFonts w:hint="eastAsia"/>
                      <w:bCs/>
                      <w:szCs w:val="21"/>
                    </w:rPr>
                    <w:t>0</w:t>
                  </w:r>
                </w:p>
              </w:tc>
            </w:tr>
            <w:tr w14:paraId="7D98AA4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FC17A22">
                  <w:pPr>
                    <w:widowControl/>
                    <w:jc w:val="center"/>
                    <w:rPr>
                      <w:bCs/>
                      <w:szCs w:val="21"/>
                    </w:rPr>
                  </w:pPr>
                </w:p>
              </w:tc>
              <w:tc>
                <w:tcPr>
                  <w:tcW w:w="1199" w:type="pct"/>
                  <w:vAlign w:val="center"/>
                </w:tcPr>
                <w:p w14:paraId="6C776CE0">
                  <w:pPr>
                    <w:tabs>
                      <w:tab w:val="left" w:pos="5910"/>
                    </w:tabs>
                    <w:jc w:val="center"/>
                    <w:rPr>
                      <w:bCs/>
                      <w:szCs w:val="21"/>
                    </w:rPr>
                  </w:pPr>
                  <w:r>
                    <w:rPr>
                      <w:rFonts w:hAnsi="宋体"/>
                      <w:bCs/>
                      <w:szCs w:val="21"/>
                    </w:rPr>
                    <w:t>氯化物</w:t>
                  </w:r>
                </w:p>
              </w:tc>
              <w:tc>
                <w:tcPr>
                  <w:tcW w:w="874" w:type="pct"/>
                  <w:vAlign w:val="center"/>
                </w:tcPr>
                <w:p w14:paraId="3C98B766">
                  <w:pPr>
                    <w:jc w:val="center"/>
                    <w:rPr>
                      <w:bCs/>
                      <w:szCs w:val="21"/>
                    </w:rPr>
                  </w:pPr>
                  <w:r>
                    <w:rPr>
                      <w:bCs/>
                      <w:szCs w:val="21"/>
                    </w:rPr>
                    <w:t>38.7</w:t>
                  </w:r>
                </w:p>
              </w:tc>
              <w:tc>
                <w:tcPr>
                  <w:tcW w:w="972" w:type="pct"/>
                  <w:vAlign w:val="center"/>
                </w:tcPr>
                <w:p w14:paraId="49C09ECB">
                  <w:pPr>
                    <w:tabs>
                      <w:tab w:val="left" w:pos="5910"/>
                    </w:tabs>
                    <w:jc w:val="center"/>
                    <w:rPr>
                      <w:bCs/>
                      <w:szCs w:val="21"/>
                    </w:rPr>
                  </w:pPr>
                  <w:r>
                    <w:rPr>
                      <w:bCs/>
                      <w:szCs w:val="21"/>
                    </w:rPr>
                    <w:t>250</w:t>
                  </w:r>
                </w:p>
              </w:tc>
              <w:tc>
                <w:tcPr>
                  <w:tcW w:w="972" w:type="pct"/>
                  <w:vAlign w:val="center"/>
                </w:tcPr>
                <w:p w14:paraId="67B29EE0">
                  <w:pPr>
                    <w:tabs>
                      <w:tab w:val="left" w:pos="5910"/>
                    </w:tabs>
                    <w:jc w:val="center"/>
                    <w:rPr>
                      <w:bCs/>
                      <w:szCs w:val="21"/>
                    </w:rPr>
                  </w:pPr>
                  <w:r>
                    <w:rPr>
                      <w:rFonts w:hint="eastAsia"/>
                      <w:bCs/>
                      <w:szCs w:val="21"/>
                    </w:rPr>
                    <w:t>0</w:t>
                  </w:r>
                </w:p>
              </w:tc>
            </w:tr>
            <w:tr w14:paraId="2C2AD5A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4CA8D5C">
                  <w:pPr>
                    <w:widowControl/>
                    <w:jc w:val="center"/>
                    <w:rPr>
                      <w:bCs/>
                      <w:szCs w:val="21"/>
                    </w:rPr>
                  </w:pPr>
                </w:p>
              </w:tc>
              <w:tc>
                <w:tcPr>
                  <w:tcW w:w="1199" w:type="pct"/>
                  <w:vAlign w:val="center"/>
                </w:tcPr>
                <w:p w14:paraId="499DFB95">
                  <w:pPr>
                    <w:tabs>
                      <w:tab w:val="left" w:pos="5910"/>
                    </w:tabs>
                    <w:jc w:val="center"/>
                    <w:rPr>
                      <w:bCs/>
                      <w:szCs w:val="21"/>
                    </w:rPr>
                  </w:pPr>
                  <w:r>
                    <w:rPr>
                      <w:rFonts w:hAnsi="宋体"/>
                      <w:bCs/>
                      <w:szCs w:val="21"/>
                    </w:rPr>
                    <w:t>总大肠菌群（</w:t>
                  </w:r>
                  <w:r>
                    <w:rPr>
                      <w:bCs/>
                      <w:szCs w:val="21"/>
                    </w:rPr>
                    <w:t>MPN/L</w:t>
                  </w:r>
                  <w:r>
                    <w:rPr>
                      <w:rFonts w:hAnsi="宋体"/>
                      <w:bCs/>
                      <w:szCs w:val="21"/>
                    </w:rPr>
                    <w:t>）</w:t>
                  </w:r>
                </w:p>
              </w:tc>
              <w:tc>
                <w:tcPr>
                  <w:tcW w:w="874" w:type="pct"/>
                  <w:vAlign w:val="center"/>
                </w:tcPr>
                <w:p w14:paraId="4CC951F4">
                  <w:pPr>
                    <w:jc w:val="center"/>
                    <w:rPr>
                      <w:bCs/>
                      <w:szCs w:val="21"/>
                    </w:rPr>
                  </w:pPr>
                  <w:r>
                    <w:rPr>
                      <w:bCs/>
                      <w:szCs w:val="21"/>
                    </w:rPr>
                    <w:t>ND</w:t>
                  </w:r>
                </w:p>
              </w:tc>
              <w:tc>
                <w:tcPr>
                  <w:tcW w:w="972" w:type="pct"/>
                  <w:vAlign w:val="center"/>
                </w:tcPr>
                <w:p w14:paraId="6259DAC6">
                  <w:pPr>
                    <w:tabs>
                      <w:tab w:val="left" w:pos="5910"/>
                    </w:tabs>
                    <w:jc w:val="center"/>
                    <w:rPr>
                      <w:bCs/>
                      <w:szCs w:val="21"/>
                    </w:rPr>
                  </w:pPr>
                  <w:r>
                    <w:rPr>
                      <w:bCs/>
                      <w:szCs w:val="21"/>
                    </w:rPr>
                    <w:t>3.0</w:t>
                  </w:r>
                </w:p>
              </w:tc>
              <w:tc>
                <w:tcPr>
                  <w:tcW w:w="972" w:type="pct"/>
                  <w:vAlign w:val="center"/>
                </w:tcPr>
                <w:p w14:paraId="42B0A7AF">
                  <w:pPr>
                    <w:tabs>
                      <w:tab w:val="left" w:pos="5910"/>
                    </w:tabs>
                    <w:jc w:val="center"/>
                    <w:rPr>
                      <w:bCs/>
                      <w:szCs w:val="21"/>
                    </w:rPr>
                  </w:pPr>
                  <w:r>
                    <w:rPr>
                      <w:rFonts w:hint="eastAsia"/>
                      <w:bCs/>
                      <w:szCs w:val="21"/>
                    </w:rPr>
                    <w:t>0</w:t>
                  </w:r>
                </w:p>
              </w:tc>
            </w:tr>
            <w:tr w14:paraId="6797825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0253BEA4">
                  <w:pPr>
                    <w:widowControl/>
                    <w:jc w:val="center"/>
                    <w:rPr>
                      <w:bCs/>
                      <w:szCs w:val="21"/>
                    </w:rPr>
                  </w:pPr>
                </w:p>
              </w:tc>
              <w:tc>
                <w:tcPr>
                  <w:tcW w:w="1199" w:type="pct"/>
                  <w:vAlign w:val="center"/>
                </w:tcPr>
                <w:p w14:paraId="61C551EC">
                  <w:pPr>
                    <w:tabs>
                      <w:tab w:val="left" w:pos="5910"/>
                    </w:tabs>
                    <w:jc w:val="center"/>
                    <w:rPr>
                      <w:bCs/>
                      <w:szCs w:val="21"/>
                    </w:rPr>
                  </w:pPr>
                  <w:r>
                    <w:rPr>
                      <w:rFonts w:hAnsi="宋体"/>
                      <w:bCs/>
                      <w:szCs w:val="21"/>
                    </w:rPr>
                    <w:t>细菌总数（</w:t>
                  </w:r>
                  <w:r>
                    <w:rPr>
                      <w:bCs/>
                      <w:szCs w:val="21"/>
                    </w:rPr>
                    <w:t>CFU/ml</w:t>
                  </w:r>
                  <w:r>
                    <w:rPr>
                      <w:rFonts w:hAnsi="宋体"/>
                      <w:bCs/>
                      <w:szCs w:val="21"/>
                    </w:rPr>
                    <w:t>）</w:t>
                  </w:r>
                </w:p>
              </w:tc>
              <w:tc>
                <w:tcPr>
                  <w:tcW w:w="874" w:type="pct"/>
                  <w:vAlign w:val="center"/>
                </w:tcPr>
                <w:p w14:paraId="69E4BB5A">
                  <w:pPr>
                    <w:jc w:val="center"/>
                    <w:rPr>
                      <w:bCs/>
                      <w:szCs w:val="21"/>
                    </w:rPr>
                  </w:pPr>
                  <w:r>
                    <w:rPr>
                      <w:bCs/>
                      <w:szCs w:val="21"/>
                    </w:rPr>
                    <w:t>40</w:t>
                  </w:r>
                </w:p>
              </w:tc>
              <w:tc>
                <w:tcPr>
                  <w:tcW w:w="972" w:type="pct"/>
                  <w:vAlign w:val="center"/>
                </w:tcPr>
                <w:p w14:paraId="06F45CC4">
                  <w:pPr>
                    <w:jc w:val="center"/>
                    <w:rPr>
                      <w:bCs/>
                      <w:szCs w:val="21"/>
                    </w:rPr>
                  </w:pPr>
                  <w:r>
                    <w:rPr>
                      <w:bCs/>
                      <w:szCs w:val="21"/>
                    </w:rPr>
                    <w:t>100</w:t>
                  </w:r>
                </w:p>
              </w:tc>
              <w:tc>
                <w:tcPr>
                  <w:tcW w:w="972" w:type="pct"/>
                  <w:vAlign w:val="center"/>
                </w:tcPr>
                <w:p w14:paraId="120A488A">
                  <w:pPr>
                    <w:jc w:val="center"/>
                    <w:rPr>
                      <w:bCs/>
                      <w:szCs w:val="21"/>
                    </w:rPr>
                  </w:pPr>
                  <w:r>
                    <w:rPr>
                      <w:rFonts w:hint="eastAsia"/>
                      <w:bCs/>
                      <w:szCs w:val="21"/>
                    </w:rPr>
                    <w:t>0</w:t>
                  </w:r>
                </w:p>
              </w:tc>
            </w:tr>
            <w:tr w14:paraId="297AD28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3A70848C">
                  <w:pPr>
                    <w:widowControl/>
                    <w:jc w:val="center"/>
                    <w:rPr>
                      <w:bCs/>
                      <w:szCs w:val="21"/>
                    </w:rPr>
                  </w:pPr>
                </w:p>
              </w:tc>
              <w:tc>
                <w:tcPr>
                  <w:tcW w:w="1199" w:type="pct"/>
                  <w:vAlign w:val="center"/>
                </w:tcPr>
                <w:p w14:paraId="0999BE23">
                  <w:pPr>
                    <w:tabs>
                      <w:tab w:val="left" w:pos="5910"/>
                    </w:tabs>
                    <w:jc w:val="center"/>
                    <w:rPr>
                      <w:bCs/>
                      <w:szCs w:val="21"/>
                    </w:rPr>
                  </w:pPr>
                  <w:r>
                    <w:rPr>
                      <w:rFonts w:hAnsi="宋体"/>
                      <w:bCs/>
                      <w:szCs w:val="21"/>
                    </w:rPr>
                    <w:t>铜</w:t>
                  </w:r>
                </w:p>
              </w:tc>
              <w:tc>
                <w:tcPr>
                  <w:tcW w:w="874" w:type="pct"/>
                  <w:vAlign w:val="center"/>
                </w:tcPr>
                <w:p w14:paraId="6A1FFEEF">
                  <w:pPr>
                    <w:jc w:val="center"/>
                    <w:rPr>
                      <w:bCs/>
                      <w:szCs w:val="21"/>
                    </w:rPr>
                  </w:pPr>
                  <w:r>
                    <w:rPr>
                      <w:bCs/>
                      <w:szCs w:val="21"/>
                    </w:rPr>
                    <w:t>ND</w:t>
                  </w:r>
                </w:p>
              </w:tc>
              <w:tc>
                <w:tcPr>
                  <w:tcW w:w="972" w:type="pct"/>
                  <w:vAlign w:val="center"/>
                </w:tcPr>
                <w:p w14:paraId="6883F5D5">
                  <w:pPr>
                    <w:jc w:val="center"/>
                    <w:rPr>
                      <w:bCs/>
                      <w:szCs w:val="21"/>
                    </w:rPr>
                  </w:pPr>
                  <w:r>
                    <w:rPr>
                      <w:bCs/>
                      <w:szCs w:val="21"/>
                    </w:rPr>
                    <w:t>1.0</w:t>
                  </w:r>
                </w:p>
              </w:tc>
              <w:tc>
                <w:tcPr>
                  <w:tcW w:w="972" w:type="pct"/>
                  <w:vAlign w:val="center"/>
                </w:tcPr>
                <w:p w14:paraId="689BB841">
                  <w:pPr>
                    <w:jc w:val="center"/>
                    <w:rPr>
                      <w:bCs/>
                      <w:szCs w:val="21"/>
                    </w:rPr>
                  </w:pPr>
                  <w:r>
                    <w:rPr>
                      <w:rFonts w:hint="eastAsia"/>
                      <w:bCs/>
                      <w:szCs w:val="21"/>
                    </w:rPr>
                    <w:t>0</w:t>
                  </w:r>
                </w:p>
              </w:tc>
            </w:tr>
            <w:tr w14:paraId="4129738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7EA8ECE">
                  <w:pPr>
                    <w:widowControl/>
                    <w:jc w:val="center"/>
                    <w:rPr>
                      <w:bCs/>
                      <w:szCs w:val="21"/>
                    </w:rPr>
                  </w:pPr>
                </w:p>
              </w:tc>
              <w:tc>
                <w:tcPr>
                  <w:tcW w:w="1199" w:type="pct"/>
                  <w:vAlign w:val="center"/>
                </w:tcPr>
                <w:p w14:paraId="2C755CEA">
                  <w:pPr>
                    <w:tabs>
                      <w:tab w:val="left" w:pos="5910"/>
                    </w:tabs>
                    <w:jc w:val="center"/>
                    <w:rPr>
                      <w:bCs/>
                      <w:szCs w:val="21"/>
                    </w:rPr>
                  </w:pPr>
                  <w:r>
                    <w:rPr>
                      <w:rFonts w:hAnsi="宋体"/>
                      <w:bCs/>
                      <w:szCs w:val="21"/>
                    </w:rPr>
                    <w:t>锌</w:t>
                  </w:r>
                </w:p>
              </w:tc>
              <w:tc>
                <w:tcPr>
                  <w:tcW w:w="874" w:type="pct"/>
                  <w:vAlign w:val="center"/>
                </w:tcPr>
                <w:p w14:paraId="2D7A3BF3">
                  <w:pPr>
                    <w:jc w:val="center"/>
                    <w:rPr>
                      <w:bCs/>
                      <w:szCs w:val="21"/>
                    </w:rPr>
                  </w:pPr>
                  <w:r>
                    <w:rPr>
                      <w:bCs/>
                      <w:szCs w:val="21"/>
                    </w:rPr>
                    <w:t>ND</w:t>
                  </w:r>
                </w:p>
              </w:tc>
              <w:tc>
                <w:tcPr>
                  <w:tcW w:w="972" w:type="pct"/>
                  <w:vAlign w:val="center"/>
                </w:tcPr>
                <w:p w14:paraId="455AA2EF">
                  <w:pPr>
                    <w:jc w:val="center"/>
                    <w:rPr>
                      <w:bCs/>
                      <w:szCs w:val="21"/>
                    </w:rPr>
                  </w:pPr>
                  <w:r>
                    <w:rPr>
                      <w:bCs/>
                      <w:szCs w:val="21"/>
                    </w:rPr>
                    <w:t>1.0</w:t>
                  </w:r>
                </w:p>
              </w:tc>
              <w:tc>
                <w:tcPr>
                  <w:tcW w:w="972" w:type="pct"/>
                  <w:vAlign w:val="center"/>
                </w:tcPr>
                <w:p w14:paraId="397C3649">
                  <w:pPr>
                    <w:jc w:val="center"/>
                    <w:rPr>
                      <w:bCs/>
                      <w:szCs w:val="21"/>
                    </w:rPr>
                  </w:pPr>
                  <w:r>
                    <w:rPr>
                      <w:rFonts w:hint="eastAsia"/>
                      <w:bCs/>
                      <w:szCs w:val="21"/>
                    </w:rPr>
                    <w:t>0</w:t>
                  </w:r>
                </w:p>
              </w:tc>
            </w:tr>
            <w:tr w14:paraId="404AC4D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E40FD0B">
                  <w:pPr>
                    <w:widowControl/>
                    <w:jc w:val="center"/>
                    <w:rPr>
                      <w:bCs/>
                      <w:szCs w:val="21"/>
                    </w:rPr>
                  </w:pPr>
                </w:p>
              </w:tc>
              <w:tc>
                <w:tcPr>
                  <w:tcW w:w="1199" w:type="pct"/>
                  <w:vAlign w:val="center"/>
                </w:tcPr>
                <w:p w14:paraId="4E387F63">
                  <w:pPr>
                    <w:tabs>
                      <w:tab w:val="left" w:pos="5910"/>
                    </w:tabs>
                    <w:jc w:val="center"/>
                    <w:rPr>
                      <w:bCs/>
                      <w:szCs w:val="21"/>
                    </w:rPr>
                  </w:pPr>
                  <w:r>
                    <w:rPr>
                      <w:rFonts w:hAnsi="宋体"/>
                      <w:bCs/>
                      <w:szCs w:val="21"/>
                    </w:rPr>
                    <w:t>镍</w:t>
                  </w:r>
                </w:p>
              </w:tc>
              <w:tc>
                <w:tcPr>
                  <w:tcW w:w="874" w:type="pct"/>
                  <w:vAlign w:val="center"/>
                </w:tcPr>
                <w:p w14:paraId="687BE47C">
                  <w:pPr>
                    <w:jc w:val="center"/>
                    <w:rPr>
                      <w:bCs/>
                      <w:szCs w:val="21"/>
                    </w:rPr>
                  </w:pPr>
                  <w:r>
                    <w:rPr>
                      <w:bCs/>
                      <w:szCs w:val="21"/>
                    </w:rPr>
                    <w:t>ND</w:t>
                  </w:r>
                </w:p>
              </w:tc>
              <w:tc>
                <w:tcPr>
                  <w:tcW w:w="972" w:type="pct"/>
                  <w:vAlign w:val="center"/>
                </w:tcPr>
                <w:p w14:paraId="73F95BFC">
                  <w:pPr>
                    <w:jc w:val="center"/>
                    <w:rPr>
                      <w:bCs/>
                      <w:szCs w:val="21"/>
                    </w:rPr>
                  </w:pPr>
                  <w:r>
                    <w:rPr>
                      <w:bCs/>
                      <w:szCs w:val="21"/>
                    </w:rPr>
                    <w:t>0.02</w:t>
                  </w:r>
                </w:p>
              </w:tc>
              <w:tc>
                <w:tcPr>
                  <w:tcW w:w="972" w:type="pct"/>
                  <w:vAlign w:val="center"/>
                </w:tcPr>
                <w:p w14:paraId="2C732C71">
                  <w:pPr>
                    <w:jc w:val="center"/>
                    <w:rPr>
                      <w:bCs/>
                      <w:szCs w:val="21"/>
                    </w:rPr>
                  </w:pPr>
                  <w:r>
                    <w:rPr>
                      <w:rFonts w:hint="eastAsia"/>
                      <w:bCs/>
                      <w:szCs w:val="21"/>
                    </w:rPr>
                    <w:t>0</w:t>
                  </w:r>
                </w:p>
              </w:tc>
            </w:tr>
            <w:tr w14:paraId="403D2B6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0F6D398E">
                  <w:pPr>
                    <w:widowControl/>
                    <w:jc w:val="center"/>
                    <w:rPr>
                      <w:bCs/>
                      <w:szCs w:val="21"/>
                    </w:rPr>
                  </w:pPr>
                </w:p>
              </w:tc>
              <w:tc>
                <w:tcPr>
                  <w:tcW w:w="1199" w:type="pct"/>
                  <w:vAlign w:val="center"/>
                </w:tcPr>
                <w:p w14:paraId="6C45B5D4">
                  <w:pPr>
                    <w:pStyle w:val="62"/>
                    <w:ind w:firstLine="0"/>
                    <w:jc w:val="center"/>
                    <w:rPr>
                      <w:rFonts w:ascii="Times New Roman" w:eastAsia="宋体"/>
                      <w:b w:val="0"/>
                      <w:bCs/>
                      <w:sz w:val="21"/>
                      <w:szCs w:val="21"/>
                    </w:rPr>
                  </w:pPr>
                  <w:r>
                    <w:rPr>
                      <w:rFonts w:ascii="Times New Roman" w:eastAsia="宋体"/>
                      <w:b w:val="0"/>
                      <w:bCs/>
                      <w:sz w:val="21"/>
                      <w:szCs w:val="21"/>
                    </w:rPr>
                    <w:t>K</w:t>
                  </w:r>
                  <w:r>
                    <w:rPr>
                      <w:rFonts w:ascii="Times New Roman" w:eastAsia="宋体"/>
                      <w:b w:val="0"/>
                      <w:bCs/>
                      <w:sz w:val="21"/>
                      <w:szCs w:val="21"/>
                      <w:vertAlign w:val="superscript"/>
                    </w:rPr>
                    <w:t>+</w:t>
                  </w:r>
                </w:p>
              </w:tc>
              <w:tc>
                <w:tcPr>
                  <w:tcW w:w="874" w:type="pct"/>
                  <w:vAlign w:val="center"/>
                </w:tcPr>
                <w:p w14:paraId="495D7D87">
                  <w:pPr>
                    <w:jc w:val="center"/>
                    <w:rPr>
                      <w:bCs/>
                      <w:szCs w:val="21"/>
                    </w:rPr>
                  </w:pPr>
                  <w:r>
                    <w:rPr>
                      <w:bCs/>
                      <w:szCs w:val="21"/>
                    </w:rPr>
                    <w:t>17.8</w:t>
                  </w:r>
                </w:p>
              </w:tc>
              <w:tc>
                <w:tcPr>
                  <w:tcW w:w="972" w:type="pct"/>
                  <w:vAlign w:val="center"/>
                </w:tcPr>
                <w:p w14:paraId="22A57318">
                  <w:pPr>
                    <w:jc w:val="center"/>
                    <w:rPr>
                      <w:bCs/>
                      <w:szCs w:val="21"/>
                    </w:rPr>
                  </w:pPr>
                  <w:r>
                    <w:rPr>
                      <w:bCs/>
                      <w:szCs w:val="21"/>
                    </w:rPr>
                    <w:t>/</w:t>
                  </w:r>
                </w:p>
              </w:tc>
              <w:tc>
                <w:tcPr>
                  <w:tcW w:w="972" w:type="pct"/>
                  <w:vAlign w:val="center"/>
                </w:tcPr>
                <w:p w14:paraId="2E04F800">
                  <w:pPr>
                    <w:jc w:val="center"/>
                    <w:rPr>
                      <w:bCs/>
                      <w:szCs w:val="21"/>
                    </w:rPr>
                  </w:pPr>
                  <w:r>
                    <w:rPr>
                      <w:rFonts w:hint="eastAsia"/>
                      <w:bCs/>
                      <w:szCs w:val="21"/>
                    </w:rPr>
                    <w:t>/</w:t>
                  </w:r>
                </w:p>
              </w:tc>
            </w:tr>
            <w:tr w14:paraId="4701DD1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05B6AD11">
                  <w:pPr>
                    <w:widowControl/>
                    <w:jc w:val="center"/>
                    <w:rPr>
                      <w:bCs/>
                      <w:szCs w:val="21"/>
                    </w:rPr>
                  </w:pPr>
                </w:p>
              </w:tc>
              <w:tc>
                <w:tcPr>
                  <w:tcW w:w="1199" w:type="pct"/>
                  <w:vAlign w:val="center"/>
                </w:tcPr>
                <w:p w14:paraId="4C1A23D1">
                  <w:pPr>
                    <w:pStyle w:val="62"/>
                    <w:ind w:firstLine="0"/>
                    <w:jc w:val="center"/>
                    <w:rPr>
                      <w:rFonts w:ascii="Times New Roman" w:eastAsia="宋体"/>
                      <w:b w:val="0"/>
                      <w:bCs/>
                      <w:sz w:val="21"/>
                      <w:szCs w:val="21"/>
                    </w:rPr>
                  </w:pPr>
                  <w:r>
                    <w:rPr>
                      <w:rFonts w:ascii="Times New Roman" w:eastAsia="宋体"/>
                      <w:b w:val="0"/>
                      <w:bCs/>
                      <w:sz w:val="21"/>
                      <w:szCs w:val="21"/>
                    </w:rPr>
                    <w:t>Na</w:t>
                  </w:r>
                  <w:r>
                    <w:rPr>
                      <w:rFonts w:ascii="Times New Roman" w:eastAsia="宋体"/>
                      <w:b w:val="0"/>
                      <w:bCs/>
                      <w:sz w:val="21"/>
                      <w:szCs w:val="21"/>
                      <w:vertAlign w:val="superscript"/>
                    </w:rPr>
                    <w:t>+</w:t>
                  </w:r>
                </w:p>
              </w:tc>
              <w:tc>
                <w:tcPr>
                  <w:tcW w:w="874" w:type="pct"/>
                  <w:vAlign w:val="center"/>
                </w:tcPr>
                <w:p w14:paraId="21DCDD13">
                  <w:pPr>
                    <w:jc w:val="center"/>
                    <w:rPr>
                      <w:bCs/>
                      <w:szCs w:val="21"/>
                    </w:rPr>
                  </w:pPr>
                  <w:r>
                    <w:rPr>
                      <w:bCs/>
                      <w:szCs w:val="21"/>
                    </w:rPr>
                    <w:t>26.5</w:t>
                  </w:r>
                </w:p>
              </w:tc>
              <w:tc>
                <w:tcPr>
                  <w:tcW w:w="972" w:type="pct"/>
                  <w:vAlign w:val="center"/>
                </w:tcPr>
                <w:p w14:paraId="3119D4B4">
                  <w:pPr>
                    <w:jc w:val="center"/>
                    <w:rPr>
                      <w:bCs/>
                      <w:szCs w:val="21"/>
                    </w:rPr>
                  </w:pPr>
                  <w:r>
                    <w:rPr>
                      <w:bCs/>
                      <w:szCs w:val="21"/>
                    </w:rPr>
                    <w:t>/</w:t>
                  </w:r>
                </w:p>
              </w:tc>
              <w:tc>
                <w:tcPr>
                  <w:tcW w:w="972" w:type="pct"/>
                  <w:vAlign w:val="center"/>
                </w:tcPr>
                <w:p w14:paraId="10BAA56E">
                  <w:pPr>
                    <w:jc w:val="center"/>
                    <w:rPr>
                      <w:bCs/>
                      <w:szCs w:val="21"/>
                    </w:rPr>
                  </w:pPr>
                  <w:r>
                    <w:rPr>
                      <w:rFonts w:hint="eastAsia"/>
                      <w:bCs/>
                      <w:szCs w:val="21"/>
                    </w:rPr>
                    <w:t>/</w:t>
                  </w:r>
                </w:p>
              </w:tc>
            </w:tr>
            <w:tr w14:paraId="4861ED5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2D8AFA05">
                  <w:pPr>
                    <w:widowControl/>
                    <w:jc w:val="center"/>
                    <w:rPr>
                      <w:bCs/>
                      <w:szCs w:val="21"/>
                    </w:rPr>
                  </w:pPr>
                </w:p>
              </w:tc>
              <w:tc>
                <w:tcPr>
                  <w:tcW w:w="1199" w:type="pct"/>
                  <w:vAlign w:val="center"/>
                </w:tcPr>
                <w:p w14:paraId="47A65CAB">
                  <w:pPr>
                    <w:pStyle w:val="62"/>
                    <w:ind w:firstLine="0"/>
                    <w:jc w:val="center"/>
                    <w:rPr>
                      <w:rFonts w:ascii="Times New Roman" w:eastAsia="宋体"/>
                      <w:b w:val="0"/>
                      <w:bCs/>
                      <w:sz w:val="21"/>
                      <w:szCs w:val="21"/>
                    </w:rPr>
                  </w:pPr>
                  <w:r>
                    <w:rPr>
                      <w:rFonts w:ascii="Times New Roman" w:eastAsia="宋体"/>
                      <w:b w:val="0"/>
                      <w:bCs/>
                      <w:sz w:val="21"/>
                      <w:szCs w:val="21"/>
                    </w:rPr>
                    <w:t>Ca</w:t>
                  </w:r>
                  <w:r>
                    <w:rPr>
                      <w:rFonts w:ascii="Times New Roman" w:eastAsia="宋体"/>
                      <w:b w:val="0"/>
                      <w:bCs/>
                      <w:sz w:val="21"/>
                      <w:szCs w:val="21"/>
                      <w:vertAlign w:val="superscript"/>
                    </w:rPr>
                    <w:t>2+</w:t>
                  </w:r>
                </w:p>
              </w:tc>
              <w:tc>
                <w:tcPr>
                  <w:tcW w:w="874" w:type="pct"/>
                  <w:vAlign w:val="center"/>
                </w:tcPr>
                <w:p w14:paraId="543DF791">
                  <w:pPr>
                    <w:jc w:val="center"/>
                    <w:rPr>
                      <w:bCs/>
                      <w:szCs w:val="21"/>
                    </w:rPr>
                  </w:pPr>
                  <w:r>
                    <w:rPr>
                      <w:bCs/>
                      <w:szCs w:val="21"/>
                    </w:rPr>
                    <w:t>14.9</w:t>
                  </w:r>
                </w:p>
              </w:tc>
              <w:tc>
                <w:tcPr>
                  <w:tcW w:w="972" w:type="pct"/>
                  <w:vAlign w:val="center"/>
                </w:tcPr>
                <w:p w14:paraId="684F61A5">
                  <w:pPr>
                    <w:jc w:val="center"/>
                    <w:rPr>
                      <w:bCs/>
                      <w:szCs w:val="21"/>
                    </w:rPr>
                  </w:pPr>
                  <w:r>
                    <w:rPr>
                      <w:bCs/>
                      <w:szCs w:val="21"/>
                    </w:rPr>
                    <w:t>/</w:t>
                  </w:r>
                </w:p>
              </w:tc>
              <w:tc>
                <w:tcPr>
                  <w:tcW w:w="972" w:type="pct"/>
                  <w:vAlign w:val="center"/>
                </w:tcPr>
                <w:p w14:paraId="0889981D">
                  <w:pPr>
                    <w:jc w:val="center"/>
                    <w:rPr>
                      <w:bCs/>
                      <w:szCs w:val="21"/>
                    </w:rPr>
                  </w:pPr>
                  <w:r>
                    <w:rPr>
                      <w:rFonts w:hint="eastAsia"/>
                      <w:bCs/>
                      <w:szCs w:val="21"/>
                    </w:rPr>
                    <w:t>/</w:t>
                  </w:r>
                </w:p>
              </w:tc>
            </w:tr>
            <w:tr w14:paraId="01EB854D">
              <w:tblPrEx>
                <w:tblCellMar>
                  <w:top w:w="0" w:type="dxa"/>
                  <w:left w:w="108" w:type="dxa"/>
                  <w:bottom w:w="0" w:type="dxa"/>
                  <w:right w:w="108" w:type="dxa"/>
                </w:tblCellMar>
              </w:tblPrEx>
              <w:trPr>
                <w:trHeight w:val="397" w:hRule="atLeast"/>
                <w:jc w:val="center"/>
              </w:trPr>
              <w:tc>
                <w:tcPr>
                  <w:tcW w:w="983" w:type="pct"/>
                  <w:vMerge w:val="continue"/>
                  <w:vAlign w:val="center"/>
                </w:tcPr>
                <w:p w14:paraId="6FDA890D">
                  <w:pPr>
                    <w:widowControl/>
                    <w:jc w:val="center"/>
                    <w:rPr>
                      <w:bCs/>
                      <w:szCs w:val="21"/>
                    </w:rPr>
                  </w:pPr>
                </w:p>
              </w:tc>
              <w:tc>
                <w:tcPr>
                  <w:tcW w:w="1199" w:type="pct"/>
                  <w:vAlign w:val="center"/>
                </w:tcPr>
                <w:p w14:paraId="2DC8BA40">
                  <w:pPr>
                    <w:pStyle w:val="62"/>
                    <w:ind w:firstLine="0"/>
                    <w:jc w:val="center"/>
                    <w:rPr>
                      <w:rFonts w:ascii="Times New Roman" w:eastAsia="宋体"/>
                      <w:b w:val="0"/>
                      <w:bCs/>
                      <w:sz w:val="21"/>
                      <w:szCs w:val="21"/>
                    </w:rPr>
                  </w:pPr>
                  <w:r>
                    <w:rPr>
                      <w:rFonts w:ascii="Times New Roman" w:eastAsia="宋体"/>
                      <w:b w:val="0"/>
                      <w:bCs/>
                      <w:sz w:val="21"/>
                      <w:szCs w:val="21"/>
                    </w:rPr>
                    <w:t>Mg</w:t>
                  </w:r>
                  <w:r>
                    <w:rPr>
                      <w:rFonts w:ascii="Times New Roman" w:eastAsia="宋体"/>
                      <w:b w:val="0"/>
                      <w:bCs/>
                      <w:sz w:val="21"/>
                      <w:szCs w:val="21"/>
                      <w:vertAlign w:val="superscript"/>
                    </w:rPr>
                    <w:t>2+</w:t>
                  </w:r>
                </w:p>
              </w:tc>
              <w:tc>
                <w:tcPr>
                  <w:tcW w:w="874" w:type="pct"/>
                  <w:vAlign w:val="center"/>
                </w:tcPr>
                <w:p w14:paraId="089DECEA">
                  <w:pPr>
                    <w:jc w:val="center"/>
                    <w:rPr>
                      <w:bCs/>
                      <w:szCs w:val="21"/>
                    </w:rPr>
                  </w:pPr>
                  <w:r>
                    <w:rPr>
                      <w:bCs/>
                      <w:szCs w:val="21"/>
                    </w:rPr>
                    <w:t>65.7</w:t>
                  </w:r>
                </w:p>
              </w:tc>
              <w:tc>
                <w:tcPr>
                  <w:tcW w:w="972" w:type="pct"/>
                  <w:vAlign w:val="center"/>
                </w:tcPr>
                <w:p w14:paraId="2D96814F">
                  <w:pPr>
                    <w:jc w:val="center"/>
                    <w:rPr>
                      <w:bCs/>
                      <w:szCs w:val="21"/>
                    </w:rPr>
                  </w:pPr>
                  <w:r>
                    <w:rPr>
                      <w:bCs/>
                      <w:szCs w:val="21"/>
                    </w:rPr>
                    <w:t>/</w:t>
                  </w:r>
                </w:p>
              </w:tc>
              <w:tc>
                <w:tcPr>
                  <w:tcW w:w="972" w:type="pct"/>
                  <w:vAlign w:val="center"/>
                </w:tcPr>
                <w:p w14:paraId="64DB7CBF">
                  <w:pPr>
                    <w:jc w:val="center"/>
                    <w:rPr>
                      <w:bCs/>
                      <w:szCs w:val="21"/>
                    </w:rPr>
                  </w:pPr>
                  <w:r>
                    <w:rPr>
                      <w:rFonts w:hint="eastAsia"/>
                      <w:bCs/>
                      <w:szCs w:val="21"/>
                    </w:rPr>
                    <w:t>/</w:t>
                  </w:r>
                </w:p>
              </w:tc>
            </w:tr>
            <w:tr w14:paraId="00AB927E">
              <w:tblPrEx>
                <w:tblCellMar>
                  <w:top w:w="0" w:type="dxa"/>
                  <w:left w:w="108" w:type="dxa"/>
                  <w:bottom w:w="0" w:type="dxa"/>
                  <w:right w:w="108" w:type="dxa"/>
                </w:tblCellMar>
              </w:tblPrEx>
              <w:trPr>
                <w:trHeight w:val="397" w:hRule="atLeast"/>
                <w:jc w:val="center"/>
              </w:trPr>
              <w:tc>
                <w:tcPr>
                  <w:tcW w:w="983" w:type="pct"/>
                  <w:vMerge w:val="continue"/>
                  <w:vAlign w:val="center"/>
                </w:tcPr>
                <w:p w14:paraId="43658708">
                  <w:pPr>
                    <w:widowControl/>
                    <w:jc w:val="center"/>
                    <w:rPr>
                      <w:bCs/>
                      <w:szCs w:val="21"/>
                    </w:rPr>
                  </w:pPr>
                </w:p>
              </w:tc>
              <w:tc>
                <w:tcPr>
                  <w:tcW w:w="1199" w:type="pct"/>
                  <w:vAlign w:val="center"/>
                </w:tcPr>
                <w:p w14:paraId="28FA1042">
                  <w:pPr>
                    <w:pStyle w:val="62"/>
                    <w:ind w:firstLine="0"/>
                    <w:jc w:val="center"/>
                    <w:rPr>
                      <w:rFonts w:ascii="Times New Roman" w:eastAsia="宋体"/>
                      <w:b w:val="0"/>
                      <w:bCs/>
                      <w:sz w:val="21"/>
                      <w:szCs w:val="21"/>
                    </w:rPr>
                  </w:pPr>
                  <w:r>
                    <w:rPr>
                      <w:rFonts w:ascii="Times New Roman" w:eastAsia="宋体"/>
                      <w:b w:val="0"/>
                      <w:bCs/>
                      <w:sz w:val="21"/>
                      <w:szCs w:val="21"/>
                    </w:rPr>
                    <w:t>CO</w:t>
                  </w:r>
                  <w:r>
                    <w:rPr>
                      <w:rFonts w:ascii="Times New Roman" w:eastAsia="宋体"/>
                      <w:b w:val="0"/>
                      <w:bCs/>
                      <w:sz w:val="21"/>
                      <w:szCs w:val="21"/>
                      <w:vertAlign w:val="subscript"/>
                    </w:rPr>
                    <w:t>3</w:t>
                  </w:r>
                  <w:r>
                    <w:rPr>
                      <w:rFonts w:ascii="Times New Roman" w:eastAsia="宋体"/>
                      <w:b w:val="0"/>
                      <w:bCs/>
                      <w:sz w:val="21"/>
                      <w:szCs w:val="21"/>
                      <w:vertAlign w:val="superscript"/>
                    </w:rPr>
                    <w:t>2-</w:t>
                  </w:r>
                  <w:r>
                    <w:rPr>
                      <w:rFonts w:ascii="Times New Roman" w:hAnsi="宋体" w:eastAsia="宋体"/>
                      <w:b w:val="0"/>
                      <w:bCs/>
                      <w:sz w:val="21"/>
                      <w:szCs w:val="21"/>
                    </w:rPr>
                    <w:t>（</w:t>
                  </w:r>
                  <w:r>
                    <w:rPr>
                      <w:rFonts w:ascii="Times New Roman" w:eastAsia="宋体"/>
                      <w:b w:val="0"/>
                      <w:bCs/>
                      <w:sz w:val="21"/>
                      <w:szCs w:val="21"/>
                    </w:rPr>
                    <w:t>mmol/L</w:t>
                  </w:r>
                  <w:r>
                    <w:rPr>
                      <w:rFonts w:ascii="Times New Roman" w:hAnsi="宋体" w:eastAsia="宋体"/>
                      <w:b w:val="0"/>
                      <w:bCs/>
                      <w:sz w:val="21"/>
                      <w:szCs w:val="21"/>
                    </w:rPr>
                    <w:t>）</w:t>
                  </w:r>
                </w:p>
              </w:tc>
              <w:tc>
                <w:tcPr>
                  <w:tcW w:w="874" w:type="pct"/>
                  <w:vAlign w:val="center"/>
                </w:tcPr>
                <w:p w14:paraId="1C4E6FFF">
                  <w:pPr>
                    <w:jc w:val="center"/>
                    <w:rPr>
                      <w:bCs/>
                      <w:szCs w:val="21"/>
                    </w:rPr>
                  </w:pPr>
                  <w:r>
                    <w:rPr>
                      <w:bCs/>
                      <w:szCs w:val="21"/>
                    </w:rPr>
                    <w:t>ND</w:t>
                  </w:r>
                </w:p>
              </w:tc>
              <w:tc>
                <w:tcPr>
                  <w:tcW w:w="972" w:type="pct"/>
                  <w:vAlign w:val="center"/>
                </w:tcPr>
                <w:p w14:paraId="082B5013">
                  <w:pPr>
                    <w:jc w:val="center"/>
                    <w:rPr>
                      <w:bCs/>
                      <w:szCs w:val="21"/>
                    </w:rPr>
                  </w:pPr>
                  <w:r>
                    <w:rPr>
                      <w:bCs/>
                      <w:szCs w:val="21"/>
                    </w:rPr>
                    <w:t>/</w:t>
                  </w:r>
                </w:p>
              </w:tc>
              <w:tc>
                <w:tcPr>
                  <w:tcW w:w="972" w:type="pct"/>
                  <w:vAlign w:val="center"/>
                </w:tcPr>
                <w:p w14:paraId="1EB1EEA8">
                  <w:pPr>
                    <w:jc w:val="center"/>
                    <w:rPr>
                      <w:bCs/>
                      <w:szCs w:val="21"/>
                    </w:rPr>
                  </w:pPr>
                  <w:r>
                    <w:rPr>
                      <w:rFonts w:hint="eastAsia"/>
                      <w:bCs/>
                      <w:szCs w:val="21"/>
                    </w:rPr>
                    <w:t>/</w:t>
                  </w:r>
                </w:p>
              </w:tc>
            </w:tr>
            <w:tr w14:paraId="015BC06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511F97FB">
                  <w:pPr>
                    <w:widowControl/>
                    <w:jc w:val="center"/>
                    <w:rPr>
                      <w:bCs/>
                      <w:szCs w:val="21"/>
                    </w:rPr>
                  </w:pPr>
                </w:p>
              </w:tc>
              <w:tc>
                <w:tcPr>
                  <w:tcW w:w="1199" w:type="pct"/>
                  <w:vAlign w:val="center"/>
                </w:tcPr>
                <w:p w14:paraId="44165878">
                  <w:pPr>
                    <w:pStyle w:val="62"/>
                    <w:ind w:firstLine="0"/>
                    <w:jc w:val="center"/>
                    <w:rPr>
                      <w:rFonts w:ascii="Times New Roman" w:eastAsia="宋体"/>
                      <w:b w:val="0"/>
                      <w:bCs/>
                      <w:sz w:val="21"/>
                      <w:szCs w:val="21"/>
                    </w:rPr>
                  </w:pPr>
                  <w:r>
                    <w:rPr>
                      <w:rFonts w:ascii="Times New Roman" w:eastAsia="宋体"/>
                      <w:b w:val="0"/>
                      <w:bCs/>
                      <w:sz w:val="21"/>
                      <w:szCs w:val="21"/>
                    </w:rPr>
                    <w:t>HCO</w:t>
                  </w:r>
                  <w:r>
                    <w:rPr>
                      <w:rFonts w:ascii="Times New Roman" w:eastAsia="宋体"/>
                      <w:b w:val="0"/>
                      <w:bCs/>
                      <w:sz w:val="21"/>
                      <w:szCs w:val="21"/>
                      <w:vertAlign w:val="subscript"/>
                    </w:rPr>
                    <w:t>3</w:t>
                  </w:r>
                  <w:r>
                    <w:rPr>
                      <w:rFonts w:ascii="Times New Roman" w:eastAsia="宋体"/>
                      <w:b w:val="0"/>
                      <w:bCs/>
                      <w:sz w:val="21"/>
                      <w:szCs w:val="21"/>
                      <w:vertAlign w:val="superscript"/>
                    </w:rPr>
                    <w:t>-</w:t>
                  </w:r>
                  <w:r>
                    <w:rPr>
                      <w:rFonts w:ascii="Times New Roman" w:hAnsi="宋体" w:eastAsia="宋体"/>
                      <w:b w:val="0"/>
                      <w:bCs/>
                      <w:sz w:val="21"/>
                      <w:szCs w:val="21"/>
                    </w:rPr>
                    <w:t>（</w:t>
                  </w:r>
                  <w:r>
                    <w:rPr>
                      <w:rFonts w:ascii="Times New Roman" w:eastAsia="宋体"/>
                      <w:b w:val="0"/>
                      <w:bCs/>
                      <w:sz w:val="21"/>
                      <w:szCs w:val="21"/>
                    </w:rPr>
                    <w:t>mmol/L</w:t>
                  </w:r>
                  <w:r>
                    <w:rPr>
                      <w:rFonts w:ascii="Times New Roman" w:hAnsi="宋体" w:eastAsia="宋体"/>
                      <w:b w:val="0"/>
                      <w:bCs/>
                      <w:sz w:val="21"/>
                      <w:szCs w:val="21"/>
                    </w:rPr>
                    <w:t>）</w:t>
                  </w:r>
                </w:p>
              </w:tc>
              <w:tc>
                <w:tcPr>
                  <w:tcW w:w="874" w:type="pct"/>
                  <w:vAlign w:val="center"/>
                </w:tcPr>
                <w:p w14:paraId="284CC232">
                  <w:pPr>
                    <w:jc w:val="center"/>
                    <w:rPr>
                      <w:bCs/>
                      <w:szCs w:val="21"/>
                    </w:rPr>
                  </w:pPr>
                  <w:r>
                    <w:rPr>
                      <w:bCs/>
                      <w:szCs w:val="21"/>
                    </w:rPr>
                    <w:t>263</w:t>
                  </w:r>
                </w:p>
              </w:tc>
              <w:tc>
                <w:tcPr>
                  <w:tcW w:w="972" w:type="pct"/>
                  <w:vAlign w:val="center"/>
                </w:tcPr>
                <w:p w14:paraId="23C2C066">
                  <w:pPr>
                    <w:jc w:val="center"/>
                    <w:rPr>
                      <w:bCs/>
                      <w:szCs w:val="21"/>
                    </w:rPr>
                  </w:pPr>
                  <w:r>
                    <w:rPr>
                      <w:bCs/>
                      <w:szCs w:val="21"/>
                    </w:rPr>
                    <w:t>/</w:t>
                  </w:r>
                </w:p>
              </w:tc>
              <w:tc>
                <w:tcPr>
                  <w:tcW w:w="972" w:type="pct"/>
                  <w:vAlign w:val="center"/>
                </w:tcPr>
                <w:p w14:paraId="691AB9C7">
                  <w:pPr>
                    <w:jc w:val="center"/>
                    <w:rPr>
                      <w:bCs/>
                      <w:szCs w:val="21"/>
                    </w:rPr>
                  </w:pPr>
                  <w:r>
                    <w:rPr>
                      <w:rFonts w:hint="eastAsia"/>
                      <w:bCs/>
                      <w:szCs w:val="21"/>
                    </w:rPr>
                    <w:t>/</w:t>
                  </w:r>
                </w:p>
              </w:tc>
            </w:tr>
            <w:tr w14:paraId="47083F5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37F1F85B">
                  <w:pPr>
                    <w:widowControl/>
                    <w:jc w:val="center"/>
                    <w:rPr>
                      <w:bCs/>
                      <w:szCs w:val="21"/>
                    </w:rPr>
                  </w:pPr>
                </w:p>
              </w:tc>
              <w:tc>
                <w:tcPr>
                  <w:tcW w:w="1199" w:type="pct"/>
                  <w:vAlign w:val="center"/>
                </w:tcPr>
                <w:p w14:paraId="58D17DF8">
                  <w:pPr>
                    <w:tabs>
                      <w:tab w:val="left" w:pos="5910"/>
                    </w:tabs>
                    <w:jc w:val="center"/>
                    <w:rPr>
                      <w:bCs/>
                      <w:szCs w:val="21"/>
                    </w:rPr>
                  </w:pPr>
                  <w:r>
                    <w:rPr>
                      <w:bCs/>
                      <w:szCs w:val="21"/>
                    </w:rPr>
                    <w:t>Cl</w:t>
                  </w:r>
                  <w:r>
                    <w:rPr>
                      <w:bCs/>
                      <w:szCs w:val="21"/>
                      <w:vertAlign w:val="superscript"/>
                    </w:rPr>
                    <w:t>-</w:t>
                  </w:r>
                </w:p>
              </w:tc>
              <w:tc>
                <w:tcPr>
                  <w:tcW w:w="874" w:type="pct"/>
                  <w:vAlign w:val="center"/>
                </w:tcPr>
                <w:p w14:paraId="77DA8043">
                  <w:pPr>
                    <w:jc w:val="center"/>
                    <w:rPr>
                      <w:bCs/>
                      <w:szCs w:val="21"/>
                    </w:rPr>
                  </w:pPr>
                  <w:r>
                    <w:rPr>
                      <w:bCs/>
                      <w:szCs w:val="21"/>
                    </w:rPr>
                    <w:t>32.6</w:t>
                  </w:r>
                </w:p>
              </w:tc>
              <w:tc>
                <w:tcPr>
                  <w:tcW w:w="972" w:type="pct"/>
                  <w:vAlign w:val="center"/>
                </w:tcPr>
                <w:p w14:paraId="14777D22">
                  <w:pPr>
                    <w:jc w:val="center"/>
                    <w:rPr>
                      <w:bCs/>
                      <w:szCs w:val="21"/>
                    </w:rPr>
                  </w:pPr>
                  <w:r>
                    <w:rPr>
                      <w:bCs/>
                      <w:szCs w:val="21"/>
                    </w:rPr>
                    <w:t>/</w:t>
                  </w:r>
                </w:p>
              </w:tc>
              <w:tc>
                <w:tcPr>
                  <w:tcW w:w="972" w:type="pct"/>
                  <w:vAlign w:val="center"/>
                </w:tcPr>
                <w:p w14:paraId="26A7BCB2">
                  <w:pPr>
                    <w:jc w:val="center"/>
                    <w:rPr>
                      <w:bCs/>
                      <w:szCs w:val="21"/>
                    </w:rPr>
                  </w:pPr>
                  <w:r>
                    <w:rPr>
                      <w:rFonts w:hint="eastAsia"/>
                      <w:bCs/>
                      <w:szCs w:val="21"/>
                    </w:rPr>
                    <w:t>/</w:t>
                  </w:r>
                </w:p>
              </w:tc>
            </w:tr>
            <w:tr w14:paraId="7AC5243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2271E895">
                  <w:pPr>
                    <w:widowControl/>
                    <w:jc w:val="center"/>
                    <w:rPr>
                      <w:bCs/>
                      <w:szCs w:val="21"/>
                    </w:rPr>
                  </w:pPr>
                </w:p>
              </w:tc>
              <w:tc>
                <w:tcPr>
                  <w:tcW w:w="1199" w:type="pct"/>
                  <w:vAlign w:val="center"/>
                </w:tcPr>
                <w:p w14:paraId="06F47406">
                  <w:pPr>
                    <w:tabs>
                      <w:tab w:val="left" w:pos="5910"/>
                    </w:tabs>
                    <w:jc w:val="center"/>
                    <w:rPr>
                      <w:bCs/>
                      <w:szCs w:val="21"/>
                    </w:rPr>
                  </w:pPr>
                  <w:r>
                    <w:rPr>
                      <w:bCs/>
                      <w:szCs w:val="21"/>
                    </w:rPr>
                    <w:t>SO</w:t>
                  </w:r>
                  <w:r>
                    <w:rPr>
                      <w:bCs/>
                      <w:szCs w:val="21"/>
                      <w:vertAlign w:val="subscript"/>
                    </w:rPr>
                    <w:t>4</w:t>
                  </w:r>
                  <w:r>
                    <w:rPr>
                      <w:bCs/>
                      <w:szCs w:val="21"/>
                      <w:vertAlign w:val="superscript"/>
                    </w:rPr>
                    <w:t>2-</w:t>
                  </w:r>
                </w:p>
              </w:tc>
              <w:tc>
                <w:tcPr>
                  <w:tcW w:w="874" w:type="pct"/>
                  <w:vAlign w:val="center"/>
                </w:tcPr>
                <w:p w14:paraId="6B13C020">
                  <w:pPr>
                    <w:jc w:val="center"/>
                    <w:rPr>
                      <w:bCs/>
                      <w:szCs w:val="21"/>
                    </w:rPr>
                  </w:pPr>
                  <w:r>
                    <w:rPr>
                      <w:bCs/>
                      <w:szCs w:val="21"/>
                    </w:rPr>
                    <w:t>105</w:t>
                  </w:r>
                </w:p>
              </w:tc>
              <w:tc>
                <w:tcPr>
                  <w:tcW w:w="972" w:type="pct"/>
                  <w:vAlign w:val="center"/>
                </w:tcPr>
                <w:p w14:paraId="6FBE836F">
                  <w:pPr>
                    <w:jc w:val="center"/>
                    <w:rPr>
                      <w:bCs/>
                      <w:szCs w:val="21"/>
                    </w:rPr>
                  </w:pPr>
                  <w:r>
                    <w:rPr>
                      <w:bCs/>
                      <w:szCs w:val="21"/>
                    </w:rPr>
                    <w:t>/</w:t>
                  </w:r>
                </w:p>
              </w:tc>
              <w:tc>
                <w:tcPr>
                  <w:tcW w:w="972" w:type="pct"/>
                  <w:vAlign w:val="center"/>
                </w:tcPr>
                <w:p w14:paraId="4C3C6A97">
                  <w:pPr>
                    <w:jc w:val="center"/>
                    <w:rPr>
                      <w:bCs/>
                      <w:szCs w:val="21"/>
                    </w:rPr>
                  </w:pPr>
                  <w:r>
                    <w:rPr>
                      <w:rFonts w:hint="eastAsia"/>
                      <w:bCs/>
                      <w:szCs w:val="21"/>
                    </w:rPr>
                    <w:t>/</w:t>
                  </w:r>
                </w:p>
              </w:tc>
            </w:tr>
            <w:tr w14:paraId="0220CC3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5"/>
                  <w:vAlign w:val="center"/>
                </w:tcPr>
                <w:p w14:paraId="1684DD0C">
                  <w:pPr>
                    <w:jc w:val="center"/>
                    <w:rPr>
                      <w:b/>
                      <w:szCs w:val="21"/>
                    </w:rPr>
                  </w:pPr>
                  <w:r>
                    <w:rPr>
                      <w:rFonts w:hint="eastAsia"/>
                      <w:b/>
                      <w:szCs w:val="21"/>
                    </w:rPr>
                    <w:t>解放路厂区</w:t>
                  </w:r>
                </w:p>
              </w:tc>
            </w:tr>
            <w:tr w14:paraId="11FEE58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restart"/>
                  <w:vAlign w:val="center"/>
                </w:tcPr>
                <w:p w14:paraId="7A8C7A57">
                  <w:pPr>
                    <w:widowControl/>
                    <w:jc w:val="center"/>
                    <w:rPr>
                      <w:bCs/>
                      <w:szCs w:val="21"/>
                    </w:rPr>
                  </w:pPr>
                  <w:r>
                    <w:rPr>
                      <w:rFonts w:hint="eastAsia"/>
                      <w:bCs/>
                      <w:szCs w:val="21"/>
                    </w:rPr>
                    <w:t>综合污水处理站东侧</w:t>
                  </w:r>
                </w:p>
              </w:tc>
              <w:tc>
                <w:tcPr>
                  <w:tcW w:w="1199" w:type="pct"/>
                  <w:vAlign w:val="center"/>
                </w:tcPr>
                <w:p w14:paraId="33B62034">
                  <w:pPr>
                    <w:tabs>
                      <w:tab w:val="left" w:pos="5910"/>
                    </w:tabs>
                    <w:jc w:val="center"/>
                    <w:rPr>
                      <w:szCs w:val="21"/>
                    </w:rPr>
                  </w:pPr>
                  <w:r>
                    <w:rPr>
                      <w:szCs w:val="21"/>
                    </w:rPr>
                    <w:t>pH</w:t>
                  </w:r>
                  <w:r>
                    <w:rPr>
                      <w:rFonts w:hint="eastAsia"/>
                      <w:szCs w:val="21"/>
                    </w:rPr>
                    <w:t>值</w:t>
                  </w:r>
                </w:p>
                <w:p w14:paraId="7A3E5CC7">
                  <w:pPr>
                    <w:tabs>
                      <w:tab w:val="left" w:pos="5910"/>
                    </w:tabs>
                    <w:jc w:val="center"/>
                    <w:rPr>
                      <w:bCs/>
                      <w:szCs w:val="21"/>
                    </w:rPr>
                  </w:pPr>
                  <w:r>
                    <w:rPr>
                      <w:rFonts w:hint="eastAsia"/>
                      <w:szCs w:val="21"/>
                    </w:rPr>
                    <w:t>（</w:t>
                  </w:r>
                  <w:r>
                    <w:rPr>
                      <w:rFonts w:hint="eastAsia"/>
                      <w:bCs/>
                      <w:szCs w:val="21"/>
                    </w:rPr>
                    <w:t>无量纲</w:t>
                  </w:r>
                  <w:r>
                    <w:rPr>
                      <w:rFonts w:hint="eastAsia"/>
                      <w:szCs w:val="21"/>
                    </w:rPr>
                    <w:t>）</w:t>
                  </w:r>
                </w:p>
              </w:tc>
              <w:tc>
                <w:tcPr>
                  <w:tcW w:w="874" w:type="pct"/>
                  <w:vAlign w:val="center"/>
                </w:tcPr>
                <w:p w14:paraId="457A4431">
                  <w:pPr>
                    <w:jc w:val="center"/>
                    <w:rPr>
                      <w:bCs/>
                      <w:szCs w:val="21"/>
                    </w:rPr>
                  </w:pPr>
                  <w:r>
                    <w:rPr>
                      <w:rFonts w:hint="eastAsia"/>
                      <w:szCs w:val="21"/>
                    </w:rPr>
                    <w:t>7.1</w:t>
                  </w:r>
                </w:p>
              </w:tc>
              <w:tc>
                <w:tcPr>
                  <w:tcW w:w="972" w:type="pct"/>
                  <w:vAlign w:val="center"/>
                </w:tcPr>
                <w:p w14:paraId="7E96D60D">
                  <w:pPr>
                    <w:jc w:val="center"/>
                    <w:rPr>
                      <w:bCs/>
                      <w:szCs w:val="21"/>
                    </w:rPr>
                  </w:pPr>
                  <w:r>
                    <w:rPr>
                      <w:bCs/>
                      <w:szCs w:val="21"/>
                    </w:rPr>
                    <w:t>6.5-8.5</w:t>
                  </w:r>
                </w:p>
              </w:tc>
              <w:tc>
                <w:tcPr>
                  <w:tcW w:w="972" w:type="pct"/>
                  <w:vAlign w:val="center"/>
                </w:tcPr>
                <w:p w14:paraId="7B9EB125">
                  <w:pPr>
                    <w:jc w:val="center"/>
                    <w:rPr>
                      <w:bCs/>
                      <w:szCs w:val="21"/>
                    </w:rPr>
                  </w:pPr>
                  <w:r>
                    <w:rPr>
                      <w:rFonts w:hint="eastAsia"/>
                      <w:bCs/>
                      <w:szCs w:val="21"/>
                    </w:rPr>
                    <w:t>0</w:t>
                  </w:r>
                </w:p>
              </w:tc>
            </w:tr>
            <w:tr w14:paraId="335ED95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08653E3E">
                  <w:pPr>
                    <w:widowControl/>
                    <w:jc w:val="center"/>
                    <w:rPr>
                      <w:bCs/>
                      <w:szCs w:val="21"/>
                    </w:rPr>
                  </w:pPr>
                </w:p>
              </w:tc>
              <w:tc>
                <w:tcPr>
                  <w:tcW w:w="1199" w:type="pct"/>
                  <w:vAlign w:val="center"/>
                </w:tcPr>
                <w:p w14:paraId="2F117B9C">
                  <w:pPr>
                    <w:tabs>
                      <w:tab w:val="left" w:pos="5910"/>
                    </w:tabs>
                    <w:jc w:val="center"/>
                    <w:rPr>
                      <w:bCs/>
                      <w:szCs w:val="21"/>
                    </w:rPr>
                  </w:pPr>
                  <w:r>
                    <w:rPr>
                      <w:szCs w:val="21"/>
                    </w:rPr>
                    <w:t>色度</w:t>
                  </w:r>
                  <w:r>
                    <w:rPr>
                      <w:rFonts w:hint="eastAsia"/>
                      <w:szCs w:val="21"/>
                    </w:rPr>
                    <w:t>（度）</w:t>
                  </w:r>
                </w:p>
              </w:tc>
              <w:tc>
                <w:tcPr>
                  <w:tcW w:w="874" w:type="pct"/>
                  <w:vAlign w:val="center"/>
                </w:tcPr>
                <w:p w14:paraId="4CBFD428">
                  <w:pPr>
                    <w:jc w:val="center"/>
                    <w:rPr>
                      <w:bCs/>
                      <w:szCs w:val="21"/>
                    </w:rPr>
                  </w:pPr>
                  <w:r>
                    <w:rPr>
                      <w:rFonts w:hint="eastAsia"/>
                      <w:szCs w:val="21"/>
                    </w:rPr>
                    <w:t>5</w:t>
                  </w:r>
                </w:p>
              </w:tc>
              <w:tc>
                <w:tcPr>
                  <w:tcW w:w="972" w:type="pct"/>
                  <w:vAlign w:val="center"/>
                </w:tcPr>
                <w:p w14:paraId="763ADD1E">
                  <w:pPr>
                    <w:jc w:val="center"/>
                    <w:rPr>
                      <w:bCs/>
                      <w:szCs w:val="21"/>
                    </w:rPr>
                  </w:pPr>
                  <w:r>
                    <w:rPr>
                      <w:rFonts w:hint="eastAsia"/>
                      <w:bCs/>
                      <w:szCs w:val="21"/>
                    </w:rPr>
                    <w:t>15</w:t>
                  </w:r>
                </w:p>
              </w:tc>
              <w:tc>
                <w:tcPr>
                  <w:tcW w:w="972" w:type="pct"/>
                  <w:vAlign w:val="center"/>
                </w:tcPr>
                <w:p w14:paraId="4B41B8E4">
                  <w:pPr>
                    <w:jc w:val="center"/>
                    <w:rPr>
                      <w:bCs/>
                      <w:szCs w:val="21"/>
                    </w:rPr>
                  </w:pPr>
                  <w:r>
                    <w:rPr>
                      <w:rFonts w:hint="eastAsia"/>
                      <w:bCs/>
                      <w:szCs w:val="21"/>
                    </w:rPr>
                    <w:t>0</w:t>
                  </w:r>
                </w:p>
              </w:tc>
            </w:tr>
            <w:tr w14:paraId="73762FD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0F5ECB2F">
                  <w:pPr>
                    <w:widowControl/>
                    <w:jc w:val="center"/>
                    <w:rPr>
                      <w:bCs/>
                      <w:szCs w:val="21"/>
                    </w:rPr>
                  </w:pPr>
                </w:p>
              </w:tc>
              <w:tc>
                <w:tcPr>
                  <w:tcW w:w="1199" w:type="pct"/>
                  <w:vAlign w:val="center"/>
                </w:tcPr>
                <w:p w14:paraId="42A57263">
                  <w:pPr>
                    <w:tabs>
                      <w:tab w:val="left" w:pos="5910"/>
                    </w:tabs>
                    <w:jc w:val="center"/>
                    <w:rPr>
                      <w:bCs/>
                      <w:szCs w:val="21"/>
                    </w:rPr>
                  </w:pPr>
                  <w:r>
                    <w:rPr>
                      <w:szCs w:val="21"/>
                    </w:rPr>
                    <w:t>嗅和味</w:t>
                  </w:r>
                  <w:r>
                    <w:rPr>
                      <w:rFonts w:hint="eastAsia"/>
                      <w:szCs w:val="21"/>
                    </w:rPr>
                    <w:t>（级）</w:t>
                  </w:r>
                </w:p>
              </w:tc>
              <w:tc>
                <w:tcPr>
                  <w:tcW w:w="874" w:type="pct"/>
                  <w:vAlign w:val="center"/>
                </w:tcPr>
                <w:p w14:paraId="60220F2A">
                  <w:pPr>
                    <w:jc w:val="center"/>
                    <w:rPr>
                      <w:bCs/>
                      <w:szCs w:val="21"/>
                    </w:rPr>
                  </w:pPr>
                  <w:r>
                    <w:rPr>
                      <w:rFonts w:hint="eastAsia"/>
                      <w:bCs/>
                      <w:szCs w:val="21"/>
                    </w:rPr>
                    <w:t>无</w:t>
                  </w:r>
                </w:p>
              </w:tc>
              <w:tc>
                <w:tcPr>
                  <w:tcW w:w="972" w:type="pct"/>
                  <w:vAlign w:val="center"/>
                </w:tcPr>
                <w:p w14:paraId="15AC97E0">
                  <w:pPr>
                    <w:jc w:val="center"/>
                    <w:rPr>
                      <w:bCs/>
                      <w:szCs w:val="21"/>
                    </w:rPr>
                  </w:pPr>
                  <w:r>
                    <w:rPr>
                      <w:rFonts w:hint="eastAsia"/>
                      <w:bCs/>
                      <w:szCs w:val="21"/>
                    </w:rPr>
                    <w:t>无</w:t>
                  </w:r>
                </w:p>
              </w:tc>
              <w:tc>
                <w:tcPr>
                  <w:tcW w:w="972" w:type="pct"/>
                  <w:vAlign w:val="center"/>
                </w:tcPr>
                <w:p w14:paraId="194B2925">
                  <w:pPr>
                    <w:jc w:val="center"/>
                    <w:rPr>
                      <w:bCs/>
                      <w:szCs w:val="21"/>
                    </w:rPr>
                  </w:pPr>
                  <w:r>
                    <w:rPr>
                      <w:rFonts w:hint="eastAsia"/>
                      <w:bCs/>
                      <w:szCs w:val="21"/>
                    </w:rPr>
                    <w:t>0</w:t>
                  </w:r>
                </w:p>
              </w:tc>
            </w:tr>
            <w:tr w14:paraId="0FA5590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5526AA45">
                  <w:pPr>
                    <w:widowControl/>
                    <w:jc w:val="center"/>
                    <w:rPr>
                      <w:bCs/>
                      <w:szCs w:val="21"/>
                    </w:rPr>
                  </w:pPr>
                </w:p>
              </w:tc>
              <w:tc>
                <w:tcPr>
                  <w:tcW w:w="1199" w:type="pct"/>
                  <w:vAlign w:val="center"/>
                </w:tcPr>
                <w:p w14:paraId="7AA6F710">
                  <w:pPr>
                    <w:tabs>
                      <w:tab w:val="left" w:pos="5910"/>
                    </w:tabs>
                    <w:jc w:val="center"/>
                    <w:rPr>
                      <w:szCs w:val="21"/>
                    </w:rPr>
                  </w:pPr>
                  <w:r>
                    <w:rPr>
                      <w:szCs w:val="21"/>
                    </w:rPr>
                    <w:t>浑浊度</w:t>
                  </w:r>
                </w:p>
                <w:p w14:paraId="475F0E1B">
                  <w:pPr>
                    <w:tabs>
                      <w:tab w:val="left" w:pos="5910"/>
                    </w:tabs>
                    <w:jc w:val="center"/>
                    <w:rPr>
                      <w:bCs/>
                      <w:szCs w:val="21"/>
                    </w:rPr>
                  </w:pPr>
                  <w:r>
                    <w:rPr>
                      <w:rFonts w:hint="eastAsia"/>
                      <w:szCs w:val="21"/>
                    </w:rPr>
                    <w:t>（NTU）</w:t>
                  </w:r>
                </w:p>
              </w:tc>
              <w:tc>
                <w:tcPr>
                  <w:tcW w:w="874" w:type="pct"/>
                  <w:vAlign w:val="center"/>
                </w:tcPr>
                <w:p w14:paraId="24ACF103">
                  <w:pPr>
                    <w:jc w:val="center"/>
                    <w:rPr>
                      <w:bCs/>
                      <w:szCs w:val="21"/>
                    </w:rPr>
                  </w:pPr>
                  <w:r>
                    <w:rPr>
                      <w:rFonts w:hint="eastAsia"/>
                      <w:szCs w:val="21"/>
                    </w:rPr>
                    <w:t>1.1</w:t>
                  </w:r>
                </w:p>
              </w:tc>
              <w:tc>
                <w:tcPr>
                  <w:tcW w:w="972" w:type="pct"/>
                  <w:vAlign w:val="center"/>
                </w:tcPr>
                <w:p w14:paraId="19A6B358">
                  <w:pPr>
                    <w:jc w:val="center"/>
                    <w:rPr>
                      <w:bCs/>
                      <w:szCs w:val="21"/>
                    </w:rPr>
                  </w:pPr>
                  <w:r>
                    <w:rPr>
                      <w:rFonts w:hint="eastAsia"/>
                      <w:bCs/>
                      <w:szCs w:val="21"/>
                    </w:rPr>
                    <w:t>3</w:t>
                  </w:r>
                </w:p>
              </w:tc>
              <w:tc>
                <w:tcPr>
                  <w:tcW w:w="972" w:type="pct"/>
                  <w:vAlign w:val="center"/>
                </w:tcPr>
                <w:p w14:paraId="2B3AF3BD">
                  <w:pPr>
                    <w:jc w:val="center"/>
                    <w:rPr>
                      <w:bCs/>
                      <w:szCs w:val="21"/>
                    </w:rPr>
                  </w:pPr>
                  <w:r>
                    <w:rPr>
                      <w:rFonts w:hint="eastAsia"/>
                      <w:bCs/>
                      <w:szCs w:val="21"/>
                    </w:rPr>
                    <w:t>0</w:t>
                  </w:r>
                </w:p>
              </w:tc>
            </w:tr>
            <w:tr w14:paraId="50C9578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AB65938">
                  <w:pPr>
                    <w:widowControl/>
                    <w:jc w:val="center"/>
                    <w:rPr>
                      <w:bCs/>
                      <w:szCs w:val="21"/>
                    </w:rPr>
                  </w:pPr>
                </w:p>
              </w:tc>
              <w:tc>
                <w:tcPr>
                  <w:tcW w:w="1199" w:type="pct"/>
                  <w:vAlign w:val="center"/>
                </w:tcPr>
                <w:p w14:paraId="7089B50C">
                  <w:pPr>
                    <w:tabs>
                      <w:tab w:val="left" w:pos="5910"/>
                    </w:tabs>
                    <w:jc w:val="center"/>
                    <w:rPr>
                      <w:bCs/>
                      <w:szCs w:val="21"/>
                    </w:rPr>
                  </w:pPr>
                  <w:r>
                    <w:rPr>
                      <w:szCs w:val="21"/>
                    </w:rPr>
                    <w:t>肉眼可见物</w:t>
                  </w:r>
                </w:p>
              </w:tc>
              <w:tc>
                <w:tcPr>
                  <w:tcW w:w="874" w:type="pct"/>
                  <w:vAlign w:val="center"/>
                </w:tcPr>
                <w:p w14:paraId="6DF3894A">
                  <w:pPr>
                    <w:jc w:val="center"/>
                    <w:rPr>
                      <w:bCs/>
                      <w:szCs w:val="21"/>
                    </w:rPr>
                  </w:pPr>
                  <w:r>
                    <w:rPr>
                      <w:rFonts w:hint="eastAsia"/>
                      <w:szCs w:val="21"/>
                    </w:rPr>
                    <w:t>无</w:t>
                  </w:r>
                </w:p>
              </w:tc>
              <w:tc>
                <w:tcPr>
                  <w:tcW w:w="972" w:type="pct"/>
                  <w:vAlign w:val="center"/>
                </w:tcPr>
                <w:p w14:paraId="32E6C682">
                  <w:pPr>
                    <w:jc w:val="center"/>
                    <w:rPr>
                      <w:bCs/>
                      <w:szCs w:val="21"/>
                    </w:rPr>
                  </w:pPr>
                  <w:r>
                    <w:rPr>
                      <w:rFonts w:hint="eastAsia"/>
                      <w:bCs/>
                      <w:szCs w:val="21"/>
                    </w:rPr>
                    <w:t>无</w:t>
                  </w:r>
                </w:p>
              </w:tc>
              <w:tc>
                <w:tcPr>
                  <w:tcW w:w="972" w:type="pct"/>
                  <w:vAlign w:val="center"/>
                </w:tcPr>
                <w:p w14:paraId="5A5A2EFC">
                  <w:pPr>
                    <w:jc w:val="center"/>
                    <w:rPr>
                      <w:bCs/>
                      <w:szCs w:val="21"/>
                    </w:rPr>
                  </w:pPr>
                  <w:r>
                    <w:rPr>
                      <w:rFonts w:hint="eastAsia"/>
                      <w:bCs/>
                      <w:szCs w:val="21"/>
                    </w:rPr>
                    <w:t>0</w:t>
                  </w:r>
                </w:p>
              </w:tc>
            </w:tr>
            <w:tr w14:paraId="68FE421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4B20E569">
                  <w:pPr>
                    <w:widowControl/>
                    <w:jc w:val="center"/>
                    <w:rPr>
                      <w:bCs/>
                      <w:szCs w:val="21"/>
                    </w:rPr>
                  </w:pPr>
                </w:p>
              </w:tc>
              <w:tc>
                <w:tcPr>
                  <w:tcW w:w="1199" w:type="pct"/>
                  <w:vAlign w:val="center"/>
                </w:tcPr>
                <w:p w14:paraId="480DB84C">
                  <w:pPr>
                    <w:tabs>
                      <w:tab w:val="left" w:pos="5910"/>
                    </w:tabs>
                    <w:jc w:val="center"/>
                    <w:rPr>
                      <w:bCs/>
                      <w:szCs w:val="21"/>
                    </w:rPr>
                  </w:pPr>
                  <w:r>
                    <w:rPr>
                      <w:rFonts w:hint="eastAsia"/>
                      <w:szCs w:val="21"/>
                    </w:rPr>
                    <w:t>总硬度</w:t>
                  </w:r>
                </w:p>
              </w:tc>
              <w:tc>
                <w:tcPr>
                  <w:tcW w:w="874" w:type="pct"/>
                  <w:vAlign w:val="center"/>
                </w:tcPr>
                <w:p w14:paraId="51641C91">
                  <w:pPr>
                    <w:jc w:val="center"/>
                    <w:rPr>
                      <w:bCs/>
                      <w:szCs w:val="21"/>
                    </w:rPr>
                  </w:pPr>
                  <w:r>
                    <w:rPr>
                      <w:rFonts w:hint="eastAsia"/>
                      <w:szCs w:val="21"/>
                    </w:rPr>
                    <w:t>329</w:t>
                  </w:r>
                </w:p>
              </w:tc>
              <w:tc>
                <w:tcPr>
                  <w:tcW w:w="972" w:type="pct"/>
                  <w:vAlign w:val="center"/>
                </w:tcPr>
                <w:p w14:paraId="08A8C22B">
                  <w:pPr>
                    <w:jc w:val="center"/>
                    <w:rPr>
                      <w:bCs/>
                      <w:szCs w:val="21"/>
                    </w:rPr>
                  </w:pPr>
                  <w:r>
                    <w:rPr>
                      <w:rFonts w:hint="eastAsia"/>
                      <w:bCs/>
                      <w:szCs w:val="21"/>
                    </w:rPr>
                    <w:t>450</w:t>
                  </w:r>
                </w:p>
              </w:tc>
              <w:tc>
                <w:tcPr>
                  <w:tcW w:w="972" w:type="pct"/>
                  <w:vAlign w:val="center"/>
                </w:tcPr>
                <w:p w14:paraId="4D2D96C8">
                  <w:pPr>
                    <w:jc w:val="center"/>
                    <w:rPr>
                      <w:bCs/>
                      <w:szCs w:val="21"/>
                    </w:rPr>
                  </w:pPr>
                  <w:r>
                    <w:rPr>
                      <w:rFonts w:hint="eastAsia"/>
                      <w:bCs/>
                      <w:szCs w:val="21"/>
                    </w:rPr>
                    <w:t>0</w:t>
                  </w:r>
                </w:p>
              </w:tc>
            </w:tr>
            <w:tr w14:paraId="38ED8A5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47C74732">
                  <w:pPr>
                    <w:widowControl/>
                    <w:jc w:val="center"/>
                    <w:rPr>
                      <w:bCs/>
                      <w:szCs w:val="21"/>
                    </w:rPr>
                  </w:pPr>
                </w:p>
              </w:tc>
              <w:tc>
                <w:tcPr>
                  <w:tcW w:w="1199" w:type="pct"/>
                  <w:vAlign w:val="center"/>
                </w:tcPr>
                <w:p w14:paraId="43031F1B">
                  <w:pPr>
                    <w:tabs>
                      <w:tab w:val="left" w:pos="5910"/>
                    </w:tabs>
                    <w:jc w:val="center"/>
                    <w:rPr>
                      <w:bCs/>
                      <w:szCs w:val="21"/>
                    </w:rPr>
                  </w:pPr>
                  <w:r>
                    <w:rPr>
                      <w:rFonts w:hint="eastAsia"/>
                      <w:szCs w:val="21"/>
                    </w:rPr>
                    <w:t>溶解性总固体</w:t>
                  </w:r>
                </w:p>
              </w:tc>
              <w:tc>
                <w:tcPr>
                  <w:tcW w:w="874" w:type="pct"/>
                  <w:vAlign w:val="center"/>
                </w:tcPr>
                <w:p w14:paraId="69CD35C2">
                  <w:pPr>
                    <w:jc w:val="center"/>
                    <w:rPr>
                      <w:bCs/>
                      <w:szCs w:val="21"/>
                    </w:rPr>
                  </w:pPr>
                  <w:r>
                    <w:rPr>
                      <w:rFonts w:hint="eastAsia"/>
                      <w:szCs w:val="21"/>
                    </w:rPr>
                    <w:t>461</w:t>
                  </w:r>
                </w:p>
              </w:tc>
              <w:tc>
                <w:tcPr>
                  <w:tcW w:w="972" w:type="pct"/>
                  <w:vAlign w:val="center"/>
                </w:tcPr>
                <w:p w14:paraId="00944359">
                  <w:pPr>
                    <w:jc w:val="center"/>
                    <w:rPr>
                      <w:bCs/>
                      <w:szCs w:val="21"/>
                    </w:rPr>
                  </w:pPr>
                  <w:r>
                    <w:rPr>
                      <w:rFonts w:hint="eastAsia"/>
                      <w:bCs/>
                      <w:szCs w:val="21"/>
                    </w:rPr>
                    <w:t>1000</w:t>
                  </w:r>
                </w:p>
              </w:tc>
              <w:tc>
                <w:tcPr>
                  <w:tcW w:w="972" w:type="pct"/>
                  <w:vAlign w:val="center"/>
                </w:tcPr>
                <w:p w14:paraId="52E86813">
                  <w:pPr>
                    <w:jc w:val="center"/>
                    <w:rPr>
                      <w:bCs/>
                      <w:szCs w:val="21"/>
                    </w:rPr>
                  </w:pPr>
                  <w:r>
                    <w:rPr>
                      <w:rFonts w:hint="eastAsia"/>
                      <w:bCs/>
                      <w:szCs w:val="21"/>
                    </w:rPr>
                    <w:t>0</w:t>
                  </w:r>
                </w:p>
              </w:tc>
            </w:tr>
            <w:tr w14:paraId="7D549D5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216E819D">
                  <w:pPr>
                    <w:widowControl/>
                    <w:jc w:val="center"/>
                    <w:rPr>
                      <w:bCs/>
                      <w:szCs w:val="21"/>
                    </w:rPr>
                  </w:pPr>
                </w:p>
              </w:tc>
              <w:tc>
                <w:tcPr>
                  <w:tcW w:w="1199" w:type="pct"/>
                  <w:vAlign w:val="center"/>
                </w:tcPr>
                <w:p w14:paraId="276F38C8">
                  <w:pPr>
                    <w:tabs>
                      <w:tab w:val="left" w:pos="5910"/>
                    </w:tabs>
                    <w:jc w:val="center"/>
                    <w:rPr>
                      <w:bCs/>
                      <w:szCs w:val="21"/>
                    </w:rPr>
                  </w:pPr>
                  <w:r>
                    <w:rPr>
                      <w:rFonts w:hint="eastAsia"/>
                      <w:szCs w:val="21"/>
                    </w:rPr>
                    <w:t>阴离子表面活性剂</w:t>
                  </w:r>
                </w:p>
              </w:tc>
              <w:tc>
                <w:tcPr>
                  <w:tcW w:w="874" w:type="pct"/>
                  <w:vAlign w:val="center"/>
                </w:tcPr>
                <w:p w14:paraId="70E214D7">
                  <w:pPr>
                    <w:jc w:val="center"/>
                    <w:rPr>
                      <w:bCs/>
                      <w:szCs w:val="21"/>
                    </w:rPr>
                  </w:pPr>
                  <w:r>
                    <w:rPr>
                      <w:rFonts w:hint="eastAsia"/>
                      <w:kern w:val="0"/>
                      <w:szCs w:val="21"/>
                    </w:rPr>
                    <w:t>0.13</w:t>
                  </w:r>
                </w:p>
              </w:tc>
              <w:tc>
                <w:tcPr>
                  <w:tcW w:w="972" w:type="pct"/>
                  <w:vAlign w:val="center"/>
                </w:tcPr>
                <w:p w14:paraId="2C46612F">
                  <w:pPr>
                    <w:jc w:val="center"/>
                    <w:rPr>
                      <w:bCs/>
                      <w:szCs w:val="21"/>
                    </w:rPr>
                  </w:pPr>
                  <w:r>
                    <w:rPr>
                      <w:rFonts w:hint="eastAsia"/>
                      <w:bCs/>
                      <w:szCs w:val="21"/>
                    </w:rPr>
                    <w:t>0.3</w:t>
                  </w:r>
                </w:p>
              </w:tc>
              <w:tc>
                <w:tcPr>
                  <w:tcW w:w="972" w:type="pct"/>
                  <w:vAlign w:val="center"/>
                </w:tcPr>
                <w:p w14:paraId="230B2344">
                  <w:pPr>
                    <w:jc w:val="center"/>
                    <w:rPr>
                      <w:bCs/>
                      <w:szCs w:val="21"/>
                    </w:rPr>
                  </w:pPr>
                  <w:r>
                    <w:rPr>
                      <w:rFonts w:hint="eastAsia"/>
                      <w:bCs/>
                      <w:szCs w:val="21"/>
                    </w:rPr>
                    <w:t>0</w:t>
                  </w:r>
                </w:p>
              </w:tc>
            </w:tr>
            <w:tr w14:paraId="6BBE779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60C2B96">
                  <w:pPr>
                    <w:widowControl/>
                    <w:jc w:val="center"/>
                    <w:rPr>
                      <w:bCs/>
                      <w:szCs w:val="21"/>
                    </w:rPr>
                  </w:pPr>
                </w:p>
              </w:tc>
              <w:tc>
                <w:tcPr>
                  <w:tcW w:w="1199" w:type="pct"/>
                  <w:vAlign w:val="center"/>
                </w:tcPr>
                <w:p w14:paraId="7BF0F3DA">
                  <w:pPr>
                    <w:tabs>
                      <w:tab w:val="left" w:pos="5910"/>
                    </w:tabs>
                    <w:jc w:val="center"/>
                    <w:rPr>
                      <w:bCs/>
                      <w:szCs w:val="21"/>
                    </w:rPr>
                  </w:pPr>
                  <w:r>
                    <w:rPr>
                      <w:rFonts w:hint="eastAsia"/>
                      <w:bCs/>
                      <w:szCs w:val="21"/>
                    </w:rPr>
                    <w:t>硫酸盐</w:t>
                  </w:r>
                </w:p>
              </w:tc>
              <w:tc>
                <w:tcPr>
                  <w:tcW w:w="874" w:type="pct"/>
                  <w:vAlign w:val="center"/>
                </w:tcPr>
                <w:p w14:paraId="65C7F4A5">
                  <w:pPr>
                    <w:jc w:val="center"/>
                    <w:rPr>
                      <w:bCs/>
                      <w:szCs w:val="21"/>
                    </w:rPr>
                  </w:pPr>
                  <w:r>
                    <w:rPr>
                      <w:rFonts w:hint="eastAsia"/>
                      <w:szCs w:val="21"/>
                    </w:rPr>
                    <w:t>127</w:t>
                  </w:r>
                </w:p>
              </w:tc>
              <w:tc>
                <w:tcPr>
                  <w:tcW w:w="972" w:type="pct"/>
                  <w:vAlign w:val="center"/>
                </w:tcPr>
                <w:p w14:paraId="430140EC">
                  <w:pPr>
                    <w:jc w:val="center"/>
                    <w:rPr>
                      <w:bCs/>
                      <w:szCs w:val="21"/>
                    </w:rPr>
                  </w:pPr>
                  <w:r>
                    <w:rPr>
                      <w:rFonts w:hint="eastAsia"/>
                      <w:bCs/>
                      <w:szCs w:val="21"/>
                    </w:rPr>
                    <w:t>250</w:t>
                  </w:r>
                </w:p>
              </w:tc>
              <w:tc>
                <w:tcPr>
                  <w:tcW w:w="972" w:type="pct"/>
                  <w:vAlign w:val="center"/>
                </w:tcPr>
                <w:p w14:paraId="2224758D">
                  <w:pPr>
                    <w:jc w:val="center"/>
                    <w:rPr>
                      <w:bCs/>
                      <w:szCs w:val="21"/>
                    </w:rPr>
                  </w:pPr>
                  <w:r>
                    <w:rPr>
                      <w:rFonts w:hint="eastAsia"/>
                      <w:bCs/>
                      <w:szCs w:val="21"/>
                    </w:rPr>
                    <w:t>0</w:t>
                  </w:r>
                </w:p>
              </w:tc>
            </w:tr>
            <w:tr w14:paraId="4C020F8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5EF1AB26">
                  <w:pPr>
                    <w:widowControl/>
                    <w:jc w:val="center"/>
                    <w:rPr>
                      <w:bCs/>
                      <w:szCs w:val="21"/>
                    </w:rPr>
                  </w:pPr>
                </w:p>
              </w:tc>
              <w:tc>
                <w:tcPr>
                  <w:tcW w:w="1199" w:type="pct"/>
                  <w:vAlign w:val="center"/>
                </w:tcPr>
                <w:p w14:paraId="783FB308">
                  <w:pPr>
                    <w:tabs>
                      <w:tab w:val="left" w:pos="5910"/>
                    </w:tabs>
                    <w:jc w:val="center"/>
                    <w:rPr>
                      <w:bCs/>
                      <w:szCs w:val="21"/>
                    </w:rPr>
                  </w:pPr>
                  <w:r>
                    <w:rPr>
                      <w:rFonts w:hint="eastAsia"/>
                      <w:szCs w:val="21"/>
                    </w:rPr>
                    <w:t>氯化物</w:t>
                  </w:r>
                </w:p>
              </w:tc>
              <w:tc>
                <w:tcPr>
                  <w:tcW w:w="874" w:type="pct"/>
                  <w:vAlign w:val="center"/>
                </w:tcPr>
                <w:p w14:paraId="3EC43F21">
                  <w:pPr>
                    <w:jc w:val="center"/>
                    <w:rPr>
                      <w:bCs/>
                      <w:szCs w:val="21"/>
                    </w:rPr>
                  </w:pPr>
                  <w:r>
                    <w:rPr>
                      <w:rFonts w:hint="eastAsia"/>
                      <w:szCs w:val="21"/>
                    </w:rPr>
                    <w:t>43</w:t>
                  </w:r>
                </w:p>
              </w:tc>
              <w:tc>
                <w:tcPr>
                  <w:tcW w:w="972" w:type="pct"/>
                  <w:vAlign w:val="center"/>
                </w:tcPr>
                <w:p w14:paraId="09B6AD55">
                  <w:pPr>
                    <w:jc w:val="center"/>
                    <w:rPr>
                      <w:bCs/>
                      <w:szCs w:val="21"/>
                    </w:rPr>
                  </w:pPr>
                  <w:r>
                    <w:rPr>
                      <w:rFonts w:hint="eastAsia"/>
                      <w:bCs/>
                      <w:szCs w:val="21"/>
                    </w:rPr>
                    <w:t>250</w:t>
                  </w:r>
                </w:p>
              </w:tc>
              <w:tc>
                <w:tcPr>
                  <w:tcW w:w="972" w:type="pct"/>
                  <w:vAlign w:val="center"/>
                </w:tcPr>
                <w:p w14:paraId="40244F46">
                  <w:pPr>
                    <w:jc w:val="center"/>
                    <w:rPr>
                      <w:bCs/>
                      <w:szCs w:val="21"/>
                    </w:rPr>
                  </w:pPr>
                  <w:r>
                    <w:rPr>
                      <w:rFonts w:hint="eastAsia"/>
                      <w:bCs/>
                      <w:szCs w:val="21"/>
                    </w:rPr>
                    <w:t>0</w:t>
                  </w:r>
                </w:p>
              </w:tc>
            </w:tr>
            <w:tr w14:paraId="76BB446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39E3A3CC">
                  <w:pPr>
                    <w:widowControl/>
                    <w:jc w:val="center"/>
                    <w:rPr>
                      <w:bCs/>
                      <w:szCs w:val="21"/>
                    </w:rPr>
                  </w:pPr>
                </w:p>
              </w:tc>
              <w:tc>
                <w:tcPr>
                  <w:tcW w:w="1199" w:type="pct"/>
                  <w:vAlign w:val="center"/>
                </w:tcPr>
                <w:p w14:paraId="6D0F98AE">
                  <w:pPr>
                    <w:tabs>
                      <w:tab w:val="left" w:pos="5910"/>
                    </w:tabs>
                    <w:jc w:val="center"/>
                    <w:rPr>
                      <w:bCs/>
                      <w:szCs w:val="21"/>
                    </w:rPr>
                  </w:pPr>
                  <w:r>
                    <w:rPr>
                      <w:rFonts w:hint="eastAsia"/>
                      <w:bCs/>
                      <w:szCs w:val="21"/>
                    </w:rPr>
                    <w:t>铁</w:t>
                  </w:r>
                </w:p>
              </w:tc>
              <w:tc>
                <w:tcPr>
                  <w:tcW w:w="874" w:type="pct"/>
                  <w:vAlign w:val="center"/>
                </w:tcPr>
                <w:p w14:paraId="0A6147AC">
                  <w:pPr>
                    <w:jc w:val="center"/>
                    <w:rPr>
                      <w:bCs/>
                      <w:szCs w:val="21"/>
                    </w:rPr>
                  </w:pPr>
                  <w:r>
                    <w:rPr>
                      <w:rFonts w:hint="eastAsia"/>
                      <w:bCs/>
                      <w:szCs w:val="21"/>
                    </w:rPr>
                    <w:t>N</w:t>
                  </w:r>
                  <w:r>
                    <w:rPr>
                      <w:bCs/>
                      <w:szCs w:val="21"/>
                    </w:rPr>
                    <w:t>D</w:t>
                  </w:r>
                </w:p>
              </w:tc>
              <w:tc>
                <w:tcPr>
                  <w:tcW w:w="972" w:type="pct"/>
                  <w:vAlign w:val="center"/>
                </w:tcPr>
                <w:p w14:paraId="510739B8">
                  <w:pPr>
                    <w:jc w:val="center"/>
                    <w:rPr>
                      <w:bCs/>
                      <w:szCs w:val="21"/>
                    </w:rPr>
                  </w:pPr>
                  <w:r>
                    <w:rPr>
                      <w:rFonts w:hint="eastAsia"/>
                      <w:bCs/>
                      <w:szCs w:val="21"/>
                    </w:rPr>
                    <w:t>0.3</w:t>
                  </w:r>
                </w:p>
              </w:tc>
              <w:tc>
                <w:tcPr>
                  <w:tcW w:w="972" w:type="pct"/>
                  <w:vAlign w:val="center"/>
                </w:tcPr>
                <w:p w14:paraId="1D3E3671">
                  <w:pPr>
                    <w:jc w:val="center"/>
                    <w:rPr>
                      <w:bCs/>
                      <w:szCs w:val="21"/>
                    </w:rPr>
                  </w:pPr>
                  <w:r>
                    <w:rPr>
                      <w:rFonts w:hint="eastAsia"/>
                      <w:bCs/>
                      <w:szCs w:val="21"/>
                    </w:rPr>
                    <w:t>0</w:t>
                  </w:r>
                </w:p>
              </w:tc>
            </w:tr>
            <w:tr w14:paraId="3D03333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CB28FFA">
                  <w:pPr>
                    <w:widowControl/>
                    <w:jc w:val="center"/>
                    <w:rPr>
                      <w:bCs/>
                      <w:szCs w:val="21"/>
                    </w:rPr>
                  </w:pPr>
                </w:p>
              </w:tc>
              <w:tc>
                <w:tcPr>
                  <w:tcW w:w="1199" w:type="pct"/>
                  <w:vAlign w:val="center"/>
                </w:tcPr>
                <w:p w14:paraId="194A67B4">
                  <w:pPr>
                    <w:tabs>
                      <w:tab w:val="left" w:pos="5910"/>
                    </w:tabs>
                    <w:jc w:val="center"/>
                    <w:rPr>
                      <w:bCs/>
                      <w:szCs w:val="21"/>
                    </w:rPr>
                  </w:pPr>
                  <w:r>
                    <w:rPr>
                      <w:rFonts w:hint="eastAsia"/>
                      <w:bCs/>
                      <w:szCs w:val="21"/>
                    </w:rPr>
                    <w:t>锰</w:t>
                  </w:r>
                </w:p>
              </w:tc>
              <w:tc>
                <w:tcPr>
                  <w:tcW w:w="874" w:type="pct"/>
                  <w:vAlign w:val="center"/>
                </w:tcPr>
                <w:p w14:paraId="56791DDC">
                  <w:pPr>
                    <w:jc w:val="center"/>
                    <w:rPr>
                      <w:bCs/>
                      <w:szCs w:val="21"/>
                    </w:rPr>
                  </w:pPr>
                  <w:r>
                    <w:rPr>
                      <w:rFonts w:hint="eastAsia"/>
                      <w:bCs/>
                      <w:szCs w:val="21"/>
                    </w:rPr>
                    <w:t>N</w:t>
                  </w:r>
                  <w:r>
                    <w:rPr>
                      <w:bCs/>
                      <w:szCs w:val="21"/>
                    </w:rPr>
                    <w:t>D</w:t>
                  </w:r>
                </w:p>
              </w:tc>
              <w:tc>
                <w:tcPr>
                  <w:tcW w:w="972" w:type="pct"/>
                  <w:vAlign w:val="center"/>
                </w:tcPr>
                <w:p w14:paraId="7F7B66F8">
                  <w:pPr>
                    <w:jc w:val="center"/>
                    <w:rPr>
                      <w:bCs/>
                      <w:szCs w:val="21"/>
                    </w:rPr>
                  </w:pPr>
                  <w:r>
                    <w:rPr>
                      <w:rFonts w:hint="eastAsia"/>
                      <w:bCs/>
                      <w:szCs w:val="21"/>
                    </w:rPr>
                    <w:t>0.1</w:t>
                  </w:r>
                </w:p>
              </w:tc>
              <w:tc>
                <w:tcPr>
                  <w:tcW w:w="972" w:type="pct"/>
                  <w:vAlign w:val="center"/>
                </w:tcPr>
                <w:p w14:paraId="3C2A476F">
                  <w:pPr>
                    <w:jc w:val="center"/>
                    <w:rPr>
                      <w:bCs/>
                      <w:szCs w:val="21"/>
                    </w:rPr>
                  </w:pPr>
                  <w:r>
                    <w:rPr>
                      <w:rFonts w:hint="eastAsia"/>
                      <w:bCs/>
                      <w:szCs w:val="21"/>
                    </w:rPr>
                    <w:t>0</w:t>
                  </w:r>
                </w:p>
              </w:tc>
            </w:tr>
            <w:tr w14:paraId="29E3F5E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34C6460B">
                  <w:pPr>
                    <w:widowControl/>
                    <w:jc w:val="center"/>
                    <w:rPr>
                      <w:bCs/>
                      <w:szCs w:val="21"/>
                    </w:rPr>
                  </w:pPr>
                </w:p>
              </w:tc>
              <w:tc>
                <w:tcPr>
                  <w:tcW w:w="1199" w:type="pct"/>
                  <w:vAlign w:val="center"/>
                </w:tcPr>
                <w:p w14:paraId="3579ECB6">
                  <w:pPr>
                    <w:tabs>
                      <w:tab w:val="left" w:pos="5910"/>
                    </w:tabs>
                    <w:jc w:val="center"/>
                    <w:rPr>
                      <w:bCs/>
                      <w:szCs w:val="21"/>
                    </w:rPr>
                  </w:pPr>
                  <w:r>
                    <w:rPr>
                      <w:rFonts w:hint="eastAsia"/>
                      <w:szCs w:val="21"/>
                    </w:rPr>
                    <w:t>铜</w:t>
                  </w:r>
                </w:p>
              </w:tc>
              <w:tc>
                <w:tcPr>
                  <w:tcW w:w="874" w:type="pct"/>
                  <w:vAlign w:val="center"/>
                </w:tcPr>
                <w:p w14:paraId="217ADE5B">
                  <w:pPr>
                    <w:jc w:val="center"/>
                    <w:rPr>
                      <w:bCs/>
                      <w:szCs w:val="21"/>
                    </w:rPr>
                  </w:pPr>
                  <w:r>
                    <w:rPr>
                      <w:rFonts w:hint="eastAsia"/>
                      <w:bCs/>
                      <w:szCs w:val="21"/>
                    </w:rPr>
                    <w:t>N</w:t>
                  </w:r>
                  <w:r>
                    <w:rPr>
                      <w:bCs/>
                      <w:szCs w:val="21"/>
                    </w:rPr>
                    <w:t>D</w:t>
                  </w:r>
                </w:p>
              </w:tc>
              <w:tc>
                <w:tcPr>
                  <w:tcW w:w="972" w:type="pct"/>
                  <w:vAlign w:val="center"/>
                </w:tcPr>
                <w:p w14:paraId="01B1138B">
                  <w:pPr>
                    <w:jc w:val="center"/>
                    <w:rPr>
                      <w:bCs/>
                      <w:szCs w:val="21"/>
                    </w:rPr>
                  </w:pPr>
                  <w:r>
                    <w:rPr>
                      <w:rFonts w:hint="eastAsia"/>
                      <w:bCs/>
                      <w:szCs w:val="21"/>
                    </w:rPr>
                    <w:t>1</w:t>
                  </w:r>
                </w:p>
              </w:tc>
              <w:tc>
                <w:tcPr>
                  <w:tcW w:w="972" w:type="pct"/>
                  <w:vAlign w:val="center"/>
                </w:tcPr>
                <w:p w14:paraId="01475DBE">
                  <w:pPr>
                    <w:jc w:val="center"/>
                    <w:rPr>
                      <w:bCs/>
                      <w:szCs w:val="21"/>
                    </w:rPr>
                  </w:pPr>
                  <w:r>
                    <w:rPr>
                      <w:rFonts w:hint="eastAsia"/>
                      <w:bCs/>
                      <w:szCs w:val="21"/>
                    </w:rPr>
                    <w:t>0</w:t>
                  </w:r>
                </w:p>
              </w:tc>
            </w:tr>
            <w:tr w14:paraId="2BABF4E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1805841D">
                  <w:pPr>
                    <w:widowControl/>
                    <w:jc w:val="center"/>
                    <w:rPr>
                      <w:bCs/>
                      <w:szCs w:val="21"/>
                    </w:rPr>
                  </w:pPr>
                </w:p>
              </w:tc>
              <w:tc>
                <w:tcPr>
                  <w:tcW w:w="1199" w:type="pct"/>
                  <w:vAlign w:val="center"/>
                </w:tcPr>
                <w:p w14:paraId="26AA1238">
                  <w:pPr>
                    <w:tabs>
                      <w:tab w:val="left" w:pos="5910"/>
                    </w:tabs>
                    <w:jc w:val="center"/>
                    <w:rPr>
                      <w:bCs/>
                      <w:szCs w:val="21"/>
                    </w:rPr>
                  </w:pPr>
                  <w:r>
                    <w:rPr>
                      <w:rFonts w:hint="eastAsia"/>
                      <w:szCs w:val="21"/>
                    </w:rPr>
                    <w:t>锌</w:t>
                  </w:r>
                </w:p>
              </w:tc>
              <w:tc>
                <w:tcPr>
                  <w:tcW w:w="874" w:type="pct"/>
                  <w:vAlign w:val="center"/>
                </w:tcPr>
                <w:p w14:paraId="6589C555">
                  <w:pPr>
                    <w:jc w:val="center"/>
                    <w:rPr>
                      <w:bCs/>
                      <w:szCs w:val="21"/>
                    </w:rPr>
                  </w:pPr>
                  <w:r>
                    <w:rPr>
                      <w:rFonts w:hint="eastAsia"/>
                      <w:bCs/>
                      <w:szCs w:val="21"/>
                    </w:rPr>
                    <w:t>N</w:t>
                  </w:r>
                  <w:r>
                    <w:rPr>
                      <w:bCs/>
                      <w:szCs w:val="21"/>
                    </w:rPr>
                    <w:t>D</w:t>
                  </w:r>
                </w:p>
              </w:tc>
              <w:tc>
                <w:tcPr>
                  <w:tcW w:w="972" w:type="pct"/>
                  <w:vAlign w:val="center"/>
                </w:tcPr>
                <w:p w14:paraId="716449A8">
                  <w:pPr>
                    <w:jc w:val="center"/>
                    <w:rPr>
                      <w:bCs/>
                      <w:szCs w:val="21"/>
                    </w:rPr>
                  </w:pPr>
                  <w:r>
                    <w:rPr>
                      <w:rFonts w:hint="eastAsia"/>
                      <w:bCs/>
                      <w:szCs w:val="21"/>
                    </w:rPr>
                    <w:t>1</w:t>
                  </w:r>
                </w:p>
              </w:tc>
              <w:tc>
                <w:tcPr>
                  <w:tcW w:w="972" w:type="pct"/>
                  <w:vAlign w:val="center"/>
                </w:tcPr>
                <w:p w14:paraId="2F6AB4EF">
                  <w:pPr>
                    <w:jc w:val="center"/>
                    <w:rPr>
                      <w:bCs/>
                      <w:szCs w:val="21"/>
                    </w:rPr>
                  </w:pPr>
                  <w:r>
                    <w:rPr>
                      <w:rFonts w:hint="eastAsia"/>
                      <w:bCs/>
                      <w:szCs w:val="21"/>
                    </w:rPr>
                    <w:t>0</w:t>
                  </w:r>
                </w:p>
              </w:tc>
            </w:tr>
            <w:tr w14:paraId="20E88F8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7146B1EA">
                  <w:pPr>
                    <w:widowControl/>
                    <w:jc w:val="center"/>
                    <w:rPr>
                      <w:bCs/>
                      <w:szCs w:val="21"/>
                    </w:rPr>
                  </w:pPr>
                </w:p>
              </w:tc>
              <w:tc>
                <w:tcPr>
                  <w:tcW w:w="1199" w:type="pct"/>
                  <w:vAlign w:val="center"/>
                </w:tcPr>
                <w:p w14:paraId="40245153">
                  <w:pPr>
                    <w:tabs>
                      <w:tab w:val="left" w:pos="5910"/>
                    </w:tabs>
                    <w:jc w:val="center"/>
                    <w:rPr>
                      <w:bCs/>
                      <w:szCs w:val="21"/>
                    </w:rPr>
                  </w:pPr>
                  <w:r>
                    <w:rPr>
                      <w:rFonts w:hint="eastAsia"/>
                      <w:szCs w:val="21"/>
                    </w:rPr>
                    <w:t>铝</w:t>
                  </w:r>
                </w:p>
              </w:tc>
              <w:tc>
                <w:tcPr>
                  <w:tcW w:w="874" w:type="pct"/>
                  <w:vAlign w:val="center"/>
                </w:tcPr>
                <w:p w14:paraId="4C50A59C">
                  <w:pPr>
                    <w:jc w:val="center"/>
                    <w:rPr>
                      <w:bCs/>
                      <w:szCs w:val="21"/>
                    </w:rPr>
                  </w:pPr>
                  <w:r>
                    <w:rPr>
                      <w:rFonts w:hint="eastAsia"/>
                      <w:bCs/>
                      <w:szCs w:val="21"/>
                    </w:rPr>
                    <w:t>N</w:t>
                  </w:r>
                  <w:r>
                    <w:rPr>
                      <w:bCs/>
                      <w:szCs w:val="21"/>
                    </w:rPr>
                    <w:t>D</w:t>
                  </w:r>
                </w:p>
              </w:tc>
              <w:tc>
                <w:tcPr>
                  <w:tcW w:w="972" w:type="pct"/>
                  <w:vAlign w:val="center"/>
                </w:tcPr>
                <w:p w14:paraId="4CEE1DF3">
                  <w:pPr>
                    <w:jc w:val="center"/>
                    <w:rPr>
                      <w:bCs/>
                      <w:szCs w:val="21"/>
                    </w:rPr>
                  </w:pPr>
                  <w:r>
                    <w:rPr>
                      <w:rFonts w:hint="eastAsia"/>
                      <w:bCs/>
                      <w:szCs w:val="21"/>
                    </w:rPr>
                    <w:t>0.2</w:t>
                  </w:r>
                </w:p>
              </w:tc>
              <w:tc>
                <w:tcPr>
                  <w:tcW w:w="972" w:type="pct"/>
                  <w:vAlign w:val="center"/>
                </w:tcPr>
                <w:p w14:paraId="65FFC9AB">
                  <w:pPr>
                    <w:jc w:val="center"/>
                    <w:rPr>
                      <w:bCs/>
                      <w:szCs w:val="21"/>
                    </w:rPr>
                  </w:pPr>
                  <w:r>
                    <w:rPr>
                      <w:rFonts w:hint="eastAsia"/>
                      <w:bCs/>
                      <w:szCs w:val="21"/>
                    </w:rPr>
                    <w:t>0</w:t>
                  </w:r>
                </w:p>
              </w:tc>
            </w:tr>
            <w:tr w14:paraId="70E4820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08673068">
                  <w:pPr>
                    <w:widowControl/>
                    <w:jc w:val="center"/>
                    <w:rPr>
                      <w:bCs/>
                      <w:szCs w:val="21"/>
                    </w:rPr>
                  </w:pPr>
                </w:p>
              </w:tc>
              <w:tc>
                <w:tcPr>
                  <w:tcW w:w="1199" w:type="pct"/>
                  <w:vAlign w:val="center"/>
                </w:tcPr>
                <w:p w14:paraId="79B8C997">
                  <w:pPr>
                    <w:tabs>
                      <w:tab w:val="left" w:pos="5910"/>
                    </w:tabs>
                    <w:jc w:val="center"/>
                    <w:rPr>
                      <w:bCs/>
                      <w:szCs w:val="21"/>
                    </w:rPr>
                  </w:pPr>
                  <w:r>
                    <w:rPr>
                      <w:szCs w:val="21"/>
                    </w:rPr>
                    <w:t>挥发酚</w:t>
                  </w:r>
                </w:p>
              </w:tc>
              <w:tc>
                <w:tcPr>
                  <w:tcW w:w="874" w:type="pct"/>
                  <w:vAlign w:val="center"/>
                </w:tcPr>
                <w:p w14:paraId="411A8E75">
                  <w:pPr>
                    <w:jc w:val="center"/>
                    <w:rPr>
                      <w:bCs/>
                      <w:szCs w:val="21"/>
                    </w:rPr>
                  </w:pPr>
                  <w:r>
                    <w:rPr>
                      <w:rFonts w:hint="eastAsia"/>
                      <w:bCs/>
                      <w:szCs w:val="21"/>
                    </w:rPr>
                    <w:t>N</w:t>
                  </w:r>
                  <w:r>
                    <w:rPr>
                      <w:bCs/>
                      <w:szCs w:val="21"/>
                    </w:rPr>
                    <w:t>D</w:t>
                  </w:r>
                </w:p>
              </w:tc>
              <w:tc>
                <w:tcPr>
                  <w:tcW w:w="972" w:type="pct"/>
                  <w:vAlign w:val="center"/>
                </w:tcPr>
                <w:p w14:paraId="32D7E7DC">
                  <w:pPr>
                    <w:jc w:val="center"/>
                    <w:rPr>
                      <w:bCs/>
                      <w:szCs w:val="21"/>
                    </w:rPr>
                  </w:pPr>
                  <w:r>
                    <w:rPr>
                      <w:rFonts w:hint="eastAsia"/>
                      <w:bCs/>
                      <w:szCs w:val="21"/>
                    </w:rPr>
                    <w:t>0.002</w:t>
                  </w:r>
                </w:p>
              </w:tc>
              <w:tc>
                <w:tcPr>
                  <w:tcW w:w="972" w:type="pct"/>
                  <w:vAlign w:val="center"/>
                </w:tcPr>
                <w:p w14:paraId="1FE6B618">
                  <w:pPr>
                    <w:jc w:val="center"/>
                    <w:rPr>
                      <w:bCs/>
                      <w:szCs w:val="21"/>
                    </w:rPr>
                  </w:pPr>
                  <w:r>
                    <w:rPr>
                      <w:rFonts w:hint="eastAsia"/>
                      <w:bCs/>
                      <w:szCs w:val="21"/>
                    </w:rPr>
                    <w:t>0</w:t>
                  </w:r>
                </w:p>
              </w:tc>
            </w:tr>
            <w:tr w14:paraId="65D71FE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302D9831">
                  <w:pPr>
                    <w:widowControl/>
                    <w:jc w:val="center"/>
                    <w:rPr>
                      <w:bCs/>
                      <w:szCs w:val="21"/>
                    </w:rPr>
                  </w:pPr>
                </w:p>
              </w:tc>
              <w:tc>
                <w:tcPr>
                  <w:tcW w:w="1199" w:type="pct"/>
                  <w:vAlign w:val="center"/>
                </w:tcPr>
                <w:p w14:paraId="603468E4">
                  <w:pPr>
                    <w:tabs>
                      <w:tab w:val="left" w:pos="5910"/>
                    </w:tabs>
                    <w:jc w:val="center"/>
                    <w:rPr>
                      <w:bCs/>
                      <w:szCs w:val="21"/>
                    </w:rPr>
                  </w:pPr>
                  <w:r>
                    <w:rPr>
                      <w:rFonts w:hint="eastAsia"/>
                      <w:bCs/>
                      <w:szCs w:val="21"/>
                    </w:rPr>
                    <w:t>耗氧量</w:t>
                  </w:r>
                </w:p>
              </w:tc>
              <w:tc>
                <w:tcPr>
                  <w:tcW w:w="874" w:type="pct"/>
                  <w:vAlign w:val="center"/>
                </w:tcPr>
                <w:p w14:paraId="55A8CB8B">
                  <w:pPr>
                    <w:jc w:val="center"/>
                    <w:rPr>
                      <w:bCs/>
                      <w:szCs w:val="21"/>
                    </w:rPr>
                  </w:pPr>
                  <w:r>
                    <w:rPr>
                      <w:rFonts w:hint="eastAsia"/>
                      <w:szCs w:val="21"/>
                    </w:rPr>
                    <w:t>1.26</w:t>
                  </w:r>
                </w:p>
              </w:tc>
              <w:tc>
                <w:tcPr>
                  <w:tcW w:w="972" w:type="pct"/>
                  <w:vAlign w:val="center"/>
                </w:tcPr>
                <w:p w14:paraId="47956FBC">
                  <w:pPr>
                    <w:jc w:val="center"/>
                    <w:rPr>
                      <w:bCs/>
                      <w:szCs w:val="21"/>
                    </w:rPr>
                  </w:pPr>
                  <w:r>
                    <w:rPr>
                      <w:rFonts w:hint="eastAsia"/>
                      <w:bCs/>
                      <w:szCs w:val="21"/>
                    </w:rPr>
                    <w:t>3</w:t>
                  </w:r>
                </w:p>
              </w:tc>
              <w:tc>
                <w:tcPr>
                  <w:tcW w:w="972" w:type="pct"/>
                  <w:vAlign w:val="center"/>
                </w:tcPr>
                <w:p w14:paraId="4AEC49C6">
                  <w:pPr>
                    <w:jc w:val="center"/>
                    <w:rPr>
                      <w:bCs/>
                      <w:szCs w:val="21"/>
                    </w:rPr>
                  </w:pPr>
                  <w:r>
                    <w:rPr>
                      <w:rFonts w:hint="eastAsia"/>
                      <w:bCs/>
                      <w:szCs w:val="21"/>
                    </w:rPr>
                    <w:t>0</w:t>
                  </w:r>
                </w:p>
              </w:tc>
            </w:tr>
            <w:tr w14:paraId="0A5464C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7FC7D10A">
                  <w:pPr>
                    <w:widowControl/>
                    <w:jc w:val="center"/>
                    <w:rPr>
                      <w:bCs/>
                      <w:szCs w:val="21"/>
                    </w:rPr>
                  </w:pPr>
                </w:p>
              </w:tc>
              <w:tc>
                <w:tcPr>
                  <w:tcW w:w="1199" w:type="pct"/>
                  <w:vAlign w:val="center"/>
                </w:tcPr>
                <w:p w14:paraId="2FAB56E2">
                  <w:pPr>
                    <w:tabs>
                      <w:tab w:val="left" w:pos="5910"/>
                    </w:tabs>
                    <w:jc w:val="center"/>
                    <w:rPr>
                      <w:bCs/>
                      <w:szCs w:val="21"/>
                    </w:rPr>
                  </w:pPr>
                  <w:r>
                    <w:rPr>
                      <w:szCs w:val="21"/>
                    </w:rPr>
                    <w:t>氨氮</w:t>
                  </w:r>
                </w:p>
              </w:tc>
              <w:tc>
                <w:tcPr>
                  <w:tcW w:w="874" w:type="pct"/>
                  <w:vAlign w:val="center"/>
                </w:tcPr>
                <w:p w14:paraId="5B30E574">
                  <w:pPr>
                    <w:jc w:val="center"/>
                    <w:rPr>
                      <w:bCs/>
                      <w:szCs w:val="21"/>
                    </w:rPr>
                  </w:pPr>
                  <w:r>
                    <w:rPr>
                      <w:rFonts w:hint="eastAsia"/>
                      <w:bCs/>
                      <w:szCs w:val="21"/>
                    </w:rPr>
                    <w:t>0.121</w:t>
                  </w:r>
                </w:p>
              </w:tc>
              <w:tc>
                <w:tcPr>
                  <w:tcW w:w="972" w:type="pct"/>
                  <w:vAlign w:val="center"/>
                </w:tcPr>
                <w:p w14:paraId="7DDF8CAC">
                  <w:pPr>
                    <w:jc w:val="center"/>
                    <w:rPr>
                      <w:bCs/>
                      <w:szCs w:val="21"/>
                    </w:rPr>
                  </w:pPr>
                  <w:r>
                    <w:rPr>
                      <w:rFonts w:hint="eastAsia"/>
                      <w:bCs/>
                      <w:szCs w:val="21"/>
                    </w:rPr>
                    <w:t>0.5</w:t>
                  </w:r>
                </w:p>
              </w:tc>
              <w:tc>
                <w:tcPr>
                  <w:tcW w:w="972" w:type="pct"/>
                  <w:vAlign w:val="center"/>
                </w:tcPr>
                <w:p w14:paraId="04249428">
                  <w:pPr>
                    <w:jc w:val="center"/>
                    <w:rPr>
                      <w:bCs/>
                      <w:szCs w:val="21"/>
                    </w:rPr>
                  </w:pPr>
                  <w:r>
                    <w:rPr>
                      <w:rFonts w:hint="eastAsia"/>
                      <w:bCs/>
                      <w:szCs w:val="21"/>
                    </w:rPr>
                    <w:t>0</w:t>
                  </w:r>
                </w:p>
              </w:tc>
            </w:tr>
            <w:tr w14:paraId="607A18D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205C6ACA">
                  <w:pPr>
                    <w:widowControl/>
                    <w:jc w:val="center"/>
                    <w:rPr>
                      <w:bCs/>
                      <w:szCs w:val="21"/>
                    </w:rPr>
                  </w:pPr>
                </w:p>
              </w:tc>
              <w:tc>
                <w:tcPr>
                  <w:tcW w:w="1199" w:type="pct"/>
                  <w:vAlign w:val="center"/>
                </w:tcPr>
                <w:p w14:paraId="14798726">
                  <w:pPr>
                    <w:tabs>
                      <w:tab w:val="left" w:pos="5910"/>
                    </w:tabs>
                    <w:jc w:val="center"/>
                    <w:rPr>
                      <w:bCs/>
                      <w:szCs w:val="21"/>
                    </w:rPr>
                  </w:pPr>
                  <w:r>
                    <w:rPr>
                      <w:rFonts w:hint="eastAsia"/>
                      <w:szCs w:val="21"/>
                    </w:rPr>
                    <w:t>硫化物</w:t>
                  </w:r>
                </w:p>
              </w:tc>
              <w:tc>
                <w:tcPr>
                  <w:tcW w:w="874" w:type="pct"/>
                  <w:vAlign w:val="center"/>
                </w:tcPr>
                <w:p w14:paraId="15428663">
                  <w:pPr>
                    <w:jc w:val="center"/>
                    <w:rPr>
                      <w:bCs/>
                      <w:szCs w:val="21"/>
                    </w:rPr>
                  </w:pPr>
                  <w:r>
                    <w:rPr>
                      <w:rFonts w:hint="eastAsia"/>
                      <w:bCs/>
                      <w:szCs w:val="21"/>
                    </w:rPr>
                    <w:t>N</w:t>
                  </w:r>
                  <w:r>
                    <w:rPr>
                      <w:bCs/>
                      <w:szCs w:val="21"/>
                    </w:rPr>
                    <w:t>D</w:t>
                  </w:r>
                </w:p>
              </w:tc>
              <w:tc>
                <w:tcPr>
                  <w:tcW w:w="972" w:type="pct"/>
                  <w:vAlign w:val="center"/>
                </w:tcPr>
                <w:p w14:paraId="342A45AE">
                  <w:pPr>
                    <w:jc w:val="center"/>
                    <w:rPr>
                      <w:bCs/>
                      <w:szCs w:val="21"/>
                    </w:rPr>
                  </w:pPr>
                  <w:r>
                    <w:rPr>
                      <w:rFonts w:hint="eastAsia"/>
                      <w:bCs/>
                      <w:szCs w:val="21"/>
                    </w:rPr>
                    <w:t>0.02</w:t>
                  </w:r>
                </w:p>
              </w:tc>
              <w:tc>
                <w:tcPr>
                  <w:tcW w:w="972" w:type="pct"/>
                  <w:vAlign w:val="center"/>
                </w:tcPr>
                <w:p w14:paraId="54BFE326">
                  <w:pPr>
                    <w:jc w:val="center"/>
                    <w:rPr>
                      <w:bCs/>
                      <w:szCs w:val="21"/>
                    </w:rPr>
                  </w:pPr>
                  <w:r>
                    <w:rPr>
                      <w:rFonts w:hint="eastAsia"/>
                      <w:bCs/>
                      <w:szCs w:val="21"/>
                    </w:rPr>
                    <w:t>0</w:t>
                  </w:r>
                </w:p>
              </w:tc>
            </w:tr>
            <w:tr w14:paraId="4255940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59A8814">
                  <w:pPr>
                    <w:widowControl/>
                    <w:jc w:val="center"/>
                    <w:rPr>
                      <w:bCs/>
                      <w:szCs w:val="21"/>
                    </w:rPr>
                  </w:pPr>
                </w:p>
              </w:tc>
              <w:tc>
                <w:tcPr>
                  <w:tcW w:w="1199" w:type="pct"/>
                  <w:vAlign w:val="center"/>
                </w:tcPr>
                <w:p w14:paraId="7463412D">
                  <w:pPr>
                    <w:tabs>
                      <w:tab w:val="left" w:pos="5910"/>
                    </w:tabs>
                    <w:jc w:val="center"/>
                    <w:rPr>
                      <w:bCs/>
                      <w:szCs w:val="21"/>
                    </w:rPr>
                  </w:pPr>
                  <w:r>
                    <w:rPr>
                      <w:rFonts w:hint="eastAsia"/>
                      <w:szCs w:val="21"/>
                    </w:rPr>
                    <w:t>钠</w:t>
                  </w:r>
                </w:p>
              </w:tc>
              <w:tc>
                <w:tcPr>
                  <w:tcW w:w="874" w:type="pct"/>
                  <w:vAlign w:val="center"/>
                </w:tcPr>
                <w:p w14:paraId="1EC85A5A">
                  <w:pPr>
                    <w:jc w:val="center"/>
                    <w:rPr>
                      <w:bCs/>
                      <w:szCs w:val="21"/>
                    </w:rPr>
                  </w:pPr>
                  <w:r>
                    <w:rPr>
                      <w:rFonts w:hint="eastAsia"/>
                      <w:bCs/>
                      <w:szCs w:val="21"/>
                    </w:rPr>
                    <w:t>N</w:t>
                  </w:r>
                  <w:r>
                    <w:rPr>
                      <w:bCs/>
                      <w:szCs w:val="21"/>
                    </w:rPr>
                    <w:t>D</w:t>
                  </w:r>
                </w:p>
              </w:tc>
              <w:tc>
                <w:tcPr>
                  <w:tcW w:w="972" w:type="pct"/>
                  <w:vAlign w:val="center"/>
                </w:tcPr>
                <w:p w14:paraId="073F040B">
                  <w:pPr>
                    <w:jc w:val="center"/>
                    <w:rPr>
                      <w:bCs/>
                      <w:szCs w:val="21"/>
                    </w:rPr>
                  </w:pPr>
                  <w:r>
                    <w:rPr>
                      <w:rFonts w:hint="eastAsia"/>
                      <w:bCs/>
                      <w:szCs w:val="21"/>
                    </w:rPr>
                    <w:t>200</w:t>
                  </w:r>
                </w:p>
              </w:tc>
              <w:tc>
                <w:tcPr>
                  <w:tcW w:w="972" w:type="pct"/>
                  <w:vAlign w:val="center"/>
                </w:tcPr>
                <w:p w14:paraId="178AC934">
                  <w:pPr>
                    <w:jc w:val="center"/>
                    <w:rPr>
                      <w:bCs/>
                      <w:szCs w:val="21"/>
                    </w:rPr>
                  </w:pPr>
                  <w:r>
                    <w:rPr>
                      <w:rFonts w:hint="eastAsia"/>
                      <w:bCs/>
                      <w:szCs w:val="21"/>
                    </w:rPr>
                    <w:t>0</w:t>
                  </w:r>
                </w:p>
              </w:tc>
            </w:tr>
            <w:tr w14:paraId="4185622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04C0BE97">
                  <w:pPr>
                    <w:widowControl/>
                    <w:jc w:val="center"/>
                    <w:rPr>
                      <w:bCs/>
                      <w:szCs w:val="21"/>
                    </w:rPr>
                  </w:pPr>
                </w:p>
              </w:tc>
              <w:tc>
                <w:tcPr>
                  <w:tcW w:w="1199" w:type="pct"/>
                  <w:vAlign w:val="center"/>
                </w:tcPr>
                <w:p w14:paraId="715C54EF">
                  <w:pPr>
                    <w:tabs>
                      <w:tab w:val="left" w:pos="5910"/>
                    </w:tabs>
                    <w:jc w:val="center"/>
                    <w:rPr>
                      <w:bCs/>
                      <w:szCs w:val="21"/>
                    </w:rPr>
                  </w:pPr>
                  <w:r>
                    <w:rPr>
                      <w:rFonts w:hint="eastAsia"/>
                      <w:szCs w:val="21"/>
                    </w:rPr>
                    <w:t>硝酸盐氮</w:t>
                  </w:r>
                </w:p>
              </w:tc>
              <w:tc>
                <w:tcPr>
                  <w:tcW w:w="874" w:type="pct"/>
                  <w:vAlign w:val="center"/>
                </w:tcPr>
                <w:p w14:paraId="7E3349DC">
                  <w:pPr>
                    <w:jc w:val="center"/>
                    <w:rPr>
                      <w:bCs/>
                      <w:szCs w:val="21"/>
                    </w:rPr>
                  </w:pPr>
                  <w:r>
                    <w:rPr>
                      <w:rFonts w:hint="eastAsia"/>
                      <w:szCs w:val="21"/>
                    </w:rPr>
                    <w:t>1.25</w:t>
                  </w:r>
                </w:p>
              </w:tc>
              <w:tc>
                <w:tcPr>
                  <w:tcW w:w="972" w:type="pct"/>
                  <w:vAlign w:val="center"/>
                </w:tcPr>
                <w:p w14:paraId="10A572A3">
                  <w:pPr>
                    <w:jc w:val="center"/>
                    <w:rPr>
                      <w:bCs/>
                      <w:szCs w:val="21"/>
                    </w:rPr>
                  </w:pPr>
                  <w:r>
                    <w:rPr>
                      <w:rFonts w:hint="eastAsia"/>
                      <w:bCs/>
                      <w:szCs w:val="21"/>
                    </w:rPr>
                    <w:t>20</w:t>
                  </w:r>
                </w:p>
              </w:tc>
              <w:tc>
                <w:tcPr>
                  <w:tcW w:w="972" w:type="pct"/>
                  <w:vAlign w:val="center"/>
                </w:tcPr>
                <w:p w14:paraId="362B987A">
                  <w:pPr>
                    <w:jc w:val="center"/>
                    <w:rPr>
                      <w:bCs/>
                      <w:szCs w:val="21"/>
                    </w:rPr>
                  </w:pPr>
                  <w:r>
                    <w:rPr>
                      <w:rFonts w:hint="eastAsia"/>
                      <w:bCs/>
                      <w:szCs w:val="21"/>
                    </w:rPr>
                    <w:t>0</w:t>
                  </w:r>
                </w:p>
              </w:tc>
            </w:tr>
            <w:tr w14:paraId="5EED133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01376C6">
                  <w:pPr>
                    <w:widowControl/>
                    <w:jc w:val="center"/>
                    <w:rPr>
                      <w:bCs/>
                      <w:szCs w:val="21"/>
                    </w:rPr>
                  </w:pPr>
                </w:p>
              </w:tc>
              <w:tc>
                <w:tcPr>
                  <w:tcW w:w="1199" w:type="pct"/>
                  <w:vAlign w:val="center"/>
                </w:tcPr>
                <w:p w14:paraId="65C0808A">
                  <w:pPr>
                    <w:tabs>
                      <w:tab w:val="left" w:pos="5910"/>
                    </w:tabs>
                    <w:jc w:val="center"/>
                    <w:rPr>
                      <w:bCs/>
                      <w:szCs w:val="21"/>
                    </w:rPr>
                  </w:pPr>
                  <w:r>
                    <w:rPr>
                      <w:szCs w:val="21"/>
                    </w:rPr>
                    <w:t>亚硝酸盐</w:t>
                  </w:r>
                  <w:r>
                    <w:rPr>
                      <w:rFonts w:hint="eastAsia"/>
                      <w:szCs w:val="21"/>
                    </w:rPr>
                    <w:t>氮</w:t>
                  </w:r>
                </w:p>
              </w:tc>
              <w:tc>
                <w:tcPr>
                  <w:tcW w:w="874" w:type="pct"/>
                  <w:vAlign w:val="center"/>
                </w:tcPr>
                <w:p w14:paraId="25101C94">
                  <w:pPr>
                    <w:jc w:val="center"/>
                    <w:rPr>
                      <w:bCs/>
                      <w:szCs w:val="21"/>
                    </w:rPr>
                  </w:pPr>
                  <w:r>
                    <w:rPr>
                      <w:rFonts w:hint="eastAsia"/>
                      <w:bCs/>
                      <w:szCs w:val="21"/>
                    </w:rPr>
                    <w:t>N</w:t>
                  </w:r>
                  <w:r>
                    <w:rPr>
                      <w:bCs/>
                      <w:szCs w:val="21"/>
                    </w:rPr>
                    <w:t>D</w:t>
                  </w:r>
                </w:p>
              </w:tc>
              <w:tc>
                <w:tcPr>
                  <w:tcW w:w="972" w:type="pct"/>
                  <w:vAlign w:val="center"/>
                </w:tcPr>
                <w:p w14:paraId="76252990">
                  <w:pPr>
                    <w:jc w:val="center"/>
                    <w:rPr>
                      <w:bCs/>
                      <w:szCs w:val="21"/>
                    </w:rPr>
                  </w:pPr>
                  <w:r>
                    <w:rPr>
                      <w:rFonts w:hint="eastAsia"/>
                      <w:bCs/>
                      <w:szCs w:val="21"/>
                    </w:rPr>
                    <w:t>1</w:t>
                  </w:r>
                </w:p>
              </w:tc>
              <w:tc>
                <w:tcPr>
                  <w:tcW w:w="972" w:type="pct"/>
                  <w:vAlign w:val="center"/>
                </w:tcPr>
                <w:p w14:paraId="0AB86450">
                  <w:pPr>
                    <w:jc w:val="center"/>
                    <w:rPr>
                      <w:bCs/>
                      <w:szCs w:val="21"/>
                    </w:rPr>
                  </w:pPr>
                  <w:r>
                    <w:rPr>
                      <w:rFonts w:hint="eastAsia"/>
                      <w:bCs/>
                      <w:szCs w:val="21"/>
                    </w:rPr>
                    <w:t>0</w:t>
                  </w:r>
                </w:p>
              </w:tc>
            </w:tr>
            <w:tr w14:paraId="3C615B7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143DB800">
                  <w:pPr>
                    <w:widowControl/>
                    <w:jc w:val="center"/>
                    <w:rPr>
                      <w:bCs/>
                      <w:szCs w:val="21"/>
                    </w:rPr>
                  </w:pPr>
                </w:p>
              </w:tc>
              <w:tc>
                <w:tcPr>
                  <w:tcW w:w="1199" w:type="pct"/>
                  <w:vAlign w:val="center"/>
                </w:tcPr>
                <w:p w14:paraId="1EC887A8">
                  <w:pPr>
                    <w:tabs>
                      <w:tab w:val="left" w:pos="5910"/>
                    </w:tabs>
                    <w:jc w:val="center"/>
                    <w:rPr>
                      <w:bCs/>
                      <w:szCs w:val="21"/>
                    </w:rPr>
                  </w:pPr>
                  <w:r>
                    <w:rPr>
                      <w:rFonts w:hint="eastAsia"/>
                      <w:szCs w:val="21"/>
                    </w:rPr>
                    <w:t>氰化物</w:t>
                  </w:r>
                </w:p>
              </w:tc>
              <w:tc>
                <w:tcPr>
                  <w:tcW w:w="874" w:type="pct"/>
                  <w:vAlign w:val="center"/>
                </w:tcPr>
                <w:p w14:paraId="0E08FF97">
                  <w:pPr>
                    <w:jc w:val="center"/>
                    <w:rPr>
                      <w:bCs/>
                      <w:szCs w:val="21"/>
                    </w:rPr>
                  </w:pPr>
                  <w:r>
                    <w:rPr>
                      <w:rFonts w:hint="eastAsia"/>
                      <w:bCs/>
                      <w:szCs w:val="21"/>
                    </w:rPr>
                    <w:t>N</w:t>
                  </w:r>
                  <w:r>
                    <w:rPr>
                      <w:bCs/>
                      <w:szCs w:val="21"/>
                    </w:rPr>
                    <w:t>D</w:t>
                  </w:r>
                </w:p>
              </w:tc>
              <w:tc>
                <w:tcPr>
                  <w:tcW w:w="972" w:type="pct"/>
                  <w:vAlign w:val="center"/>
                </w:tcPr>
                <w:p w14:paraId="0A42093E">
                  <w:pPr>
                    <w:jc w:val="center"/>
                    <w:rPr>
                      <w:bCs/>
                      <w:szCs w:val="21"/>
                    </w:rPr>
                  </w:pPr>
                  <w:r>
                    <w:rPr>
                      <w:rFonts w:hint="eastAsia"/>
                      <w:bCs/>
                      <w:szCs w:val="21"/>
                    </w:rPr>
                    <w:t>0.05</w:t>
                  </w:r>
                </w:p>
              </w:tc>
              <w:tc>
                <w:tcPr>
                  <w:tcW w:w="972" w:type="pct"/>
                  <w:vAlign w:val="center"/>
                </w:tcPr>
                <w:p w14:paraId="22694AA5">
                  <w:pPr>
                    <w:jc w:val="center"/>
                    <w:rPr>
                      <w:bCs/>
                      <w:szCs w:val="21"/>
                    </w:rPr>
                  </w:pPr>
                  <w:r>
                    <w:rPr>
                      <w:rFonts w:hint="eastAsia"/>
                      <w:bCs/>
                      <w:szCs w:val="21"/>
                    </w:rPr>
                    <w:t>0</w:t>
                  </w:r>
                </w:p>
              </w:tc>
            </w:tr>
            <w:tr w14:paraId="2C81722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171732F9">
                  <w:pPr>
                    <w:widowControl/>
                    <w:jc w:val="center"/>
                    <w:rPr>
                      <w:bCs/>
                      <w:szCs w:val="21"/>
                    </w:rPr>
                  </w:pPr>
                </w:p>
              </w:tc>
              <w:tc>
                <w:tcPr>
                  <w:tcW w:w="1199" w:type="pct"/>
                  <w:vAlign w:val="center"/>
                </w:tcPr>
                <w:p w14:paraId="700B258A">
                  <w:pPr>
                    <w:tabs>
                      <w:tab w:val="left" w:pos="5910"/>
                    </w:tabs>
                    <w:jc w:val="center"/>
                    <w:rPr>
                      <w:bCs/>
                      <w:szCs w:val="21"/>
                    </w:rPr>
                  </w:pPr>
                  <w:r>
                    <w:rPr>
                      <w:rFonts w:hint="eastAsia"/>
                      <w:bCs/>
                      <w:szCs w:val="21"/>
                    </w:rPr>
                    <w:t>氟化物</w:t>
                  </w:r>
                </w:p>
              </w:tc>
              <w:tc>
                <w:tcPr>
                  <w:tcW w:w="874" w:type="pct"/>
                  <w:vAlign w:val="center"/>
                </w:tcPr>
                <w:p w14:paraId="76AC09FA">
                  <w:pPr>
                    <w:jc w:val="center"/>
                    <w:rPr>
                      <w:bCs/>
                      <w:szCs w:val="21"/>
                    </w:rPr>
                  </w:pPr>
                  <w:r>
                    <w:rPr>
                      <w:rFonts w:hint="eastAsia"/>
                      <w:bCs/>
                      <w:szCs w:val="21"/>
                    </w:rPr>
                    <w:t>0.51</w:t>
                  </w:r>
                </w:p>
              </w:tc>
              <w:tc>
                <w:tcPr>
                  <w:tcW w:w="972" w:type="pct"/>
                  <w:vAlign w:val="center"/>
                </w:tcPr>
                <w:p w14:paraId="4107BCEC">
                  <w:pPr>
                    <w:jc w:val="center"/>
                    <w:rPr>
                      <w:bCs/>
                      <w:szCs w:val="21"/>
                    </w:rPr>
                  </w:pPr>
                  <w:r>
                    <w:rPr>
                      <w:rFonts w:hint="eastAsia"/>
                      <w:bCs/>
                      <w:szCs w:val="21"/>
                    </w:rPr>
                    <w:t>1</w:t>
                  </w:r>
                </w:p>
              </w:tc>
              <w:tc>
                <w:tcPr>
                  <w:tcW w:w="972" w:type="pct"/>
                  <w:vAlign w:val="center"/>
                </w:tcPr>
                <w:p w14:paraId="60E7825F">
                  <w:pPr>
                    <w:jc w:val="center"/>
                    <w:rPr>
                      <w:bCs/>
                      <w:szCs w:val="21"/>
                    </w:rPr>
                  </w:pPr>
                  <w:r>
                    <w:rPr>
                      <w:rFonts w:hint="eastAsia"/>
                      <w:bCs/>
                      <w:szCs w:val="21"/>
                    </w:rPr>
                    <w:t>0</w:t>
                  </w:r>
                </w:p>
              </w:tc>
            </w:tr>
            <w:tr w14:paraId="3D3100C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213466F">
                  <w:pPr>
                    <w:widowControl/>
                    <w:jc w:val="center"/>
                    <w:rPr>
                      <w:bCs/>
                      <w:szCs w:val="21"/>
                    </w:rPr>
                  </w:pPr>
                </w:p>
              </w:tc>
              <w:tc>
                <w:tcPr>
                  <w:tcW w:w="1199" w:type="pct"/>
                  <w:vAlign w:val="center"/>
                </w:tcPr>
                <w:p w14:paraId="188202E4">
                  <w:pPr>
                    <w:tabs>
                      <w:tab w:val="left" w:pos="5910"/>
                    </w:tabs>
                    <w:jc w:val="center"/>
                    <w:rPr>
                      <w:bCs/>
                      <w:szCs w:val="21"/>
                    </w:rPr>
                  </w:pPr>
                  <w:r>
                    <w:rPr>
                      <w:rFonts w:hint="eastAsia"/>
                      <w:bCs/>
                      <w:szCs w:val="21"/>
                    </w:rPr>
                    <w:t>碘化物</w:t>
                  </w:r>
                </w:p>
              </w:tc>
              <w:tc>
                <w:tcPr>
                  <w:tcW w:w="874" w:type="pct"/>
                  <w:vAlign w:val="center"/>
                </w:tcPr>
                <w:p w14:paraId="4EB5B440">
                  <w:pPr>
                    <w:jc w:val="center"/>
                    <w:rPr>
                      <w:bCs/>
                      <w:szCs w:val="21"/>
                    </w:rPr>
                  </w:pPr>
                  <w:r>
                    <w:rPr>
                      <w:rFonts w:hint="eastAsia"/>
                      <w:bCs/>
                      <w:szCs w:val="21"/>
                    </w:rPr>
                    <w:t>N</w:t>
                  </w:r>
                  <w:r>
                    <w:rPr>
                      <w:bCs/>
                      <w:szCs w:val="21"/>
                    </w:rPr>
                    <w:t>D</w:t>
                  </w:r>
                </w:p>
              </w:tc>
              <w:tc>
                <w:tcPr>
                  <w:tcW w:w="972" w:type="pct"/>
                  <w:vAlign w:val="center"/>
                </w:tcPr>
                <w:p w14:paraId="2BD0E9C5">
                  <w:pPr>
                    <w:jc w:val="center"/>
                    <w:rPr>
                      <w:bCs/>
                      <w:szCs w:val="21"/>
                    </w:rPr>
                  </w:pPr>
                  <w:r>
                    <w:rPr>
                      <w:rFonts w:hint="eastAsia"/>
                      <w:bCs/>
                      <w:szCs w:val="21"/>
                    </w:rPr>
                    <w:t>0.08</w:t>
                  </w:r>
                </w:p>
              </w:tc>
              <w:tc>
                <w:tcPr>
                  <w:tcW w:w="972" w:type="pct"/>
                  <w:vAlign w:val="center"/>
                </w:tcPr>
                <w:p w14:paraId="08A50156">
                  <w:pPr>
                    <w:jc w:val="center"/>
                    <w:rPr>
                      <w:bCs/>
                      <w:szCs w:val="21"/>
                    </w:rPr>
                  </w:pPr>
                  <w:r>
                    <w:rPr>
                      <w:rFonts w:hint="eastAsia"/>
                      <w:bCs/>
                      <w:szCs w:val="21"/>
                    </w:rPr>
                    <w:t>0</w:t>
                  </w:r>
                </w:p>
              </w:tc>
            </w:tr>
            <w:tr w14:paraId="4EF1FA2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5252F017">
                  <w:pPr>
                    <w:widowControl/>
                    <w:jc w:val="center"/>
                    <w:rPr>
                      <w:bCs/>
                      <w:szCs w:val="21"/>
                    </w:rPr>
                  </w:pPr>
                </w:p>
              </w:tc>
              <w:tc>
                <w:tcPr>
                  <w:tcW w:w="1199" w:type="pct"/>
                  <w:vAlign w:val="center"/>
                </w:tcPr>
                <w:p w14:paraId="52D17C1E">
                  <w:pPr>
                    <w:tabs>
                      <w:tab w:val="left" w:pos="5910"/>
                    </w:tabs>
                    <w:jc w:val="center"/>
                    <w:rPr>
                      <w:bCs/>
                      <w:szCs w:val="21"/>
                    </w:rPr>
                  </w:pPr>
                  <w:r>
                    <w:rPr>
                      <w:bCs/>
                      <w:szCs w:val="21"/>
                    </w:rPr>
                    <w:t>汞</w:t>
                  </w:r>
                  <w:r>
                    <w:rPr>
                      <w:rFonts w:hint="eastAsia"/>
                      <w:bCs/>
                      <w:szCs w:val="21"/>
                    </w:rPr>
                    <w:t>（</w:t>
                  </w:r>
                  <w:r>
                    <w:rPr>
                      <w:szCs w:val="21"/>
                    </w:rPr>
                    <w:t>µg/L</w:t>
                  </w:r>
                  <w:r>
                    <w:rPr>
                      <w:rFonts w:hint="eastAsia"/>
                      <w:bCs/>
                      <w:szCs w:val="21"/>
                    </w:rPr>
                    <w:t>）</w:t>
                  </w:r>
                </w:p>
              </w:tc>
              <w:tc>
                <w:tcPr>
                  <w:tcW w:w="874" w:type="pct"/>
                  <w:vAlign w:val="center"/>
                </w:tcPr>
                <w:p w14:paraId="49937BF7">
                  <w:pPr>
                    <w:jc w:val="center"/>
                    <w:rPr>
                      <w:bCs/>
                      <w:szCs w:val="21"/>
                    </w:rPr>
                  </w:pPr>
                  <w:r>
                    <w:rPr>
                      <w:rFonts w:hint="eastAsia"/>
                      <w:bCs/>
                      <w:szCs w:val="21"/>
                    </w:rPr>
                    <w:t>N</w:t>
                  </w:r>
                  <w:r>
                    <w:rPr>
                      <w:bCs/>
                      <w:szCs w:val="21"/>
                    </w:rPr>
                    <w:t>D</w:t>
                  </w:r>
                </w:p>
              </w:tc>
              <w:tc>
                <w:tcPr>
                  <w:tcW w:w="972" w:type="pct"/>
                  <w:vAlign w:val="center"/>
                </w:tcPr>
                <w:p w14:paraId="3A07903E">
                  <w:pPr>
                    <w:jc w:val="center"/>
                    <w:rPr>
                      <w:bCs/>
                      <w:szCs w:val="21"/>
                    </w:rPr>
                  </w:pPr>
                  <w:r>
                    <w:rPr>
                      <w:rFonts w:hint="eastAsia"/>
                      <w:bCs/>
                      <w:szCs w:val="21"/>
                    </w:rPr>
                    <w:t>0.001</w:t>
                  </w:r>
                </w:p>
              </w:tc>
              <w:tc>
                <w:tcPr>
                  <w:tcW w:w="972" w:type="pct"/>
                  <w:vAlign w:val="center"/>
                </w:tcPr>
                <w:p w14:paraId="4F356860">
                  <w:pPr>
                    <w:jc w:val="center"/>
                    <w:rPr>
                      <w:bCs/>
                      <w:szCs w:val="21"/>
                    </w:rPr>
                  </w:pPr>
                  <w:r>
                    <w:rPr>
                      <w:rFonts w:hint="eastAsia"/>
                      <w:bCs/>
                      <w:szCs w:val="21"/>
                    </w:rPr>
                    <w:t>0</w:t>
                  </w:r>
                </w:p>
              </w:tc>
            </w:tr>
            <w:tr w14:paraId="0829998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983" w:type="pct"/>
                  <w:vMerge w:val="continue"/>
                  <w:vAlign w:val="center"/>
                </w:tcPr>
                <w:p w14:paraId="01EF5858">
                  <w:pPr>
                    <w:widowControl/>
                    <w:jc w:val="center"/>
                    <w:rPr>
                      <w:bCs/>
                      <w:szCs w:val="21"/>
                    </w:rPr>
                  </w:pPr>
                </w:p>
              </w:tc>
              <w:tc>
                <w:tcPr>
                  <w:tcW w:w="1199" w:type="pct"/>
                  <w:vAlign w:val="center"/>
                </w:tcPr>
                <w:p w14:paraId="561CCB42">
                  <w:pPr>
                    <w:tabs>
                      <w:tab w:val="left" w:pos="5910"/>
                    </w:tabs>
                    <w:jc w:val="center"/>
                    <w:rPr>
                      <w:bCs/>
                      <w:szCs w:val="21"/>
                    </w:rPr>
                  </w:pPr>
                  <w:r>
                    <w:rPr>
                      <w:bCs/>
                      <w:szCs w:val="21"/>
                    </w:rPr>
                    <w:t>砷</w:t>
                  </w:r>
                  <w:r>
                    <w:rPr>
                      <w:rFonts w:hint="eastAsia"/>
                      <w:bCs/>
                      <w:szCs w:val="21"/>
                    </w:rPr>
                    <w:t>（</w:t>
                  </w:r>
                  <w:r>
                    <w:rPr>
                      <w:szCs w:val="21"/>
                    </w:rPr>
                    <w:t>µg/L</w:t>
                  </w:r>
                  <w:r>
                    <w:rPr>
                      <w:rFonts w:hint="eastAsia"/>
                      <w:bCs/>
                      <w:szCs w:val="21"/>
                    </w:rPr>
                    <w:t>）</w:t>
                  </w:r>
                </w:p>
              </w:tc>
              <w:tc>
                <w:tcPr>
                  <w:tcW w:w="874" w:type="pct"/>
                  <w:vAlign w:val="center"/>
                </w:tcPr>
                <w:p w14:paraId="29AE9206">
                  <w:pPr>
                    <w:jc w:val="center"/>
                    <w:rPr>
                      <w:bCs/>
                      <w:szCs w:val="21"/>
                    </w:rPr>
                  </w:pPr>
                  <w:r>
                    <w:rPr>
                      <w:rFonts w:hint="eastAsia"/>
                      <w:bCs/>
                      <w:szCs w:val="21"/>
                    </w:rPr>
                    <w:t>N</w:t>
                  </w:r>
                  <w:r>
                    <w:rPr>
                      <w:bCs/>
                      <w:szCs w:val="21"/>
                    </w:rPr>
                    <w:t>D</w:t>
                  </w:r>
                </w:p>
              </w:tc>
              <w:tc>
                <w:tcPr>
                  <w:tcW w:w="972" w:type="pct"/>
                  <w:vAlign w:val="center"/>
                </w:tcPr>
                <w:p w14:paraId="2924C201">
                  <w:pPr>
                    <w:jc w:val="center"/>
                    <w:rPr>
                      <w:bCs/>
                      <w:szCs w:val="21"/>
                    </w:rPr>
                  </w:pPr>
                  <w:r>
                    <w:rPr>
                      <w:rFonts w:hint="eastAsia"/>
                      <w:bCs/>
                      <w:szCs w:val="21"/>
                    </w:rPr>
                    <w:t>0.01</w:t>
                  </w:r>
                </w:p>
              </w:tc>
              <w:tc>
                <w:tcPr>
                  <w:tcW w:w="972" w:type="pct"/>
                  <w:vAlign w:val="center"/>
                </w:tcPr>
                <w:p w14:paraId="02336155">
                  <w:pPr>
                    <w:jc w:val="center"/>
                    <w:rPr>
                      <w:bCs/>
                      <w:szCs w:val="21"/>
                    </w:rPr>
                  </w:pPr>
                  <w:r>
                    <w:rPr>
                      <w:rFonts w:hint="eastAsia"/>
                      <w:bCs/>
                      <w:szCs w:val="21"/>
                    </w:rPr>
                    <w:t>0</w:t>
                  </w:r>
                </w:p>
              </w:tc>
            </w:tr>
            <w:tr w14:paraId="05BE56F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7DE95E43">
                  <w:pPr>
                    <w:widowControl/>
                    <w:jc w:val="center"/>
                    <w:rPr>
                      <w:bCs/>
                      <w:szCs w:val="21"/>
                    </w:rPr>
                  </w:pPr>
                </w:p>
              </w:tc>
              <w:tc>
                <w:tcPr>
                  <w:tcW w:w="1199" w:type="pct"/>
                  <w:vAlign w:val="center"/>
                </w:tcPr>
                <w:p w14:paraId="7CD23DE0">
                  <w:pPr>
                    <w:tabs>
                      <w:tab w:val="left" w:pos="5910"/>
                    </w:tabs>
                    <w:jc w:val="center"/>
                    <w:rPr>
                      <w:bCs/>
                      <w:szCs w:val="21"/>
                    </w:rPr>
                  </w:pPr>
                  <w:r>
                    <w:rPr>
                      <w:rFonts w:hint="eastAsia"/>
                      <w:bCs/>
                      <w:szCs w:val="21"/>
                    </w:rPr>
                    <w:t>硒（</w:t>
                  </w:r>
                  <w:r>
                    <w:rPr>
                      <w:szCs w:val="21"/>
                    </w:rPr>
                    <w:t>µg/L</w:t>
                  </w:r>
                  <w:r>
                    <w:rPr>
                      <w:rFonts w:hint="eastAsia"/>
                      <w:bCs/>
                      <w:szCs w:val="21"/>
                    </w:rPr>
                    <w:t>）</w:t>
                  </w:r>
                </w:p>
              </w:tc>
              <w:tc>
                <w:tcPr>
                  <w:tcW w:w="874" w:type="pct"/>
                  <w:vAlign w:val="center"/>
                </w:tcPr>
                <w:p w14:paraId="289CBF3A">
                  <w:pPr>
                    <w:jc w:val="center"/>
                    <w:rPr>
                      <w:bCs/>
                      <w:szCs w:val="21"/>
                    </w:rPr>
                  </w:pPr>
                  <w:r>
                    <w:rPr>
                      <w:rFonts w:hint="eastAsia"/>
                      <w:bCs/>
                      <w:szCs w:val="21"/>
                    </w:rPr>
                    <w:t>N</w:t>
                  </w:r>
                  <w:r>
                    <w:rPr>
                      <w:bCs/>
                      <w:szCs w:val="21"/>
                    </w:rPr>
                    <w:t>D</w:t>
                  </w:r>
                </w:p>
              </w:tc>
              <w:tc>
                <w:tcPr>
                  <w:tcW w:w="972" w:type="pct"/>
                  <w:vAlign w:val="center"/>
                </w:tcPr>
                <w:p w14:paraId="2060C97F">
                  <w:pPr>
                    <w:jc w:val="center"/>
                    <w:rPr>
                      <w:bCs/>
                      <w:szCs w:val="21"/>
                    </w:rPr>
                  </w:pPr>
                  <w:r>
                    <w:rPr>
                      <w:rFonts w:hint="eastAsia"/>
                      <w:bCs/>
                      <w:szCs w:val="21"/>
                    </w:rPr>
                    <w:t>0.01</w:t>
                  </w:r>
                </w:p>
              </w:tc>
              <w:tc>
                <w:tcPr>
                  <w:tcW w:w="972" w:type="pct"/>
                  <w:vAlign w:val="center"/>
                </w:tcPr>
                <w:p w14:paraId="3C1ED42B">
                  <w:pPr>
                    <w:jc w:val="center"/>
                    <w:rPr>
                      <w:bCs/>
                      <w:szCs w:val="21"/>
                    </w:rPr>
                  </w:pPr>
                  <w:r>
                    <w:rPr>
                      <w:rFonts w:hint="eastAsia"/>
                      <w:bCs/>
                      <w:szCs w:val="21"/>
                    </w:rPr>
                    <w:t>0</w:t>
                  </w:r>
                </w:p>
              </w:tc>
            </w:tr>
            <w:tr w14:paraId="31E05AE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43AE0A6B">
                  <w:pPr>
                    <w:widowControl/>
                    <w:jc w:val="center"/>
                    <w:rPr>
                      <w:bCs/>
                      <w:szCs w:val="21"/>
                    </w:rPr>
                  </w:pPr>
                </w:p>
              </w:tc>
              <w:tc>
                <w:tcPr>
                  <w:tcW w:w="1199" w:type="pct"/>
                  <w:vAlign w:val="center"/>
                </w:tcPr>
                <w:p w14:paraId="06D27FC5">
                  <w:pPr>
                    <w:tabs>
                      <w:tab w:val="left" w:pos="5910"/>
                    </w:tabs>
                    <w:jc w:val="center"/>
                    <w:rPr>
                      <w:bCs/>
                      <w:szCs w:val="21"/>
                    </w:rPr>
                  </w:pPr>
                  <w:r>
                    <w:rPr>
                      <w:rFonts w:hint="eastAsia"/>
                      <w:bCs/>
                      <w:szCs w:val="21"/>
                    </w:rPr>
                    <w:t>镉</w:t>
                  </w:r>
                </w:p>
              </w:tc>
              <w:tc>
                <w:tcPr>
                  <w:tcW w:w="874" w:type="pct"/>
                  <w:vAlign w:val="center"/>
                </w:tcPr>
                <w:p w14:paraId="547C5453">
                  <w:pPr>
                    <w:jc w:val="center"/>
                    <w:rPr>
                      <w:bCs/>
                      <w:szCs w:val="21"/>
                    </w:rPr>
                  </w:pPr>
                  <w:r>
                    <w:rPr>
                      <w:rFonts w:hint="eastAsia"/>
                      <w:bCs/>
                      <w:szCs w:val="21"/>
                    </w:rPr>
                    <w:t>N</w:t>
                  </w:r>
                  <w:r>
                    <w:rPr>
                      <w:bCs/>
                      <w:szCs w:val="21"/>
                    </w:rPr>
                    <w:t>D</w:t>
                  </w:r>
                </w:p>
              </w:tc>
              <w:tc>
                <w:tcPr>
                  <w:tcW w:w="972" w:type="pct"/>
                  <w:vAlign w:val="center"/>
                </w:tcPr>
                <w:p w14:paraId="40BBD0FD">
                  <w:pPr>
                    <w:jc w:val="center"/>
                    <w:rPr>
                      <w:bCs/>
                      <w:szCs w:val="21"/>
                    </w:rPr>
                  </w:pPr>
                  <w:r>
                    <w:rPr>
                      <w:rFonts w:hint="eastAsia"/>
                      <w:bCs/>
                      <w:szCs w:val="21"/>
                    </w:rPr>
                    <w:t>0.005</w:t>
                  </w:r>
                </w:p>
              </w:tc>
              <w:tc>
                <w:tcPr>
                  <w:tcW w:w="972" w:type="pct"/>
                  <w:vAlign w:val="center"/>
                </w:tcPr>
                <w:p w14:paraId="004D55C7">
                  <w:pPr>
                    <w:jc w:val="center"/>
                    <w:rPr>
                      <w:bCs/>
                      <w:szCs w:val="21"/>
                    </w:rPr>
                  </w:pPr>
                  <w:r>
                    <w:rPr>
                      <w:rFonts w:hint="eastAsia"/>
                      <w:bCs/>
                      <w:szCs w:val="21"/>
                    </w:rPr>
                    <w:t>0</w:t>
                  </w:r>
                </w:p>
              </w:tc>
            </w:tr>
            <w:tr w14:paraId="63D55F3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40690FED">
                  <w:pPr>
                    <w:widowControl/>
                    <w:jc w:val="center"/>
                    <w:rPr>
                      <w:bCs/>
                      <w:szCs w:val="21"/>
                    </w:rPr>
                  </w:pPr>
                </w:p>
              </w:tc>
              <w:tc>
                <w:tcPr>
                  <w:tcW w:w="1199" w:type="pct"/>
                  <w:vAlign w:val="center"/>
                </w:tcPr>
                <w:p w14:paraId="1994DAD4">
                  <w:pPr>
                    <w:tabs>
                      <w:tab w:val="left" w:pos="5910"/>
                    </w:tabs>
                    <w:jc w:val="center"/>
                    <w:rPr>
                      <w:bCs/>
                      <w:szCs w:val="21"/>
                    </w:rPr>
                  </w:pPr>
                  <w:r>
                    <w:rPr>
                      <w:bCs/>
                      <w:szCs w:val="21"/>
                    </w:rPr>
                    <w:t>六价铬</w:t>
                  </w:r>
                </w:p>
              </w:tc>
              <w:tc>
                <w:tcPr>
                  <w:tcW w:w="874" w:type="pct"/>
                  <w:vAlign w:val="center"/>
                </w:tcPr>
                <w:p w14:paraId="7E9BC7C9">
                  <w:pPr>
                    <w:jc w:val="center"/>
                    <w:rPr>
                      <w:bCs/>
                      <w:szCs w:val="21"/>
                    </w:rPr>
                  </w:pPr>
                  <w:r>
                    <w:rPr>
                      <w:rFonts w:hint="eastAsia"/>
                      <w:bCs/>
                      <w:szCs w:val="21"/>
                    </w:rPr>
                    <w:t>N</w:t>
                  </w:r>
                  <w:r>
                    <w:rPr>
                      <w:bCs/>
                      <w:szCs w:val="21"/>
                    </w:rPr>
                    <w:t>D</w:t>
                  </w:r>
                </w:p>
              </w:tc>
              <w:tc>
                <w:tcPr>
                  <w:tcW w:w="972" w:type="pct"/>
                  <w:vAlign w:val="center"/>
                </w:tcPr>
                <w:p w14:paraId="394C62E1">
                  <w:pPr>
                    <w:jc w:val="center"/>
                    <w:rPr>
                      <w:bCs/>
                      <w:szCs w:val="21"/>
                    </w:rPr>
                  </w:pPr>
                  <w:r>
                    <w:rPr>
                      <w:rFonts w:hint="eastAsia"/>
                      <w:bCs/>
                      <w:szCs w:val="21"/>
                    </w:rPr>
                    <w:t>0.05</w:t>
                  </w:r>
                </w:p>
              </w:tc>
              <w:tc>
                <w:tcPr>
                  <w:tcW w:w="972" w:type="pct"/>
                  <w:vAlign w:val="center"/>
                </w:tcPr>
                <w:p w14:paraId="427A2B21">
                  <w:pPr>
                    <w:jc w:val="center"/>
                    <w:rPr>
                      <w:bCs/>
                      <w:szCs w:val="21"/>
                    </w:rPr>
                  </w:pPr>
                  <w:r>
                    <w:rPr>
                      <w:rFonts w:hint="eastAsia"/>
                      <w:bCs/>
                      <w:szCs w:val="21"/>
                    </w:rPr>
                    <w:t>0</w:t>
                  </w:r>
                </w:p>
              </w:tc>
            </w:tr>
            <w:tr w14:paraId="4577001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3D0A7603">
                  <w:pPr>
                    <w:widowControl/>
                    <w:jc w:val="center"/>
                    <w:rPr>
                      <w:bCs/>
                      <w:szCs w:val="21"/>
                    </w:rPr>
                  </w:pPr>
                </w:p>
              </w:tc>
              <w:tc>
                <w:tcPr>
                  <w:tcW w:w="1199" w:type="pct"/>
                  <w:vAlign w:val="center"/>
                </w:tcPr>
                <w:p w14:paraId="555E2203">
                  <w:pPr>
                    <w:tabs>
                      <w:tab w:val="left" w:pos="5910"/>
                    </w:tabs>
                    <w:jc w:val="center"/>
                    <w:rPr>
                      <w:bCs/>
                      <w:szCs w:val="21"/>
                    </w:rPr>
                  </w:pPr>
                  <w:r>
                    <w:rPr>
                      <w:rFonts w:hint="eastAsia"/>
                      <w:bCs/>
                      <w:szCs w:val="21"/>
                    </w:rPr>
                    <w:t>铅</w:t>
                  </w:r>
                </w:p>
              </w:tc>
              <w:tc>
                <w:tcPr>
                  <w:tcW w:w="874" w:type="pct"/>
                  <w:vAlign w:val="center"/>
                </w:tcPr>
                <w:p w14:paraId="174BAD86">
                  <w:pPr>
                    <w:jc w:val="center"/>
                    <w:rPr>
                      <w:bCs/>
                      <w:szCs w:val="21"/>
                    </w:rPr>
                  </w:pPr>
                  <w:r>
                    <w:rPr>
                      <w:rFonts w:hint="eastAsia"/>
                      <w:bCs/>
                      <w:szCs w:val="21"/>
                    </w:rPr>
                    <w:t>N</w:t>
                  </w:r>
                  <w:r>
                    <w:rPr>
                      <w:bCs/>
                      <w:szCs w:val="21"/>
                    </w:rPr>
                    <w:t>D</w:t>
                  </w:r>
                </w:p>
              </w:tc>
              <w:tc>
                <w:tcPr>
                  <w:tcW w:w="972" w:type="pct"/>
                  <w:vAlign w:val="center"/>
                </w:tcPr>
                <w:p w14:paraId="4D4CBEC0">
                  <w:pPr>
                    <w:jc w:val="center"/>
                    <w:rPr>
                      <w:bCs/>
                      <w:szCs w:val="21"/>
                    </w:rPr>
                  </w:pPr>
                  <w:r>
                    <w:rPr>
                      <w:rFonts w:hint="eastAsia"/>
                      <w:bCs/>
                      <w:szCs w:val="21"/>
                    </w:rPr>
                    <w:t>0.01</w:t>
                  </w:r>
                </w:p>
              </w:tc>
              <w:tc>
                <w:tcPr>
                  <w:tcW w:w="972" w:type="pct"/>
                  <w:vAlign w:val="center"/>
                </w:tcPr>
                <w:p w14:paraId="143EBA1F">
                  <w:pPr>
                    <w:jc w:val="center"/>
                    <w:rPr>
                      <w:bCs/>
                      <w:szCs w:val="21"/>
                    </w:rPr>
                  </w:pPr>
                  <w:r>
                    <w:rPr>
                      <w:rFonts w:hint="eastAsia"/>
                      <w:bCs/>
                      <w:szCs w:val="21"/>
                    </w:rPr>
                    <w:t>0</w:t>
                  </w:r>
                </w:p>
              </w:tc>
            </w:tr>
            <w:tr w14:paraId="2124823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1189B9FF">
                  <w:pPr>
                    <w:widowControl/>
                    <w:jc w:val="center"/>
                    <w:rPr>
                      <w:bCs/>
                      <w:szCs w:val="21"/>
                    </w:rPr>
                  </w:pPr>
                </w:p>
              </w:tc>
              <w:tc>
                <w:tcPr>
                  <w:tcW w:w="1199" w:type="pct"/>
                  <w:vAlign w:val="center"/>
                </w:tcPr>
                <w:p w14:paraId="6BB13404">
                  <w:pPr>
                    <w:tabs>
                      <w:tab w:val="left" w:pos="5910"/>
                    </w:tabs>
                    <w:jc w:val="center"/>
                    <w:rPr>
                      <w:bCs/>
                      <w:szCs w:val="21"/>
                    </w:rPr>
                  </w:pPr>
                  <w:r>
                    <w:rPr>
                      <w:rFonts w:hint="eastAsia"/>
                      <w:szCs w:val="21"/>
                    </w:rPr>
                    <w:t>三氯甲烷（</w:t>
                  </w:r>
                  <w:r>
                    <w:rPr>
                      <w:szCs w:val="21"/>
                    </w:rPr>
                    <w:t>µg/L</w:t>
                  </w:r>
                  <w:r>
                    <w:rPr>
                      <w:rFonts w:hint="eastAsia"/>
                      <w:szCs w:val="21"/>
                    </w:rPr>
                    <w:t>）</w:t>
                  </w:r>
                </w:p>
              </w:tc>
              <w:tc>
                <w:tcPr>
                  <w:tcW w:w="874" w:type="pct"/>
                  <w:vAlign w:val="center"/>
                </w:tcPr>
                <w:p w14:paraId="08256921">
                  <w:pPr>
                    <w:jc w:val="center"/>
                    <w:rPr>
                      <w:bCs/>
                      <w:szCs w:val="21"/>
                    </w:rPr>
                  </w:pPr>
                  <w:r>
                    <w:rPr>
                      <w:rFonts w:hint="eastAsia"/>
                      <w:bCs/>
                      <w:szCs w:val="21"/>
                    </w:rPr>
                    <w:t>N</w:t>
                  </w:r>
                  <w:r>
                    <w:rPr>
                      <w:bCs/>
                      <w:szCs w:val="21"/>
                    </w:rPr>
                    <w:t>D</w:t>
                  </w:r>
                </w:p>
              </w:tc>
              <w:tc>
                <w:tcPr>
                  <w:tcW w:w="972" w:type="pct"/>
                  <w:vAlign w:val="center"/>
                </w:tcPr>
                <w:p w14:paraId="1E3ECB37">
                  <w:pPr>
                    <w:jc w:val="center"/>
                    <w:rPr>
                      <w:bCs/>
                      <w:szCs w:val="21"/>
                    </w:rPr>
                  </w:pPr>
                  <w:r>
                    <w:rPr>
                      <w:rFonts w:hint="eastAsia"/>
                      <w:bCs/>
                      <w:szCs w:val="21"/>
                    </w:rPr>
                    <w:t>60</w:t>
                  </w:r>
                </w:p>
              </w:tc>
              <w:tc>
                <w:tcPr>
                  <w:tcW w:w="972" w:type="pct"/>
                  <w:vAlign w:val="center"/>
                </w:tcPr>
                <w:p w14:paraId="6A06C79B">
                  <w:pPr>
                    <w:jc w:val="center"/>
                    <w:rPr>
                      <w:bCs/>
                      <w:szCs w:val="21"/>
                    </w:rPr>
                  </w:pPr>
                  <w:r>
                    <w:rPr>
                      <w:rFonts w:hint="eastAsia"/>
                      <w:bCs/>
                      <w:szCs w:val="21"/>
                    </w:rPr>
                    <w:t>0</w:t>
                  </w:r>
                </w:p>
              </w:tc>
            </w:tr>
            <w:tr w14:paraId="5FC10B8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2E5C7B65">
                  <w:pPr>
                    <w:widowControl/>
                    <w:jc w:val="center"/>
                    <w:rPr>
                      <w:bCs/>
                      <w:szCs w:val="21"/>
                    </w:rPr>
                  </w:pPr>
                </w:p>
              </w:tc>
              <w:tc>
                <w:tcPr>
                  <w:tcW w:w="1199" w:type="pct"/>
                  <w:vAlign w:val="center"/>
                </w:tcPr>
                <w:p w14:paraId="2CF6955A">
                  <w:pPr>
                    <w:tabs>
                      <w:tab w:val="left" w:pos="5910"/>
                    </w:tabs>
                    <w:jc w:val="center"/>
                    <w:rPr>
                      <w:bCs/>
                      <w:szCs w:val="21"/>
                    </w:rPr>
                  </w:pPr>
                  <w:r>
                    <w:rPr>
                      <w:rFonts w:hint="eastAsia"/>
                      <w:szCs w:val="21"/>
                    </w:rPr>
                    <w:t>四氯化碳（</w:t>
                  </w:r>
                  <w:r>
                    <w:rPr>
                      <w:szCs w:val="21"/>
                    </w:rPr>
                    <w:t>µg/L</w:t>
                  </w:r>
                  <w:r>
                    <w:rPr>
                      <w:rFonts w:hint="eastAsia"/>
                      <w:szCs w:val="21"/>
                    </w:rPr>
                    <w:t>）</w:t>
                  </w:r>
                </w:p>
              </w:tc>
              <w:tc>
                <w:tcPr>
                  <w:tcW w:w="874" w:type="pct"/>
                  <w:vAlign w:val="center"/>
                </w:tcPr>
                <w:p w14:paraId="0ACC785D">
                  <w:pPr>
                    <w:jc w:val="center"/>
                    <w:rPr>
                      <w:bCs/>
                      <w:szCs w:val="21"/>
                    </w:rPr>
                  </w:pPr>
                  <w:r>
                    <w:rPr>
                      <w:rFonts w:hint="eastAsia"/>
                      <w:bCs/>
                      <w:szCs w:val="21"/>
                    </w:rPr>
                    <w:t>N</w:t>
                  </w:r>
                  <w:r>
                    <w:rPr>
                      <w:bCs/>
                      <w:szCs w:val="21"/>
                    </w:rPr>
                    <w:t>D</w:t>
                  </w:r>
                </w:p>
              </w:tc>
              <w:tc>
                <w:tcPr>
                  <w:tcW w:w="972" w:type="pct"/>
                  <w:vAlign w:val="center"/>
                </w:tcPr>
                <w:p w14:paraId="61323304">
                  <w:pPr>
                    <w:jc w:val="center"/>
                    <w:rPr>
                      <w:bCs/>
                      <w:szCs w:val="21"/>
                    </w:rPr>
                  </w:pPr>
                  <w:r>
                    <w:rPr>
                      <w:rFonts w:hint="eastAsia"/>
                      <w:bCs/>
                      <w:szCs w:val="21"/>
                    </w:rPr>
                    <w:t>2</w:t>
                  </w:r>
                </w:p>
              </w:tc>
              <w:tc>
                <w:tcPr>
                  <w:tcW w:w="972" w:type="pct"/>
                  <w:vAlign w:val="center"/>
                </w:tcPr>
                <w:p w14:paraId="5DDC193C">
                  <w:pPr>
                    <w:jc w:val="center"/>
                    <w:rPr>
                      <w:bCs/>
                      <w:szCs w:val="21"/>
                    </w:rPr>
                  </w:pPr>
                  <w:r>
                    <w:rPr>
                      <w:rFonts w:hint="eastAsia"/>
                      <w:bCs/>
                      <w:szCs w:val="21"/>
                    </w:rPr>
                    <w:t>0</w:t>
                  </w:r>
                </w:p>
              </w:tc>
            </w:tr>
            <w:tr w14:paraId="11653D8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3005B3AC">
                  <w:pPr>
                    <w:widowControl/>
                    <w:jc w:val="center"/>
                    <w:rPr>
                      <w:bCs/>
                      <w:szCs w:val="21"/>
                    </w:rPr>
                  </w:pPr>
                </w:p>
              </w:tc>
              <w:tc>
                <w:tcPr>
                  <w:tcW w:w="1199" w:type="pct"/>
                  <w:vAlign w:val="center"/>
                </w:tcPr>
                <w:p w14:paraId="65CA9A22">
                  <w:pPr>
                    <w:tabs>
                      <w:tab w:val="left" w:pos="5910"/>
                    </w:tabs>
                    <w:jc w:val="center"/>
                    <w:rPr>
                      <w:bCs/>
                      <w:szCs w:val="21"/>
                    </w:rPr>
                  </w:pPr>
                  <w:r>
                    <w:rPr>
                      <w:rFonts w:hint="eastAsia"/>
                      <w:szCs w:val="21"/>
                    </w:rPr>
                    <w:t>苯（</w:t>
                  </w:r>
                  <w:r>
                    <w:rPr>
                      <w:szCs w:val="21"/>
                    </w:rPr>
                    <w:t>µg/L</w:t>
                  </w:r>
                  <w:r>
                    <w:rPr>
                      <w:rFonts w:hint="eastAsia"/>
                      <w:szCs w:val="21"/>
                    </w:rPr>
                    <w:t>）</w:t>
                  </w:r>
                </w:p>
              </w:tc>
              <w:tc>
                <w:tcPr>
                  <w:tcW w:w="874" w:type="pct"/>
                  <w:vAlign w:val="center"/>
                </w:tcPr>
                <w:p w14:paraId="28880396">
                  <w:pPr>
                    <w:jc w:val="center"/>
                    <w:rPr>
                      <w:bCs/>
                      <w:szCs w:val="21"/>
                    </w:rPr>
                  </w:pPr>
                  <w:r>
                    <w:rPr>
                      <w:rFonts w:hint="eastAsia"/>
                      <w:bCs/>
                      <w:szCs w:val="21"/>
                    </w:rPr>
                    <w:t>N</w:t>
                  </w:r>
                  <w:r>
                    <w:rPr>
                      <w:bCs/>
                      <w:szCs w:val="21"/>
                    </w:rPr>
                    <w:t>D</w:t>
                  </w:r>
                </w:p>
              </w:tc>
              <w:tc>
                <w:tcPr>
                  <w:tcW w:w="972" w:type="pct"/>
                  <w:vAlign w:val="center"/>
                </w:tcPr>
                <w:p w14:paraId="04FE674A">
                  <w:pPr>
                    <w:jc w:val="center"/>
                    <w:rPr>
                      <w:bCs/>
                      <w:szCs w:val="21"/>
                    </w:rPr>
                  </w:pPr>
                  <w:r>
                    <w:rPr>
                      <w:rFonts w:hint="eastAsia"/>
                      <w:bCs/>
                      <w:szCs w:val="21"/>
                    </w:rPr>
                    <w:t>10</w:t>
                  </w:r>
                </w:p>
              </w:tc>
              <w:tc>
                <w:tcPr>
                  <w:tcW w:w="972" w:type="pct"/>
                  <w:vAlign w:val="center"/>
                </w:tcPr>
                <w:p w14:paraId="2ECD3489">
                  <w:pPr>
                    <w:jc w:val="center"/>
                    <w:rPr>
                      <w:bCs/>
                      <w:szCs w:val="21"/>
                    </w:rPr>
                  </w:pPr>
                  <w:r>
                    <w:rPr>
                      <w:rFonts w:hint="eastAsia"/>
                      <w:bCs/>
                      <w:szCs w:val="21"/>
                    </w:rPr>
                    <w:t>0</w:t>
                  </w:r>
                </w:p>
              </w:tc>
            </w:tr>
            <w:tr w14:paraId="2C4A4E6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37DCD401">
                  <w:pPr>
                    <w:widowControl/>
                    <w:jc w:val="center"/>
                    <w:rPr>
                      <w:bCs/>
                      <w:szCs w:val="21"/>
                    </w:rPr>
                  </w:pPr>
                </w:p>
              </w:tc>
              <w:tc>
                <w:tcPr>
                  <w:tcW w:w="1199" w:type="pct"/>
                  <w:vAlign w:val="center"/>
                </w:tcPr>
                <w:p w14:paraId="2DBDEAE1">
                  <w:pPr>
                    <w:tabs>
                      <w:tab w:val="left" w:pos="5910"/>
                    </w:tabs>
                    <w:jc w:val="center"/>
                    <w:rPr>
                      <w:bCs/>
                      <w:szCs w:val="21"/>
                    </w:rPr>
                  </w:pPr>
                  <w:r>
                    <w:rPr>
                      <w:rFonts w:hint="eastAsia"/>
                      <w:szCs w:val="21"/>
                    </w:rPr>
                    <w:t>甲苯（</w:t>
                  </w:r>
                  <w:r>
                    <w:rPr>
                      <w:szCs w:val="21"/>
                    </w:rPr>
                    <w:t>µg/L</w:t>
                  </w:r>
                  <w:r>
                    <w:rPr>
                      <w:rFonts w:hint="eastAsia"/>
                      <w:szCs w:val="21"/>
                    </w:rPr>
                    <w:t>）</w:t>
                  </w:r>
                </w:p>
              </w:tc>
              <w:tc>
                <w:tcPr>
                  <w:tcW w:w="874" w:type="pct"/>
                  <w:vAlign w:val="center"/>
                </w:tcPr>
                <w:p w14:paraId="69E87C46">
                  <w:pPr>
                    <w:jc w:val="center"/>
                    <w:rPr>
                      <w:bCs/>
                      <w:szCs w:val="21"/>
                    </w:rPr>
                  </w:pPr>
                  <w:r>
                    <w:rPr>
                      <w:rFonts w:hint="eastAsia"/>
                      <w:bCs/>
                      <w:szCs w:val="21"/>
                    </w:rPr>
                    <w:t>N</w:t>
                  </w:r>
                  <w:r>
                    <w:rPr>
                      <w:bCs/>
                      <w:szCs w:val="21"/>
                    </w:rPr>
                    <w:t>D</w:t>
                  </w:r>
                </w:p>
              </w:tc>
              <w:tc>
                <w:tcPr>
                  <w:tcW w:w="972" w:type="pct"/>
                  <w:vAlign w:val="center"/>
                </w:tcPr>
                <w:p w14:paraId="16F46EA9">
                  <w:pPr>
                    <w:jc w:val="center"/>
                    <w:rPr>
                      <w:bCs/>
                      <w:szCs w:val="21"/>
                    </w:rPr>
                  </w:pPr>
                  <w:r>
                    <w:rPr>
                      <w:rFonts w:hint="eastAsia"/>
                      <w:bCs/>
                      <w:szCs w:val="21"/>
                    </w:rPr>
                    <w:t>700</w:t>
                  </w:r>
                </w:p>
              </w:tc>
              <w:tc>
                <w:tcPr>
                  <w:tcW w:w="972" w:type="pct"/>
                  <w:vAlign w:val="center"/>
                </w:tcPr>
                <w:p w14:paraId="3A460C15">
                  <w:pPr>
                    <w:jc w:val="center"/>
                    <w:rPr>
                      <w:bCs/>
                      <w:szCs w:val="21"/>
                    </w:rPr>
                  </w:pPr>
                  <w:r>
                    <w:rPr>
                      <w:rFonts w:hint="eastAsia"/>
                      <w:bCs/>
                      <w:szCs w:val="21"/>
                    </w:rPr>
                    <w:t>0</w:t>
                  </w:r>
                </w:p>
              </w:tc>
            </w:tr>
            <w:tr w14:paraId="1023AE7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66A4DC16">
                  <w:pPr>
                    <w:widowControl/>
                    <w:jc w:val="center"/>
                    <w:rPr>
                      <w:bCs/>
                      <w:szCs w:val="21"/>
                    </w:rPr>
                  </w:pPr>
                </w:p>
              </w:tc>
              <w:tc>
                <w:tcPr>
                  <w:tcW w:w="1199" w:type="pct"/>
                  <w:vAlign w:val="center"/>
                </w:tcPr>
                <w:p w14:paraId="5D9C2DA1">
                  <w:pPr>
                    <w:tabs>
                      <w:tab w:val="left" w:pos="5910"/>
                    </w:tabs>
                    <w:jc w:val="center"/>
                    <w:rPr>
                      <w:bCs/>
                      <w:szCs w:val="21"/>
                    </w:rPr>
                  </w:pPr>
                  <w:r>
                    <w:rPr>
                      <w:rFonts w:hint="eastAsia"/>
                      <w:szCs w:val="21"/>
                    </w:rPr>
                    <w:t>总大肠菌群（</w:t>
                  </w:r>
                  <w:r>
                    <w:rPr>
                      <w:bCs/>
                      <w:szCs w:val="21"/>
                    </w:rPr>
                    <w:t>MPN/</w:t>
                  </w:r>
                  <w:r>
                    <w:rPr>
                      <w:rFonts w:hint="eastAsia"/>
                      <w:bCs/>
                      <w:szCs w:val="21"/>
                    </w:rPr>
                    <w:t>100m</w:t>
                  </w:r>
                  <w:r>
                    <w:rPr>
                      <w:bCs/>
                      <w:szCs w:val="21"/>
                    </w:rPr>
                    <w:t>L</w:t>
                  </w:r>
                  <w:r>
                    <w:rPr>
                      <w:rFonts w:hint="eastAsia"/>
                      <w:szCs w:val="21"/>
                    </w:rPr>
                    <w:t>）</w:t>
                  </w:r>
                </w:p>
              </w:tc>
              <w:tc>
                <w:tcPr>
                  <w:tcW w:w="874" w:type="pct"/>
                  <w:vAlign w:val="center"/>
                </w:tcPr>
                <w:p w14:paraId="4B8F5A12">
                  <w:pPr>
                    <w:jc w:val="center"/>
                    <w:rPr>
                      <w:bCs/>
                      <w:szCs w:val="21"/>
                    </w:rPr>
                  </w:pPr>
                  <w:r>
                    <w:rPr>
                      <w:rFonts w:hint="eastAsia"/>
                      <w:bCs/>
                      <w:szCs w:val="21"/>
                    </w:rPr>
                    <w:t>N</w:t>
                  </w:r>
                  <w:r>
                    <w:rPr>
                      <w:bCs/>
                      <w:szCs w:val="21"/>
                    </w:rPr>
                    <w:t>D</w:t>
                  </w:r>
                </w:p>
              </w:tc>
              <w:tc>
                <w:tcPr>
                  <w:tcW w:w="972" w:type="pct"/>
                  <w:vAlign w:val="center"/>
                </w:tcPr>
                <w:p w14:paraId="557F438C">
                  <w:pPr>
                    <w:jc w:val="center"/>
                    <w:rPr>
                      <w:bCs/>
                      <w:szCs w:val="21"/>
                    </w:rPr>
                  </w:pPr>
                  <w:r>
                    <w:rPr>
                      <w:rFonts w:hint="eastAsia"/>
                      <w:bCs/>
                      <w:szCs w:val="21"/>
                    </w:rPr>
                    <w:t>3</w:t>
                  </w:r>
                </w:p>
              </w:tc>
              <w:tc>
                <w:tcPr>
                  <w:tcW w:w="972" w:type="pct"/>
                  <w:vAlign w:val="center"/>
                </w:tcPr>
                <w:p w14:paraId="0E4F37FD">
                  <w:pPr>
                    <w:jc w:val="center"/>
                    <w:rPr>
                      <w:bCs/>
                      <w:szCs w:val="21"/>
                    </w:rPr>
                  </w:pPr>
                  <w:r>
                    <w:rPr>
                      <w:rFonts w:hint="eastAsia"/>
                      <w:bCs/>
                      <w:szCs w:val="21"/>
                    </w:rPr>
                    <w:t>0</w:t>
                  </w:r>
                </w:p>
              </w:tc>
            </w:tr>
            <w:tr w14:paraId="3D0B711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3" w:type="pct"/>
                  <w:vMerge w:val="continue"/>
                  <w:vAlign w:val="center"/>
                </w:tcPr>
                <w:p w14:paraId="7DBC3CD4">
                  <w:pPr>
                    <w:widowControl/>
                    <w:jc w:val="center"/>
                    <w:rPr>
                      <w:bCs/>
                      <w:szCs w:val="21"/>
                    </w:rPr>
                  </w:pPr>
                </w:p>
              </w:tc>
              <w:tc>
                <w:tcPr>
                  <w:tcW w:w="1199" w:type="pct"/>
                  <w:vAlign w:val="center"/>
                </w:tcPr>
                <w:p w14:paraId="39769B42">
                  <w:pPr>
                    <w:tabs>
                      <w:tab w:val="left" w:pos="5910"/>
                    </w:tabs>
                    <w:jc w:val="center"/>
                    <w:rPr>
                      <w:bCs/>
                      <w:szCs w:val="21"/>
                    </w:rPr>
                  </w:pPr>
                  <w:r>
                    <w:rPr>
                      <w:szCs w:val="21"/>
                    </w:rPr>
                    <w:t>菌落总数</w:t>
                  </w:r>
                  <w:r>
                    <w:rPr>
                      <w:rFonts w:hint="eastAsia"/>
                      <w:szCs w:val="21"/>
                    </w:rPr>
                    <w:t>（</w:t>
                  </w:r>
                  <w:r>
                    <w:rPr>
                      <w:szCs w:val="21"/>
                    </w:rPr>
                    <w:t>CFU/</w:t>
                  </w:r>
                  <w:r>
                    <w:rPr>
                      <w:rFonts w:hint="eastAsia"/>
                      <w:szCs w:val="21"/>
                    </w:rPr>
                    <w:t>mL）</w:t>
                  </w:r>
                </w:p>
              </w:tc>
              <w:tc>
                <w:tcPr>
                  <w:tcW w:w="874" w:type="pct"/>
                  <w:vAlign w:val="center"/>
                </w:tcPr>
                <w:p w14:paraId="162F11C4">
                  <w:pPr>
                    <w:jc w:val="center"/>
                    <w:rPr>
                      <w:bCs/>
                      <w:szCs w:val="21"/>
                    </w:rPr>
                  </w:pPr>
                  <w:r>
                    <w:rPr>
                      <w:rFonts w:hint="eastAsia"/>
                      <w:bCs/>
                      <w:szCs w:val="21"/>
                    </w:rPr>
                    <w:t>55</w:t>
                  </w:r>
                </w:p>
              </w:tc>
              <w:tc>
                <w:tcPr>
                  <w:tcW w:w="972" w:type="pct"/>
                  <w:vAlign w:val="center"/>
                </w:tcPr>
                <w:p w14:paraId="26C93710">
                  <w:pPr>
                    <w:jc w:val="center"/>
                    <w:rPr>
                      <w:bCs/>
                      <w:szCs w:val="21"/>
                    </w:rPr>
                  </w:pPr>
                  <w:r>
                    <w:rPr>
                      <w:rFonts w:hint="eastAsia"/>
                      <w:bCs/>
                      <w:szCs w:val="21"/>
                    </w:rPr>
                    <w:t>100</w:t>
                  </w:r>
                </w:p>
              </w:tc>
              <w:tc>
                <w:tcPr>
                  <w:tcW w:w="972" w:type="pct"/>
                  <w:vAlign w:val="center"/>
                </w:tcPr>
                <w:p w14:paraId="105236C2">
                  <w:pPr>
                    <w:jc w:val="center"/>
                    <w:rPr>
                      <w:bCs/>
                      <w:szCs w:val="21"/>
                    </w:rPr>
                  </w:pPr>
                  <w:r>
                    <w:rPr>
                      <w:rFonts w:hint="eastAsia"/>
                      <w:bCs/>
                      <w:szCs w:val="21"/>
                    </w:rPr>
                    <w:t>0</w:t>
                  </w:r>
                </w:p>
              </w:tc>
            </w:tr>
          </w:tbl>
          <w:p w14:paraId="520AC0A0">
            <w:pPr>
              <w:adjustRightInd w:val="0"/>
              <w:snapToGrid w:val="0"/>
              <w:spacing w:line="460" w:lineRule="exact"/>
              <w:ind w:firstLine="480" w:firstLineChars="200"/>
              <w:rPr>
                <w:sz w:val="24"/>
                <w:lang w:val="zh-CN"/>
              </w:rPr>
            </w:pPr>
            <w:r>
              <w:rPr>
                <w:sz w:val="24"/>
                <w:lang w:val="zh-CN"/>
              </w:rPr>
              <w:t>由上表可知，建设路厂区内地下水取水口</w:t>
            </w:r>
            <w:r>
              <w:rPr>
                <w:rFonts w:hint="eastAsia"/>
                <w:sz w:val="24"/>
                <w:lang w:val="zh-CN"/>
              </w:rPr>
              <w:t>和解放路厂区内</w:t>
            </w:r>
            <w:r>
              <w:rPr>
                <w:rFonts w:hint="eastAsia"/>
                <w:bCs/>
                <w:sz w:val="24"/>
              </w:rPr>
              <w:t>综合污水处理站东侧</w:t>
            </w:r>
            <w:r>
              <w:rPr>
                <w:sz w:val="24"/>
                <w:lang w:val="zh-CN"/>
              </w:rPr>
              <w:t>处的地下水的各项监测因子均满足《地下水质量标准》（GB/T14848-2017）Ⅲ类标准要求，表明项目所在区域地下水质量较好，现有工程的运行未对地下水环境质量产生影响。</w:t>
            </w:r>
          </w:p>
          <w:p w14:paraId="520AC0A1">
            <w:pPr>
              <w:adjustRightInd w:val="0"/>
              <w:snapToGrid w:val="0"/>
              <w:spacing w:line="460" w:lineRule="exact"/>
              <w:ind w:firstLine="482" w:firstLineChars="200"/>
              <w:rPr>
                <w:b/>
                <w:sz w:val="24"/>
              </w:rPr>
            </w:pPr>
            <w:r>
              <w:rPr>
                <w:b/>
                <w:sz w:val="24"/>
              </w:rPr>
              <w:t>5、生态环境现状</w:t>
            </w:r>
          </w:p>
          <w:p w14:paraId="520AC0A6">
            <w:pPr>
              <w:adjustRightInd w:val="0"/>
              <w:snapToGrid w:val="0"/>
              <w:spacing w:line="460" w:lineRule="exact"/>
              <w:ind w:firstLine="480" w:firstLineChars="200"/>
              <w:rPr>
                <w:highlight w:val="yellow"/>
              </w:rPr>
            </w:pPr>
            <w:r>
              <w:rPr>
                <w:rFonts w:hint="eastAsia"/>
                <w:sz w:val="24"/>
              </w:rPr>
              <w:t>根据《建设项目环境影响报告表编制技术指南（污染影响类）（试行）》，产业园区外建设项目新增用地且用地范围内含有生态环境保护目标时，应进行生态现状调查。本项目位于新乡市牧野区建设中路168号（建设路厂区）和新乡市解放大道（中）1号解放路厂区，不属于产业园区，用地范围内不含有生态环境保护目标，因此不进行生态环境现状调查。</w:t>
            </w:r>
          </w:p>
        </w:tc>
      </w:tr>
      <w:tr w14:paraId="520AC2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66" w:hRule="atLeast"/>
          <w:jc w:val="center"/>
        </w:trPr>
        <w:tc>
          <w:tcPr>
            <w:tcW w:w="800" w:type="dxa"/>
            <w:vAlign w:val="center"/>
          </w:tcPr>
          <w:p w14:paraId="520AC0A8">
            <w:pPr>
              <w:adjustRightInd w:val="0"/>
              <w:snapToGrid w:val="0"/>
              <w:jc w:val="center"/>
              <w:rPr>
                <w:rFonts w:hint="eastAsia" w:ascii="宋体" w:hAnsi="宋体" w:cs="宋体"/>
                <w:kern w:val="0"/>
                <w:szCs w:val="21"/>
              </w:rPr>
            </w:pPr>
            <w:r>
              <w:rPr>
                <w:rFonts w:hint="eastAsia" w:ascii="宋体" w:hAnsi="宋体" w:cs="宋体"/>
                <w:kern w:val="0"/>
                <w:szCs w:val="21"/>
              </w:rPr>
              <w:t>环境</w:t>
            </w:r>
          </w:p>
          <w:p w14:paraId="520AC0A9">
            <w:pPr>
              <w:adjustRightInd w:val="0"/>
              <w:snapToGrid w:val="0"/>
              <w:jc w:val="center"/>
              <w:rPr>
                <w:rFonts w:hint="eastAsia" w:ascii="宋体" w:hAnsi="宋体" w:cs="宋体"/>
                <w:kern w:val="0"/>
                <w:szCs w:val="21"/>
              </w:rPr>
            </w:pPr>
            <w:r>
              <w:rPr>
                <w:rFonts w:hint="eastAsia" w:ascii="宋体" w:hAnsi="宋体" w:cs="宋体"/>
                <w:kern w:val="0"/>
                <w:szCs w:val="21"/>
              </w:rPr>
              <w:t>保护</w:t>
            </w:r>
          </w:p>
          <w:p w14:paraId="520AC0AA">
            <w:pPr>
              <w:adjustRightInd w:val="0"/>
              <w:snapToGrid w:val="0"/>
              <w:jc w:val="center"/>
              <w:rPr>
                <w:rFonts w:hint="eastAsia" w:ascii="宋体" w:hAnsi="宋体" w:cs="宋体"/>
                <w:kern w:val="0"/>
                <w:szCs w:val="21"/>
                <w:highlight w:val="yellow"/>
              </w:rPr>
            </w:pPr>
            <w:r>
              <w:rPr>
                <w:rFonts w:hint="eastAsia" w:ascii="宋体" w:hAnsi="宋体" w:cs="宋体"/>
                <w:kern w:val="0"/>
                <w:szCs w:val="21"/>
              </w:rPr>
              <w:t>目标</w:t>
            </w:r>
          </w:p>
        </w:tc>
        <w:tc>
          <w:tcPr>
            <w:tcW w:w="8190" w:type="dxa"/>
            <w:vAlign w:val="center"/>
          </w:tcPr>
          <w:p w14:paraId="520AC0AB">
            <w:pPr>
              <w:adjustRightInd w:val="0"/>
              <w:snapToGrid w:val="0"/>
              <w:spacing w:line="460" w:lineRule="exact"/>
              <w:ind w:firstLine="482" w:firstLineChars="200"/>
              <w:rPr>
                <w:b/>
                <w:sz w:val="24"/>
              </w:rPr>
            </w:pPr>
            <w:r>
              <w:rPr>
                <w:b/>
                <w:sz w:val="24"/>
              </w:rPr>
              <w:t>主要环境保护目标</w:t>
            </w:r>
          </w:p>
          <w:p w14:paraId="520AC0AC">
            <w:pPr>
              <w:adjustRightInd w:val="0"/>
              <w:snapToGrid w:val="0"/>
              <w:spacing w:line="460" w:lineRule="exact"/>
              <w:ind w:firstLine="480" w:firstLineChars="200"/>
              <w:rPr>
                <w:sz w:val="24"/>
              </w:rPr>
            </w:pPr>
            <w:r>
              <w:rPr>
                <w:rFonts w:hint="eastAsia"/>
                <w:sz w:val="24"/>
              </w:rPr>
              <w:t>根据《建设项目环境影响报告表编制技术指南（污染影响类）（试行）》，本项目厂界外500米内存在大气环境保护目标，50米范围内存在声环境保护目标，500米内不存在地下水环境保护目标，本项目位于新乡市牧野区建设中路168号（建设路厂区）和新乡市解放大道（中）1号解放路厂区，不属于产业园区，用地范围内不含有生态环境保护目标，因此本项目涉及大气、噪声环境保护目标。</w:t>
            </w:r>
          </w:p>
          <w:p w14:paraId="520AC0AD">
            <w:pPr>
              <w:adjustRightInd w:val="0"/>
              <w:snapToGrid w:val="0"/>
              <w:spacing w:line="460" w:lineRule="exact"/>
              <w:ind w:firstLine="480" w:firstLineChars="200"/>
              <w:rPr>
                <w:rFonts w:eastAsia="黑体"/>
                <w:bCs/>
                <w:sz w:val="24"/>
              </w:rPr>
            </w:pPr>
            <w:r>
              <w:rPr>
                <w:rFonts w:eastAsia="黑体"/>
                <w:bCs/>
                <w:sz w:val="24"/>
              </w:rPr>
              <w:t>表</w:t>
            </w:r>
            <w:r>
              <w:rPr>
                <w:rFonts w:hint="eastAsia" w:eastAsia="黑体"/>
                <w:bCs/>
                <w:sz w:val="24"/>
              </w:rPr>
              <w:t>44</w:t>
            </w:r>
            <w:r>
              <w:rPr>
                <w:rFonts w:eastAsia="黑体"/>
                <w:bCs/>
                <w:sz w:val="24"/>
              </w:rPr>
              <w:t xml:space="preserve">            </w:t>
            </w:r>
            <w:r>
              <w:rPr>
                <w:rFonts w:hint="eastAsia" w:eastAsia="黑体"/>
                <w:bCs/>
                <w:sz w:val="24"/>
              </w:rPr>
              <w:t>建设路厂区</w:t>
            </w:r>
            <w:r>
              <w:rPr>
                <w:rFonts w:eastAsia="黑体"/>
                <w:bCs/>
                <w:sz w:val="24"/>
              </w:rPr>
              <w:t>厂界周围保护目标概况</w:t>
            </w:r>
          </w:p>
          <w:tbl>
            <w:tblPr>
              <w:tblStyle w:val="18"/>
              <w:tblW w:w="7974" w:type="dxa"/>
              <w:jc w:val="right"/>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1" w:type="dxa"/>
                <w:bottom w:w="0" w:type="dxa"/>
                <w:right w:w="11" w:type="dxa"/>
              </w:tblCellMar>
            </w:tblPr>
            <w:tblGrid>
              <w:gridCol w:w="645"/>
              <w:gridCol w:w="567"/>
              <w:gridCol w:w="1984"/>
              <w:gridCol w:w="992"/>
              <w:gridCol w:w="709"/>
              <w:gridCol w:w="567"/>
              <w:gridCol w:w="550"/>
              <w:gridCol w:w="1960"/>
            </w:tblGrid>
            <w:tr w14:paraId="520AC0B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Align w:val="center"/>
                </w:tcPr>
                <w:p w14:paraId="520AC0AE">
                  <w:pPr>
                    <w:jc w:val="center"/>
                    <w:rPr>
                      <w:b/>
                      <w:szCs w:val="21"/>
                    </w:rPr>
                  </w:pPr>
                  <w:r>
                    <w:rPr>
                      <w:b/>
                      <w:szCs w:val="21"/>
                    </w:rPr>
                    <w:t>保护类别</w:t>
                  </w:r>
                </w:p>
              </w:tc>
              <w:tc>
                <w:tcPr>
                  <w:tcW w:w="567" w:type="dxa"/>
                  <w:vAlign w:val="center"/>
                </w:tcPr>
                <w:p w14:paraId="520AC0AF">
                  <w:pPr>
                    <w:jc w:val="center"/>
                    <w:rPr>
                      <w:b/>
                      <w:szCs w:val="21"/>
                    </w:rPr>
                  </w:pPr>
                  <w:r>
                    <w:rPr>
                      <w:b/>
                      <w:szCs w:val="21"/>
                    </w:rPr>
                    <w:t>序号</w:t>
                  </w:r>
                </w:p>
              </w:tc>
              <w:tc>
                <w:tcPr>
                  <w:tcW w:w="1984" w:type="dxa"/>
                  <w:vAlign w:val="center"/>
                </w:tcPr>
                <w:p w14:paraId="520AC0B0">
                  <w:pPr>
                    <w:jc w:val="center"/>
                    <w:rPr>
                      <w:b/>
                      <w:szCs w:val="21"/>
                    </w:rPr>
                  </w:pPr>
                  <w:r>
                    <w:rPr>
                      <w:b/>
                      <w:szCs w:val="21"/>
                    </w:rPr>
                    <w:t>环境保护目标名称</w:t>
                  </w:r>
                </w:p>
              </w:tc>
              <w:tc>
                <w:tcPr>
                  <w:tcW w:w="992" w:type="dxa"/>
                  <w:vAlign w:val="center"/>
                </w:tcPr>
                <w:p w14:paraId="520AC0B1">
                  <w:pPr>
                    <w:jc w:val="center"/>
                    <w:rPr>
                      <w:b/>
                      <w:szCs w:val="21"/>
                    </w:rPr>
                  </w:pPr>
                  <w:r>
                    <w:rPr>
                      <w:b/>
                      <w:szCs w:val="21"/>
                    </w:rPr>
                    <w:t>保护对象</w:t>
                  </w:r>
                </w:p>
              </w:tc>
              <w:tc>
                <w:tcPr>
                  <w:tcW w:w="709" w:type="dxa"/>
                  <w:vAlign w:val="center"/>
                </w:tcPr>
                <w:p w14:paraId="520AC0B2">
                  <w:pPr>
                    <w:jc w:val="center"/>
                    <w:rPr>
                      <w:b/>
                      <w:szCs w:val="21"/>
                    </w:rPr>
                  </w:pPr>
                  <w:r>
                    <w:rPr>
                      <w:b/>
                      <w:szCs w:val="21"/>
                    </w:rPr>
                    <w:t>保护内容</w:t>
                  </w:r>
                </w:p>
              </w:tc>
              <w:tc>
                <w:tcPr>
                  <w:tcW w:w="567" w:type="dxa"/>
                  <w:vAlign w:val="center"/>
                </w:tcPr>
                <w:p w14:paraId="520AC0B3">
                  <w:pPr>
                    <w:jc w:val="center"/>
                    <w:rPr>
                      <w:b/>
                      <w:szCs w:val="21"/>
                    </w:rPr>
                  </w:pPr>
                  <w:r>
                    <w:rPr>
                      <w:b/>
                      <w:szCs w:val="21"/>
                    </w:rPr>
                    <w:t>方向</w:t>
                  </w:r>
                </w:p>
              </w:tc>
              <w:tc>
                <w:tcPr>
                  <w:tcW w:w="550" w:type="dxa"/>
                  <w:vAlign w:val="center"/>
                </w:tcPr>
                <w:p w14:paraId="520AC0B4">
                  <w:pPr>
                    <w:jc w:val="center"/>
                    <w:rPr>
                      <w:b/>
                      <w:szCs w:val="21"/>
                    </w:rPr>
                  </w:pPr>
                  <w:r>
                    <w:rPr>
                      <w:b/>
                      <w:szCs w:val="21"/>
                    </w:rPr>
                    <w:t>距离</w:t>
                  </w:r>
                  <w:r>
                    <w:rPr>
                      <w:rFonts w:hint="eastAsia"/>
                      <w:b/>
                      <w:szCs w:val="21"/>
                    </w:rPr>
                    <w:t>(m)</w:t>
                  </w:r>
                </w:p>
              </w:tc>
              <w:tc>
                <w:tcPr>
                  <w:tcW w:w="1960" w:type="dxa"/>
                  <w:vAlign w:val="center"/>
                </w:tcPr>
                <w:p w14:paraId="520AC0B5">
                  <w:pPr>
                    <w:jc w:val="center"/>
                    <w:rPr>
                      <w:b/>
                      <w:szCs w:val="21"/>
                    </w:rPr>
                  </w:pPr>
                  <w:r>
                    <w:rPr>
                      <w:b/>
                      <w:szCs w:val="21"/>
                    </w:rPr>
                    <w:t>保护级</w:t>
                  </w:r>
                  <w:r>
                    <w:rPr>
                      <w:rFonts w:hint="eastAsia"/>
                      <w:b/>
                      <w:szCs w:val="21"/>
                    </w:rPr>
                    <w:t>别</w:t>
                  </w:r>
                </w:p>
              </w:tc>
            </w:tr>
            <w:tr w14:paraId="520AC0C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restart"/>
                  <w:vAlign w:val="center"/>
                </w:tcPr>
                <w:p w14:paraId="520AC0B7">
                  <w:pPr>
                    <w:adjustRightInd w:val="0"/>
                    <w:snapToGrid w:val="0"/>
                    <w:jc w:val="center"/>
                    <w:rPr>
                      <w:szCs w:val="21"/>
                    </w:rPr>
                  </w:pPr>
                  <w:r>
                    <w:rPr>
                      <w:szCs w:val="21"/>
                    </w:rPr>
                    <w:t>大气环境</w:t>
                  </w:r>
                  <w:r>
                    <w:rPr>
                      <w:rFonts w:hint="eastAsia"/>
                      <w:szCs w:val="21"/>
                    </w:rPr>
                    <w:t>、</w:t>
                  </w:r>
                </w:p>
                <w:p w14:paraId="520AC0B8">
                  <w:pPr>
                    <w:adjustRightInd w:val="0"/>
                    <w:snapToGrid w:val="0"/>
                    <w:jc w:val="center"/>
                    <w:rPr>
                      <w:szCs w:val="21"/>
                    </w:rPr>
                  </w:pPr>
                  <w:r>
                    <w:rPr>
                      <w:szCs w:val="21"/>
                    </w:rPr>
                    <w:t>声环境</w:t>
                  </w:r>
                </w:p>
              </w:tc>
              <w:tc>
                <w:tcPr>
                  <w:tcW w:w="567" w:type="dxa"/>
                  <w:vAlign w:val="center"/>
                </w:tcPr>
                <w:p w14:paraId="520AC0B9">
                  <w:pPr>
                    <w:adjustRightInd w:val="0"/>
                    <w:snapToGrid w:val="0"/>
                    <w:jc w:val="center"/>
                    <w:rPr>
                      <w:szCs w:val="21"/>
                    </w:rPr>
                  </w:pPr>
                  <w:r>
                    <w:rPr>
                      <w:rFonts w:hint="eastAsia"/>
                      <w:szCs w:val="21"/>
                    </w:rPr>
                    <w:t>1</w:t>
                  </w:r>
                </w:p>
              </w:tc>
              <w:tc>
                <w:tcPr>
                  <w:tcW w:w="1984" w:type="dxa"/>
                  <w:vAlign w:val="center"/>
                </w:tcPr>
                <w:p w14:paraId="520AC0BA">
                  <w:pPr>
                    <w:adjustRightInd w:val="0"/>
                    <w:snapToGrid w:val="0"/>
                    <w:jc w:val="center"/>
                    <w:rPr>
                      <w:szCs w:val="21"/>
                    </w:rPr>
                  </w:pPr>
                  <w:r>
                    <w:rPr>
                      <w:szCs w:val="21"/>
                    </w:rPr>
                    <w:t>新乡市第一实验学校</w:t>
                  </w:r>
                </w:p>
              </w:tc>
              <w:tc>
                <w:tcPr>
                  <w:tcW w:w="992" w:type="dxa"/>
                  <w:vAlign w:val="center"/>
                </w:tcPr>
                <w:p w14:paraId="520AC0BB">
                  <w:pPr>
                    <w:adjustRightInd w:val="0"/>
                    <w:snapToGrid w:val="0"/>
                    <w:jc w:val="center"/>
                    <w:rPr>
                      <w:szCs w:val="21"/>
                    </w:rPr>
                  </w:pPr>
                  <w:r>
                    <w:rPr>
                      <w:szCs w:val="21"/>
                    </w:rPr>
                    <w:t>学校</w:t>
                  </w:r>
                </w:p>
              </w:tc>
              <w:tc>
                <w:tcPr>
                  <w:tcW w:w="709" w:type="dxa"/>
                  <w:vAlign w:val="center"/>
                </w:tcPr>
                <w:p w14:paraId="520AC0BC">
                  <w:pPr>
                    <w:jc w:val="center"/>
                    <w:rPr>
                      <w:szCs w:val="21"/>
                    </w:rPr>
                  </w:pPr>
                  <w:r>
                    <w:rPr>
                      <w:szCs w:val="21"/>
                    </w:rPr>
                    <w:t>学</w:t>
                  </w:r>
                  <w:r>
                    <w:rPr>
                      <w:rFonts w:hint="eastAsia"/>
                      <w:szCs w:val="21"/>
                    </w:rPr>
                    <w:t>生</w:t>
                  </w:r>
                  <w:r>
                    <w:rPr>
                      <w:szCs w:val="21"/>
                    </w:rPr>
                    <w:t>及教职工</w:t>
                  </w:r>
                </w:p>
              </w:tc>
              <w:tc>
                <w:tcPr>
                  <w:tcW w:w="567" w:type="dxa"/>
                  <w:vAlign w:val="center"/>
                </w:tcPr>
                <w:p w14:paraId="520AC0BD">
                  <w:pPr>
                    <w:jc w:val="center"/>
                    <w:rPr>
                      <w:szCs w:val="21"/>
                    </w:rPr>
                  </w:pPr>
                  <w:r>
                    <w:rPr>
                      <w:szCs w:val="21"/>
                    </w:rPr>
                    <w:t>东</w:t>
                  </w:r>
                </w:p>
              </w:tc>
              <w:tc>
                <w:tcPr>
                  <w:tcW w:w="550" w:type="dxa"/>
                  <w:vAlign w:val="center"/>
                </w:tcPr>
                <w:p w14:paraId="520AC0BE">
                  <w:pPr>
                    <w:adjustRightInd w:val="0"/>
                    <w:snapToGrid w:val="0"/>
                    <w:jc w:val="center"/>
                    <w:rPr>
                      <w:szCs w:val="21"/>
                    </w:rPr>
                  </w:pPr>
                  <w:r>
                    <w:rPr>
                      <w:rFonts w:hint="eastAsia"/>
                      <w:szCs w:val="21"/>
                    </w:rPr>
                    <w:t>7</w:t>
                  </w:r>
                </w:p>
              </w:tc>
              <w:tc>
                <w:tcPr>
                  <w:tcW w:w="1960" w:type="dxa"/>
                  <w:vAlign w:val="center"/>
                </w:tcPr>
                <w:p w14:paraId="520AC0BF">
                  <w:pPr>
                    <w:adjustRightInd w:val="0"/>
                    <w:snapToGrid w:val="0"/>
                    <w:jc w:val="center"/>
                    <w:rPr>
                      <w:szCs w:val="21"/>
                    </w:rPr>
                  </w:pPr>
                  <w:r>
                    <w:rPr>
                      <w:szCs w:val="21"/>
                    </w:rPr>
                    <w:t>《环境空气质量标准》（GB3095-2012）二级、《声环境质量标准》（</w:t>
                  </w:r>
                  <w:r>
                    <w:rPr>
                      <w:rFonts w:hint="eastAsia"/>
                      <w:szCs w:val="21"/>
                    </w:rPr>
                    <w:t>GB3096-2008</w:t>
                  </w:r>
                  <w:r>
                    <w:rPr>
                      <w:szCs w:val="21"/>
                    </w:rPr>
                    <w:t>）</w:t>
                  </w:r>
                  <w:r>
                    <w:rPr>
                      <w:rFonts w:hint="eastAsia"/>
                      <w:szCs w:val="21"/>
                    </w:rPr>
                    <w:t>1级</w:t>
                  </w:r>
                </w:p>
              </w:tc>
            </w:tr>
            <w:tr w14:paraId="520AC0C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0C1">
                  <w:pPr>
                    <w:adjustRightInd w:val="0"/>
                    <w:snapToGrid w:val="0"/>
                    <w:jc w:val="center"/>
                    <w:rPr>
                      <w:szCs w:val="21"/>
                    </w:rPr>
                  </w:pPr>
                </w:p>
              </w:tc>
              <w:tc>
                <w:tcPr>
                  <w:tcW w:w="567" w:type="dxa"/>
                  <w:vAlign w:val="center"/>
                </w:tcPr>
                <w:p w14:paraId="520AC0C2">
                  <w:pPr>
                    <w:adjustRightInd w:val="0"/>
                    <w:snapToGrid w:val="0"/>
                    <w:jc w:val="center"/>
                    <w:rPr>
                      <w:szCs w:val="21"/>
                    </w:rPr>
                  </w:pPr>
                  <w:r>
                    <w:rPr>
                      <w:rFonts w:hint="eastAsia"/>
                      <w:szCs w:val="21"/>
                    </w:rPr>
                    <w:t>2</w:t>
                  </w:r>
                </w:p>
              </w:tc>
              <w:tc>
                <w:tcPr>
                  <w:tcW w:w="1984" w:type="dxa"/>
                  <w:vAlign w:val="center"/>
                </w:tcPr>
                <w:p w14:paraId="520AC0C3">
                  <w:pPr>
                    <w:adjustRightInd w:val="0"/>
                    <w:snapToGrid w:val="0"/>
                    <w:jc w:val="center"/>
                    <w:rPr>
                      <w:szCs w:val="21"/>
                    </w:rPr>
                  </w:pPr>
                  <w:r>
                    <w:rPr>
                      <w:szCs w:val="21"/>
                    </w:rPr>
                    <w:t>坛后新村</w:t>
                  </w:r>
                </w:p>
              </w:tc>
              <w:tc>
                <w:tcPr>
                  <w:tcW w:w="992" w:type="dxa"/>
                  <w:vAlign w:val="center"/>
                </w:tcPr>
                <w:p w14:paraId="520AC0C4">
                  <w:pPr>
                    <w:adjustRightInd w:val="0"/>
                    <w:snapToGrid w:val="0"/>
                    <w:jc w:val="center"/>
                    <w:rPr>
                      <w:szCs w:val="21"/>
                    </w:rPr>
                  </w:pPr>
                  <w:r>
                    <w:rPr>
                      <w:szCs w:val="21"/>
                    </w:rPr>
                    <w:t>居住区</w:t>
                  </w:r>
                </w:p>
              </w:tc>
              <w:tc>
                <w:tcPr>
                  <w:tcW w:w="709" w:type="dxa"/>
                  <w:vAlign w:val="center"/>
                </w:tcPr>
                <w:p w14:paraId="520AC0C5">
                  <w:pPr>
                    <w:jc w:val="center"/>
                    <w:rPr>
                      <w:szCs w:val="21"/>
                    </w:rPr>
                  </w:pPr>
                  <w:r>
                    <w:rPr>
                      <w:szCs w:val="21"/>
                    </w:rPr>
                    <w:t>居民</w:t>
                  </w:r>
                </w:p>
              </w:tc>
              <w:tc>
                <w:tcPr>
                  <w:tcW w:w="567" w:type="dxa"/>
                  <w:vAlign w:val="center"/>
                </w:tcPr>
                <w:p w14:paraId="520AC0C6">
                  <w:pPr>
                    <w:jc w:val="center"/>
                    <w:rPr>
                      <w:szCs w:val="21"/>
                    </w:rPr>
                  </w:pPr>
                  <w:r>
                    <w:rPr>
                      <w:szCs w:val="21"/>
                    </w:rPr>
                    <w:t>北</w:t>
                  </w:r>
                </w:p>
              </w:tc>
              <w:tc>
                <w:tcPr>
                  <w:tcW w:w="550" w:type="dxa"/>
                  <w:vAlign w:val="center"/>
                </w:tcPr>
                <w:p w14:paraId="520AC0C7">
                  <w:pPr>
                    <w:adjustRightInd w:val="0"/>
                    <w:snapToGrid w:val="0"/>
                    <w:jc w:val="center"/>
                    <w:rPr>
                      <w:szCs w:val="21"/>
                    </w:rPr>
                  </w:pPr>
                  <w:r>
                    <w:rPr>
                      <w:rFonts w:hint="eastAsia"/>
                      <w:szCs w:val="21"/>
                    </w:rPr>
                    <w:t>2</w:t>
                  </w:r>
                </w:p>
              </w:tc>
              <w:tc>
                <w:tcPr>
                  <w:tcW w:w="1960" w:type="dxa"/>
                  <w:vMerge w:val="restart"/>
                  <w:vAlign w:val="center"/>
                </w:tcPr>
                <w:p w14:paraId="520AC0C8">
                  <w:pPr>
                    <w:adjustRightInd w:val="0"/>
                    <w:snapToGrid w:val="0"/>
                    <w:jc w:val="center"/>
                    <w:rPr>
                      <w:szCs w:val="21"/>
                    </w:rPr>
                  </w:pPr>
                  <w:r>
                    <w:rPr>
                      <w:szCs w:val="21"/>
                    </w:rPr>
                    <w:t>《环境空气质量标准》（GB3095-2012）二级、《声环境质量标准》（</w:t>
                  </w:r>
                  <w:r>
                    <w:rPr>
                      <w:rFonts w:hint="eastAsia"/>
                      <w:szCs w:val="21"/>
                    </w:rPr>
                    <w:t>GB3096-2008</w:t>
                  </w:r>
                  <w:r>
                    <w:rPr>
                      <w:szCs w:val="21"/>
                    </w:rPr>
                    <w:t>）</w:t>
                  </w:r>
                  <w:r>
                    <w:rPr>
                      <w:rFonts w:hint="eastAsia"/>
                      <w:szCs w:val="21"/>
                    </w:rPr>
                    <w:t>2级</w:t>
                  </w:r>
                </w:p>
              </w:tc>
            </w:tr>
            <w:tr w14:paraId="520AC0D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0CA">
                  <w:pPr>
                    <w:adjustRightInd w:val="0"/>
                    <w:snapToGrid w:val="0"/>
                    <w:jc w:val="center"/>
                    <w:rPr>
                      <w:szCs w:val="21"/>
                    </w:rPr>
                  </w:pPr>
                </w:p>
              </w:tc>
              <w:tc>
                <w:tcPr>
                  <w:tcW w:w="567" w:type="dxa"/>
                  <w:vAlign w:val="center"/>
                </w:tcPr>
                <w:p w14:paraId="520AC0CB">
                  <w:pPr>
                    <w:adjustRightInd w:val="0"/>
                    <w:snapToGrid w:val="0"/>
                    <w:jc w:val="center"/>
                    <w:rPr>
                      <w:szCs w:val="21"/>
                    </w:rPr>
                  </w:pPr>
                  <w:r>
                    <w:rPr>
                      <w:rFonts w:hint="eastAsia"/>
                      <w:szCs w:val="21"/>
                    </w:rPr>
                    <w:t>3</w:t>
                  </w:r>
                </w:p>
              </w:tc>
              <w:tc>
                <w:tcPr>
                  <w:tcW w:w="1984" w:type="dxa"/>
                  <w:vAlign w:val="center"/>
                </w:tcPr>
                <w:p w14:paraId="520AC0CC">
                  <w:pPr>
                    <w:adjustRightInd w:val="0"/>
                    <w:snapToGrid w:val="0"/>
                    <w:jc w:val="center"/>
                    <w:rPr>
                      <w:szCs w:val="21"/>
                    </w:rPr>
                  </w:pPr>
                  <w:r>
                    <w:rPr>
                      <w:szCs w:val="21"/>
                    </w:rPr>
                    <w:t>静馨嘉园小区</w:t>
                  </w:r>
                </w:p>
              </w:tc>
              <w:tc>
                <w:tcPr>
                  <w:tcW w:w="992" w:type="dxa"/>
                  <w:vAlign w:val="center"/>
                </w:tcPr>
                <w:p w14:paraId="520AC0CD">
                  <w:pPr>
                    <w:adjustRightInd w:val="0"/>
                    <w:snapToGrid w:val="0"/>
                    <w:jc w:val="center"/>
                    <w:rPr>
                      <w:szCs w:val="21"/>
                    </w:rPr>
                  </w:pPr>
                  <w:r>
                    <w:rPr>
                      <w:szCs w:val="21"/>
                    </w:rPr>
                    <w:t>居住区</w:t>
                  </w:r>
                </w:p>
              </w:tc>
              <w:tc>
                <w:tcPr>
                  <w:tcW w:w="709" w:type="dxa"/>
                  <w:vAlign w:val="center"/>
                </w:tcPr>
                <w:p w14:paraId="520AC0CE">
                  <w:pPr>
                    <w:jc w:val="center"/>
                    <w:rPr>
                      <w:szCs w:val="21"/>
                    </w:rPr>
                  </w:pPr>
                  <w:r>
                    <w:rPr>
                      <w:szCs w:val="21"/>
                    </w:rPr>
                    <w:t>居民</w:t>
                  </w:r>
                </w:p>
              </w:tc>
              <w:tc>
                <w:tcPr>
                  <w:tcW w:w="567" w:type="dxa"/>
                  <w:vAlign w:val="center"/>
                </w:tcPr>
                <w:p w14:paraId="520AC0CF">
                  <w:pPr>
                    <w:jc w:val="center"/>
                    <w:rPr>
                      <w:szCs w:val="21"/>
                    </w:rPr>
                  </w:pPr>
                  <w:r>
                    <w:rPr>
                      <w:szCs w:val="21"/>
                    </w:rPr>
                    <w:t>东</w:t>
                  </w:r>
                </w:p>
              </w:tc>
              <w:tc>
                <w:tcPr>
                  <w:tcW w:w="550" w:type="dxa"/>
                  <w:vAlign w:val="center"/>
                </w:tcPr>
                <w:p w14:paraId="520AC0D0">
                  <w:pPr>
                    <w:adjustRightInd w:val="0"/>
                    <w:snapToGrid w:val="0"/>
                    <w:jc w:val="center"/>
                    <w:rPr>
                      <w:szCs w:val="21"/>
                    </w:rPr>
                  </w:pPr>
                  <w:r>
                    <w:rPr>
                      <w:rFonts w:hint="eastAsia"/>
                      <w:szCs w:val="21"/>
                    </w:rPr>
                    <w:t>7</w:t>
                  </w:r>
                </w:p>
              </w:tc>
              <w:tc>
                <w:tcPr>
                  <w:tcW w:w="1960" w:type="dxa"/>
                  <w:vMerge w:val="continue"/>
                  <w:vAlign w:val="center"/>
                </w:tcPr>
                <w:p w14:paraId="520AC0D1">
                  <w:pPr>
                    <w:adjustRightInd w:val="0"/>
                    <w:snapToGrid w:val="0"/>
                    <w:jc w:val="center"/>
                    <w:rPr>
                      <w:szCs w:val="21"/>
                    </w:rPr>
                  </w:pPr>
                </w:p>
              </w:tc>
            </w:tr>
            <w:tr w14:paraId="520AC0D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0D3">
                  <w:pPr>
                    <w:adjustRightInd w:val="0"/>
                    <w:snapToGrid w:val="0"/>
                    <w:jc w:val="center"/>
                    <w:rPr>
                      <w:szCs w:val="21"/>
                    </w:rPr>
                  </w:pPr>
                </w:p>
              </w:tc>
              <w:tc>
                <w:tcPr>
                  <w:tcW w:w="567" w:type="dxa"/>
                  <w:vAlign w:val="center"/>
                </w:tcPr>
                <w:p w14:paraId="520AC0D4">
                  <w:pPr>
                    <w:adjustRightInd w:val="0"/>
                    <w:snapToGrid w:val="0"/>
                    <w:jc w:val="center"/>
                    <w:rPr>
                      <w:szCs w:val="21"/>
                    </w:rPr>
                  </w:pPr>
                  <w:r>
                    <w:rPr>
                      <w:rFonts w:hint="eastAsia"/>
                      <w:szCs w:val="21"/>
                    </w:rPr>
                    <w:t>4</w:t>
                  </w:r>
                </w:p>
              </w:tc>
              <w:tc>
                <w:tcPr>
                  <w:tcW w:w="1984" w:type="dxa"/>
                  <w:vAlign w:val="center"/>
                </w:tcPr>
                <w:p w14:paraId="520AC0D5">
                  <w:pPr>
                    <w:adjustRightInd w:val="0"/>
                    <w:snapToGrid w:val="0"/>
                    <w:jc w:val="center"/>
                    <w:rPr>
                      <w:szCs w:val="21"/>
                    </w:rPr>
                  </w:pPr>
                  <w:r>
                    <w:rPr>
                      <w:szCs w:val="21"/>
                    </w:rPr>
                    <w:t>豫新</w:t>
                  </w:r>
                  <w:r>
                    <w:rPr>
                      <w:rFonts w:hint="eastAsia"/>
                      <w:szCs w:val="21"/>
                    </w:rPr>
                    <w:t>五</w:t>
                  </w:r>
                  <w:r>
                    <w:rPr>
                      <w:szCs w:val="21"/>
                    </w:rPr>
                    <w:t>号生活区</w:t>
                  </w:r>
                </w:p>
              </w:tc>
              <w:tc>
                <w:tcPr>
                  <w:tcW w:w="992" w:type="dxa"/>
                  <w:vAlign w:val="center"/>
                </w:tcPr>
                <w:p w14:paraId="520AC0D6">
                  <w:pPr>
                    <w:adjustRightInd w:val="0"/>
                    <w:snapToGrid w:val="0"/>
                    <w:jc w:val="center"/>
                    <w:rPr>
                      <w:szCs w:val="21"/>
                    </w:rPr>
                  </w:pPr>
                  <w:r>
                    <w:rPr>
                      <w:szCs w:val="21"/>
                    </w:rPr>
                    <w:t>居住区</w:t>
                  </w:r>
                </w:p>
              </w:tc>
              <w:tc>
                <w:tcPr>
                  <w:tcW w:w="709" w:type="dxa"/>
                  <w:vAlign w:val="center"/>
                </w:tcPr>
                <w:p w14:paraId="520AC0D7">
                  <w:pPr>
                    <w:jc w:val="center"/>
                    <w:rPr>
                      <w:szCs w:val="21"/>
                    </w:rPr>
                  </w:pPr>
                  <w:r>
                    <w:rPr>
                      <w:szCs w:val="21"/>
                    </w:rPr>
                    <w:t>居民</w:t>
                  </w:r>
                </w:p>
              </w:tc>
              <w:tc>
                <w:tcPr>
                  <w:tcW w:w="567" w:type="dxa"/>
                  <w:vAlign w:val="center"/>
                </w:tcPr>
                <w:p w14:paraId="520AC0D8">
                  <w:pPr>
                    <w:jc w:val="center"/>
                    <w:rPr>
                      <w:szCs w:val="21"/>
                    </w:rPr>
                  </w:pPr>
                  <w:r>
                    <w:rPr>
                      <w:szCs w:val="21"/>
                    </w:rPr>
                    <w:t>东</w:t>
                  </w:r>
                </w:p>
              </w:tc>
              <w:tc>
                <w:tcPr>
                  <w:tcW w:w="550" w:type="dxa"/>
                  <w:vAlign w:val="center"/>
                </w:tcPr>
                <w:p w14:paraId="520AC0D9">
                  <w:pPr>
                    <w:adjustRightInd w:val="0"/>
                    <w:snapToGrid w:val="0"/>
                    <w:jc w:val="center"/>
                    <w:rPr>
                      <w:szCs w:val="21"/>
                    </w:rPr>
                  </w:pPr>
                  <w:r>
                    <w:rPr>
                      <w:rFonts w:hint="eastAsia"/>
                      <w:szCs w:val="21"/>
                    </w:rPr>
                    <w:t>7</w:t>
                  </w:r>
                </w:p>
              </w:tc>
              <w:tc>
                <w:tcPr>
                  <w:tcW w:w="1960" w:type="dxa"/>
                  <w:vMerge w:val="continue"/>
                  <w:vAlign w:val="center"/>
                </w:tcPr>
                <w:p w14:paraId="520AC0DA">
                  <w:pPr>
                    <w:adjustRightInd w:val="0"/>
                    <w:snapToGrid w:val="0"/>
                    <w:jc w:val="center"/>
                    <w:rPr>
                      <w:szCs w:val="21"/>
                    </w:rPr>
                  </w:pPr>
                </w:p>
              </w:tc>
            </w:tr>
            <w:tr w14:paraId="520AC0E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0DC">
                  <w:pPr>
                    <w:adjustRightInd w:val="0"/>
                    <w:snapToGrid w:val="0"/>
                    <w:jc w:val="center"/>
                    <w:rPr>
                      <w:szCs w:val="21"/>
                    </w:rPr>
                  </w:pPr>
                </w:p>
              </w:tc>
              <w:tc>
                <w:tcPr>
                  <w:tcW w:w="567" w:type="dxa"/>
                  <w:vAlign w:val="center"/>
                </w:tcPr>
                <w:p w14:paraId="520AC0DD">
                  <w:pPr>
                    <w:adjustRightInd w:val="0"/>
                    <w:snapToGrid w:val="0"/>
                    <w:jc w:val="center"/>
                    <w:rPr>
                      <w:szCs w:val="21"/>
                    </w:rPr>
                  </w:pPr>
                  <w:r>
                    <w:rPr>
                      <w:rFonts w:hint="eastAsia"/>
                      <w:szCs w:val="21"/>
                    </w:rPr>
                    <w:t>5</w:t>
                  </w:r>
                </w:p>
              </w:tc>
              <w:tc>
                <w:tcPr>
                  <w:tcW w:w="1984" w:type="dxa"/>
                  <w:vAlign w:val="center"/>
                </w:tcPr>
                <w:p w14:paraId="520AC0DE">
                  <w:pPr>
                    <w:adjustRightInd w:val="0"/>
                    <w:snapToGrid w:val="0"/>
                    <w:jc w:val="center"/>
                    <w:rPr>
                      <w:szCs w:val="21"/>
                    </w:rPr>
                  </w:pPr>
                  <w:r>
                    <w:rPr>
                      <w:szCs w:val="21"/>
                    </w:rPr>
                    <w:t>六合园小区</w:t>
                  </w:r>
                </w:p>
              </w:tc>
              <w:tc>
                <w:tcPr>
                  <w:tcW w:w="992" w:type="dxa"/>
                  <w:vAlign w:val="center"/>
                </w:tcPr>
                <w:p w14:paraId="520AC0DF">
                  <w:pPr>
                    <w:adjustRightInd w:val="0"/>
                    <w:snapToGrid w:val="0"/>
                    <w:jc w:val="center"/>
                    <w:rPr>
                      <w:szCs w:val="21"/>
                    </w:rPr>
                  </w:pPr>
                  <w:r>
                    <w:rPr>
                      <w:szCs w:val="21"/>
                    </w:rPr>
                    <w:t>居住区</w:t>
                  </w:r>
                </w:p>
              </w:tc>
              <w:tc>
                <w:tcPr>
                  <w:tcW w:w="709" w:type="dxa"/>
                  <w:vAlign w:val="center"/>
                </w:tcPr>
                <w:p w14:paraId="520AC0E0">
                  <w:pPr>
                    <w:jc w:val="center"/>
                    <w:rPr>
                      <w:szCs w:val="21"/>
                    </w:rPr>
                  </w:pPr>
                  <w:r>
                    <w:rPr>
                      <w:szCs w:val="21"/>
                    </w:rPr>
                    <w:t>居民</w:t>
                  </w:r>
                </w:p>
              </w:tc>
              <w:tc>
                <w:tcPr>
                  <w:tcW w:w="567" w:type="dxa"/>
                  <w:vAlign w:val="center"/>
                </w:tcPr>
                <w:p w14:paraId="520AC0E1">
                  <w:pPr>
                    <w:jc w:val="center"/>
                    <w:rPr>
                      <w:szCs w:val="21"/>
                    </w:rPr>
                  </w:pPr>
                  <w:r>
                    <w:rPr>
                      <w:szCs w:val="21"/>
                    </w:rPr>
                    <w:t>西</w:t>
                  </w:r>
                </w:p>
              </w:tc>
              <w:tc>
                <w:tcPr>
                  <w:tcW w:w="550" w:type="dxa"/>
                  <w:vAlign w:val="center"/>
                </w:tcPr>
                <w:p w14:paraId="520AC0E2">
                  <w:pPr>
                    <w:adjustRightInd w:val="0"/>
                    <w:snapToGrid w:val="0"/>
                    <w:jc w:val="center"/>
                    <w:rPr>
                      <w:szCs w:val="21"/>
                    </w:rPr>
                  </w:pPr>
                  <w:r>
                    <w:rPr>
                      <w:rFonts w:hint="eastAsia"/>
                      <w:szCs w:val="21"/>
                    </w:rPr>
                    <w:t>7</w:t>
                  </w:r>
                </w:p>
              </w:tc>
              <w:tc>
                <w:tcPr>
                  <w:tcW w:w="1960" w:type="dxa"/>
                  <w:vMerge w:val="continue"/>
                  <w:vAlign w:val="center"/>
                </w:tcPr>
                <w:p w14:paraId="520AC0E3">
                  <w:pPr>
                    <w:adjustRightInd w:val="0"/>
                    <w:snapToGrid w:val="0"/>
                    <w:jc w:val="center"/>
                    <w:rPr>
                      <w:szCs w:val="21"/>
                    </w:rPr>
                  </w:pPr>
                </w:p>
              </w:tc>
            </w:tr>
            <w:tr w14:paraId="520AC0E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0E5">
                  <w:pPr>
                    <w:adjustRightInd w:val="0"/>
                    <w:snapToGrid w:val="0"/>
                    <w:jc w:val="center"/>
                    <w:rPr>
                      <w:szCs w:val="21"/>
                    </w:rPr>
                  </w:pPr>
                </w:p>
              </w:tc>
              <w:tc>
                <w:tcPr>
                  <w:tcW w:w="567" w:type="dxa"/>
                  <w:vAlign w:val="center"/>
                </w:tcPr>
                <w:p w14:paraId="520AC0E6">
                  <w:pPr>
                    <w:adjustRightInd w:val="0"/>
                    <w:snapToGrid w:val="0"/>
                    <w:jc w:val="center"/>
                    <w:rPr>
                      <w:szCs w:val="21"/>
                    </w:rPr>
                  </w:pPr>
                  <w:r>
                    <w:rPr>
                      <w:rFonts w:hint="eastAsia"/>
                      <w:szCs w:val="21"/>
                    </w:rPr>
                    <w:t>6</w:t>
                  </w:r>
                </w:p>
              </w:tc>
              <w:tc>
                <w:tcPr>
                  <w:tcW w:w="1984" w:type="dxa"/>
                  <w:vAlign w:val="center"/>
                </w:tcPr>
                <w:p w14:paraId="520AC0E7">
                  <w:pPr>
                    <w:adjustRightInd w:val="0"/>
                    <w:snapToGrid w:val="0"/>
                    <w:jc w:val="center"/>
                    <w:rPr>
                      <w:szCs w:val="21"/>
                    </w:rPr>
                  </w:pPr>
                  <w:r>
                    <w:rPr>
                      <w:szCs w:val="21"/>
                    </w:rPr>
                    <w:t>建北小区</w:t>
                  </w:r>
                </w:p>
              </w:tc>
              <w:tc>
                <w:tcPr>
                  <w:tcW w:w="992" w:type="dxa"/>
                  <w:vAlign w:val="center"/>
                </w:tcPr>
                <w:p w14:paraId="520AC0E8">
                  <w:pPr>
                    <w:adjustRightInd w:val="0"/>
                    <w:snapToGrid w:val="0"/>
                    <w:jc w:val="center"/>
                    <w:rPr>
                      <w:szCs w:val="21"/>
                    </w:rPr>
                  </w:pPr>
                  <w:r>
                    <w:rPr>
                      <w:szCs w:val="21"/>
                    </w:rPr>
                    <w:t>居</w:t>
                  </w:r>
                  <w:r>
                    <w:rPr>
                      <w:rFonts w:hint="eastAsia"/>
                      <w:szCs w:val="21"/>
                    </w:rPr>
                    <w:t>住</w:t>
                  </w:r>
                  <w:r>
                    <w:rPr>
                      <w:szCs w:val="21"/>
                    </w:rPr>
                    <w:t>区</w:t>
                  </w:r>
                </w:p>
              </w:tc>
              <w:tc>
                <w:tcPr>
                  <w:tcW w:w="709" w:type="dxa"/>
                  <w:vAlign w:val="center"/>
                </w:tcPr>
                <w:p w14:paraId="520AC0E9">
                  <w:pPr>
                    <w:jc w:val="center"/>
                    <w:rPr>
                      <w:szCs w:val="21"/>
                    </w:rPr>
                  </w:pPr>
                  <w:r>
                    <w:rPr>
                      <w:szCs w:val="21"/>
                    </w:rPr>
                    <w:t>居民</w:t>
                  </w:r>
                </w:p>
              </w:tc>
              <w:tc>
                <w:tcPr>
                  <w:tcW w:w="567" w:type="dxa"/>
                  <w:vAlign w:val="center"/>
                </w:tcPr>
                <w:p w14:paraId="520AC0EA">
                  <w:pPr>
                    <w:jc w:val="center"/>
                    <w:rPr>
                      <w:szCs w:val="21"/>
                    </w:rPr>
                  </w:pPr>
                  <w:r>
                    <w:rPr>
                      <w:szCs w:val="21"/>
                    </w:rPr>
                    <w:t>北</w:t>
                  </w:r>
                </w:p>
              </w:tc>
              <w:tc>
                <w:tcPr>
                  <w:tcW w:w="550" w:type="dxa"/>
                  <w:vAlign w:val="center"/>
                </w:tcPr>
                <w:p w14:paraId="520AC0EB">
                  <w:pPr>
                    <w:adjustRightInd w:val="0"/>
                    <w:snapToGrid w:val="0"/>
                    <w:jc w:val="center"/>
                    <w:rPr>
                      <w:szCs w:val="21"/>
                    </w:rPr>
                  </w:pPr>
                  <w:r>
                    <w:rPr>
                      <w:szCs w:val="21"/>
                    </w:rPr>
                    <w:t>1</w:t>
                  </w:r>
                  <w:r>
                    <w:rPr>
                      <w:rFonts w:hint="eastAsia"/>
                      <w:szCs w:val="21"/>
                    </w:rPr>
                    <w:t>5</w:t>
                  </w:r>
                </w:p>
              </w:tc>
              <w:tc>
                <w:tcPr>
                  <w:tcW w:w="1960" w:type="dxa"/>
                  <w:vMerge w:val="continue"/>
                  <w:vAlign w:val="center"/>
                </w:tcPr>
                <w:p w14:paraId="520AC0EC">
                  <w:pPr>
                    <w:adjustRightInd w:val="0"/>
                    <w:snapToGrid w:val="0"/>
                    <w:jc w:val="center"/>
                    <w:rPr>
                      <w:szCs w:val="21"/>
                    </w:rPr>
                  </w:pPr>
                </w:p>
              </w:tc>
            </w:tr>
            <w:tr w14:paraId="520AC0F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0EE">
                  <w:pPr>
                    <w:adjustRightInd w:val="0"/>
                    <w:snapToGrid w:val="0"/>
                    <w:jc w:val="center"/>
                    <w:rPr>
                      <w:szCs w:val="21"/>
                    </w:rPr>
                  </w:pPr>
                </w:p>
              </w:tc>
              <w:tc>
                <w:tcPr>
                  <w:tcW w:w="567" w:type="dxa"/>
                  <w:vAlign w:val="center"/>
                </w:tcPr>
                <w:p w14:paraId="520AC0EF">
                  <w:pPr>
                    <w:adjustRightInd w:val="0"/>
                    <w:snapToGrid w:val="0"/>
                    <w:jc w:val="center"/>
                    <w:rPr>
                      <w:szCs w:val="21"/>
                    </w:rPr>
                  </w:pPr>
                  <w:r>
                    <w:rPr>
                      <w:rFonts w:hint="eastAsia"/>
                      <w:szCs w:val="21"/>
                    </w:rPr>
                    <w:t>7</w:t>
                  </w:r>
                </w:p>
              </w:tc>
              <w:tc>
                <w:tcPr>
                  <w:tcW w:w="1984" w:type="dxa"/>
                  <w:vAlign w:val="center"/>
                </w:tcPr>
                <w:p w14:paraId="520AC0F0">
                  <w:pPr>
                    <w:adjustRightInd w:val="0"/>
                    <w:snapToGrid w:val="0"/>
                    <w:jc w:val="center"/>
                    <w:rPr>
                      <w:szCs w:val="21"/>
                    </w:rPr>
                  </w:pPr>
                  <w:r>
                    <w:rPr>
                      <w:szCs w:val="21"/>
                    </w:rPr>
                    <w:t>豫新生活区南院</w:t>
                  </w:r>
                </w:p>
              </w:tc>
              <w:tc>
                <w:tcPr>
                  <w:tcW w:w="992" w:type="dxa"/>
                  <w:vAlign w:val="center"/>
                </w:tcPr>
                <w:p w14:paraId="520AC0F1">
                  <w:pPr>
                    <w:adjustRightInd w:val="0"/>
                    <w:snapToGrid w:val="0"/>
                    <w:jc w:val="center"/>
                    <w:rPr>
                      <w:szCs w:val="21"/>
                    </w:rPr>
                  </w:pPr>
                  <w:r>
                    <w:rPr>
                      <w:szCs w:val="21"/>
                    </w:rPr>
                    <w:t>居住区</w:t>
                  </w:r>
                </w:p>
              </w:tc>
              <w:tc>
                <w:tcPr>
                  <w:tcW w:w="709" w:type="dxa"/>
                  <w:vAlign w:val="center"/>
                </w:tcPr>
                <w:p w14:paraId="520AC0F2">
                  <w:pPr>
                    <w:jc w:val="center"/>
                    <w:rPr>
                      <w:szCs w:val="21"/>
                    </w:rPr>
                  </w:pPr>
                  <w:r>
                    <w:rPr>
                      <w:szCs w:val="21"/>
                    </w:rPr>
                    <w:t>居民</w:t>
                  </w:r>
                </w:p>
              </w:tc>
              <w:tc>
                <w:tcPr>
                  <w:tcW w:w="567" w:type="dxa"/>
                  <w:vAlign w:val="center"/>
                </w:tcPr>
                <w:p w14:paraId="520AC0F3">
                  <w:pPr>
                    <w:jc w:val="center"/>
                    <w:rPr>
                      <w:szCs w:val="21"/>
                    </w:rPr>
                  </w:pPr>
                  <w:r>
                    <w:rPr>
                      <w:szCs w:val="21"/>
                    </w:rPr>
                    <w:t>南</w:t>
                  </w:r>
                </w:p>
              </w:tc>
              <w:tc>
                <w:tcPr>
                  <w:tcW w:w="550" w:type="dxa"/>
                  <w:vAlign w:val="center"/>
                </w:tcPr>
                <w:p w14:paraId="520AC0F4">
                  <w:pPr>
                    <w:adjustRightInd w:val="0"/>
                    <w:snapToGrid w:val="0"/>
                    <w:jc w:val="center"/>
                    <w:rPr>
                      <w:szCs w:val="21"/>
                    </w:rPr>
                  </w:pPr>
                  <w:r>
                    <w:rPr>
                      <w:rFonts w:hint="eastAsia"/>
                      <w:szCs w:val="21"/>
                    </w:rPr>
                    <w:t>30</w:t>
                  </w:r>
                </w:p>
              </w:tc>
              <w:tc>
                <w:tcPr>
                  <w:tcW w:w="1960" w:type="dxa"/>
                  <w:vMerge w:val="continue"/>
                  <w:vAlign w:val="center"/>
                </w:tcPr>
                <w:p w14:paraId="520AC0F5">
                  <w:pPr>
                    <w:adjustRightInd w:val="0"/>
                    <w:snapToGrid w:val="0"/>
                    <w:jc w:val="center"/>
                    <w:rPr>
                      <w:szCs w:val="21"/>
                    </w:rPr>
                  </w:pPr>
                </w:p>
              </w:tc>
            </w:tr>
            <w:tr w14:paraId="520AC0F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0F7">
                  <w:pPr>
                    <w:adjustRightInd w:val="0"/>
                    <w:snapToGrid w:val="0"/>
                    <w:jc w:val="center"/>
                    <w:rPr>
                      <w:szCs w:val="21"/>
                    </w:rPr>
                  </w:pPr>
                </w:p>
              </w:tc>
              <w:tc>
                <w:tcPr>
                  <w:tcW w:w="567" w:type="dxa"/>
                  <w:vAlign w:val="center"/>
                </w:tcPr>
                <w:p w14:paraId="520AC0F8">
                  <w:pPr>
                    <w:adjustRightInd w:val="0"/>
                    <w:snapToGrid w:val="0"/>
                    <w:jc w:val="center"/>
                    <w:rPr>
                      <w:szCs w:val="21"/>
                    </w:rPr>
                  </w:pPr>
                  <w:r>
                    <w:rPr>
                      <w:rFonts w:hint="eastAsia"/>
                      <w:szCs w:val="21"/>
                    </w:rPr>
                    <w:t>8</w:t>
                  </w:r>
                </w:p>
              </w:tc>
              <w:tc>
                <w:tcPr>
                  <w:tcW w:w="1984" w:type="dxa"/>
                  <w:vAlign w:val="center"/>
                </w:tcPr>
                <w:p w14:paraId="520AC0F9">
                  <w:pPr>
                    <w:adjustRightInd w:val="0"/>
                    <w:snapToGrid w:val="0"/>
                    <w:jc w:val="center"/>
                    <w:rPr>
                      <w:szCs w:val="21"/>
                    </w:rPr>
                  </w:pPr>
                  <w:r>
                    <w:rPr>
                      <w:szCs w:val="21"/>
                    </w:rPr>
                    <w:t>太行电源集团家</w:t>
                  </w:r>
                  <w:r>
                    <w:rPr>
                      <w:rFonts w:hint="eastAsia"/>
                      <w:szCs w:val="21"/>
                    </w:rPr>
                    <w:t>属</w:t>
                  </w:r>
                  <w:r>
                    <w:rPr>
                      <w:szCs w:val="21"/>
                    </w:rPr>
                    <w:t>院</w:t>
                  </w:r>
                </w:p>
              </w:tc>
              <w:tc>
                <w:tcPr>
                  <w:tcW w:w="992" w:type="dxa"/>
                  <w:vAlign w:val="center"/>
                </w:tcPr>
                <w:p w14:paraId="520AC0FA">
                  <w:pPr>
                    <w:adjustRightInd w:val="0"/>
                    <w:snapToGrid w:val="0"/>
                    <w:jc w:val="center"/>
                    <w:rPr>
                      <w:szCs w:val="21"/>
                    </w:rPr>
                  </w:pPr>
                  <w:r>
                    <w:rPr>
                      <w:szCs w:val="21"/>
                    </w:rPr>
                    <w:t>居住区</w:t>
                  </w:r>
                </w:p>
              </w:tc>
              <w:tc>
                <w:tcPr>
                  <w:tcW w:w="709" w:type="dxa"/>
                  <w:vAlign w:val="center"/>
                </w:tcPr>
                <w:p w14:paraId="520AC0FB">
                  <w:pPr>
                    <w:jc w:val="center"/>
                    <w:rPr>
                      <w:szCs w:val="21"/>
                    </w:rPr>
                  </w:pPr>
                  <w:r>
                    <w:rPr>
                      <w:szCs w:val="21"/>
                    </w:rPr>
                    <w:t>居民</w:t>
                  </w:r>
                </w:p>
              </w:tc>
              <w:tc>
                <w:tcPr>
                  <w:tcW w:w="567" w:type="dxa"/>
                  <w:vAlign w:val="center"/>
                </w:tcPr>
                <w:p w14:paraId="520AC0FC">
                  <w:pPr>
                    <w:jc w:val="center"/>
                    <w:rPr>
                      <w:szCs w:val="21"/>
                    </w:rPr>
                  </w:pPr>
                  <w:r>
                    <w:rPr>
                      <w:szCs w:val="21"/>
                    </w:rPr>
                    <w:t>南</w:t>
                  </w:r>
                </w:p>
              </w:tc>
              <w:tc>
                <w:tcPr>
                  <w:tcW w:w="550" w:type="dxa"/>
                  <w:vAlign w:val="center"/>
                </w:tcPr>
                <w:p w14:paraId="520AC0FD">
                  <w:pPr>
                    <w:adjustRightInd w:val="0"/>
                    <w:snapToGrid w:val="0"/>
                    <w:jc w:val="center"/>
                    <w:rPr>
                      <w:szCs w:val="21"/>
                    </w:rPr>
                  </w:pPr>
                  <w:r>
                    <w:rPr>
                      <w:rFonts w:hint="eastAsia"/>
                      <w:szCs w:val="21"/>
                    </w:rPr>
                    <w:t>30</w:t>
                  </w:r>
                </w:p>
              </w:tc>
              <w:tc>
                <w:tcPr>
                  <w:tcW w:w="1960" w:type="dxa"/>
                  <w:vMerge w:val="continue"/>
                  <w:vAlign w:val="center"/>
                </w:tcPr>
                <w:p w14:paraId="520AC0FE">
                  <w:pPr>
                    <w:adjustRightInd w:val="0"/>
                    <w:snapToGrid w:val="0"/>
                    <w:jc w:val="center"/>
                    <w:rPr>
                      <w:szCs w:val="21"/>
                    </w:rPr>
                  </w:pPr>
                </w:p>
              </w:tc>
            </w:tr>
            <w:tr w14:paraId="520AC10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00">
                  <w:pPr>
                    <w:adjustRightInd w:val="0"/>
                    <w:snapToGrid w:val="0"/>
                    <w:jc w:val="center"/>
                    <w:rPr>
                      <w:szCs w:val="21"/>
                    </w:rPr>
                  </w:pPr>
                </w:p>
              </w:tc>
              <w:tc>
                <w:tcPr>
                  <w:tcW w:w="567" w:type="dxa"/>
                  <w:vAlign w:val="center"/>
                </w:tcPr>
                <w:p w14:paraId="520AC101">
                  <w:pPr>
                    <w:adjustRightInd w:val="0"/>
                    <w:snapToGrid w:val="0"/>
                    <w:jc w:val="center"/>
                    <w:rPr>
                      <w:szCs w:val="21"/>
                    </w:rPr>
                  </w:pPr>
                  <w:r>
                    <w:rPr>
                      <w:rFonts w:hint="eastAsia"/>
                      <w:szCs w:val="21"/>
                    </w:rPr>
                    <w:t>9</w:t>
                  </w:r>
                </w:p>
              </w:tc>
              <w:tc>
                <w:tcPr>
                  <w:tcW w:w="1984" w:type="dxa"/>
                  <w:vAlign w:val="center"/>
                </w:tcPr>
                <w:p w14:paraId="520AC102">
                  <w:pPr>
                    <w:adjustRightInd w:val="0"/>
                    <w:snapToGrid w:val="0"/>
                    <w:jc w:val="center"/>
                    <w:rPr>
                      <w:szCs w:val="21"/>
                    </w:rPr>
                  </w:pPr>
                  <w:r>
                    <w:rPr>
                      <w:szCs w:val="21"/>
                    </w:rPr>
                    <w:t>尚都国际小区</w:t>
                  </w:r>
                </w:p>
              </w:tc>
              <w:tc>
                <w:tcPr>
                  <w:tcW w:w="992" w:type="dxa"/>
                  <w:vAlign w:val="center"/>
                </w:tcPr>
                <w:p w14:paraId="520AC103">
                  <w:pPr>
                    <w:adjustRightInd w:val="0"/>
                    <w:snapToGrid w:val="0"/>
                    <w:jc w:val="center"/>
                    <w:rPr>
                      <w:szCs w:val="21"/>
                    </w:rPr>
                  </w:pPr>
                  <w:r>
                    <w:rPr>
                      <w:szCs w:val="21"/>
                    </w:rPr>
                    <w:t>居住区</w:t>
                  </w:r>
                </w:p>
              </w:tc>
              <w:tc>
                <w:tcPr>
                  <w:tcW w:w="709" w:type="dxa"/>
                  <w:vAlign w:val="center"/>
                </w:tcPr>
                <w:p w14:paraId="520AC104">
                  <w:pPr>
                    <w:jc w:val="center"/>
                    <w:rPr>
                      <w:szCs w:val="21"/>
                    </w:rPr>
                  </w:pPr>
                  <w:r>
                    <w:rPr>
                      <w:szCs w:val="21"/>
                    </w:rPr>
                    <w:t>居民</w:t>
                  </w:r>
                </w:p>
              </w:tc>
              <w:tc>
                <w:tcPr>
                  <w:tcW w:w="567" w:type="dxa"/>
                  <w:vAlign w:val="center"/>
                </w:tcPr>
                <w:p w14:paraId="520AC105">
                  <w:pPr>
                    <w:jc w:val="center"/>
                    <w:rPr>
                      <w:szCs w:val="21"/>
                    </w:rPr>
                  </w:pPr>
                  <w:r>
                    <w:rPr>
                      <w:szCs w:val="21"/>
                    </w:rPr>
                    <w:t>东</w:t>
                  </w:r>
                </w:p>
              </w:tc>
              <w:tc>
                <w:tcPr>
                  <w:tcW w:w="550" w:type="dxa"/>
                  <w:vAlign w:val="center"/>
                </w:tcPr>
                <w:p w14:paraId="520AC106">
                  <w:pPr>
                    <w:adjustRightInd w:val="0"/>
                    <w:snapToGrid w:val="0"/>
                    <w:jc w:val="center"/>
                    <w:rPr>
                      <w:szCs w:val="21"/>
                    </w:rPr>
                  </w:pPr>
                  <w:r>
                    <w:rPr>
                      <w:rFonts w:hint="eastAsia"/>
                      <w:szCs w:val="21"/>
                    </w:rPr>
                    <w:t>36</w:t>
                  </w:r>
                </w:p>
              </w:tc>
              <w:tc>
                <w:tcPr>
                  <w:tcW w:w="1960" w:type="dxa"/>
                  <w:vMerge w:val="continue"/>
                  <w:vAlign w:val="center"/>
                </w:tcPr>
                <w:p w14:paraId="520AC107">
                  <w:pPr>
                    <w:adjustRightInd w:val="0"/>
                    <w:snapToGrid w:val="0"/>
                    <w:jc w:val="center"/>
                    <w:rPr>
                      <w:szCs w:val="21"/>
                    </w:rPr>
                  </w:pPr>
                </w:p>
              </w:tc>
            </w:tr>
            <w:tr w14:paraId="520AC11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restart"/>
                  <w:vAlign w:val="center"/>
                </w:tcPr>
                <w:p w14:paraId="520AC109">
                  <w:pPr>
                    <w:adjustRightInd w:val="0"/>
                    <w:snapToGrid w:val="0"/>
                    <w:jc w:val="center"/>
                    <w:rPr>
                      <w:szCs w:val="21"/>
                    </w:rPr>
                  </w:pPr>
                  <w:r>
                    <w:rPr>
                      <w:szCs w:val="21"/>
                    </w:rPr>
                    <w:t>大气环</w:t>
                  </w:r>
                  <w:r>
                    <w:rPr>
                      <w:rFonts w:hint="eastAsia"/>
                      <w:szCs w:val="21"/>
                    </w:rPr>
                    <w:t>境</w:t>
                  </w:r>
                </w:p>
              </w:tc>
              <w:tc>
                <w:tcPr>
                  <w:tcW w:w="567" w:type="dxa"/>
                  <w:vAlign w:val="center"/>
                </w:tcPr>
                <w:p w14:paraId="520AC10A">
                  <w:pPr>
                    <w:adjustRightInd w:val="0"/>
                    <w:snapToGrid w:val="0"/>
                    <w:jc w:val="center"/>
                    <w:rPr>
                      <w:szCs w:val="21"/>
                    </w:rPr>
                  </w:pPr>
                  <w:r>
                    <w:rPr>
                      <w:rFonts w:hint="eastAsia"/>
                      <w:szCs w:val="21"/>
                    </w:rPr>
                    <w:t>1</w:t>
                  </w:r>
                </w:p>
              </w:tc>
              <w:tc>
                <w:tcPr>
                  <w:tcW w:w="1984" w:type="dxa"/>
                  <w:vAlign w:val="center"/>
                </w:tcPr>
                <w:p w14:paraId="520AC10B">
                  <w:pPr>
                    <w:adjustRightInd w:val="0"/>
                    <w:snapToGrid w:val="0"/>
                    <w:jc w:val="center"/>
                    <w:rPr>
                      <w:szCs w:val="21"/>
                    </w:rPr>
                  </w:pPr>
                  <w:r>
                    <w:rPr>
                      <w:szCs w:val="21"/>
                    </w:rPr>
                    <w:t>新乡市二中西校区</w:t>
                  </w:r>
                </w:p>
              </w:tc>
              <w:tc>
                <w:tcPr>
                  <w:tcW w:w="992" w:type="dxa"/>
                  <w:vAlign w:val="center"/>
                </w:tcPr>
                <w:p w14:paraId="520AC10C">
                  <w:pPr>
                    <w:adjustRightInd w:val="0"/>
                    <w:snapToGrid w:val="0"/>
                    <w:jc w:val="center"/>
                    <w:rPr>
                      <w:szCs w:val="21"/>
                    </w:rPr>
                  </w:pPr>
                  <w:r>
                    <w:rPr>
                      <w:szCs w:val="21"/>
                    </w:rPr>
                    <w:t>学校</w:t>
                  </w:r>
                </w:p>
              </w:tc>
              <w:tc>
                <w:tcPr>
                  <w:tcW w:w="709" w:type="dxa"/>
                  <w:vAlign w:val="center"/>
                </w:tcPr>
                <w:p w14:paraId="520AC10D">
                  <w:pPr>
                    <w:jc w:val="center"/>
                    <w:rPr>
                      <w:szCs w:val="21"/>
                    </w:rPr>
                  </w:pPr>
                  <w:r>
                    <w:rPr>
                      <w:szCs w:val="21"/>
                    </w:rPr>
                    <w:t>学生及教职工</w:t>
                  </w:r>
                </w:p>
              </w:tc>
              <w:tc>
                <w:tcPr>
                  <w:tcW w:w="567" w:type="dxa"/>
                  <w:vAlign w:val="center"/>
                </w:tcPr>
                <w:p w14:paraId="520AC10E">
                  <w:pPr>
                    <w:jc w:val="center"/>
                    <w:rPr>
                      <w:szCs w:val="21"/>
                    </w:rPr>
                  </w:pPr>
                  <w:r>
                    <w:rPr>
                      <w:szCs w:val="21"/>
                    </w:rPr>
                    <w:t>南</w:t>
                  </w:r>
                </w:p>
              </w:tc>
              <w:tc>
                <w:tcPr>
                  <w:tcW w:w="550" w:type="dxa"/>
                  <w:vAlign w:val="center"/>
                </w:tcPr>
                <w:p w14:paraId="520AC10F">
                  <w:pPr>
                    <w:adjustRightInd w:val="0"/>
                    <w:snapToGrid w:val="0"/>
                    <w:jc w:val="center"/>
                    <w:rPr>
                      <w:szCs w:val="21"/>
                    </w:rPr>
                  </w:pPr>
                  <w:r>
                    <w:rPr>
                      <w:rFonts w:hint="eastAsia"/>
                      <w:szCs w:val="21"/>
                    </w:rPr>
                    <w:t>263</w:t>
                  </w:r>
                </w:p>
              </w:tc>
              <w:tc>
                <w:tcPr>
                  <w:tcW w:w="1960" w:type="dxa"/>
                  <w:vMerge w:val="restart"/>
                  <w:vAlign w:val="center"/>
                </w:tcPr>
                <w:p w14:paraId="520AC110">
                  <w:pPr>
                    <w:adjustRightInd w:val="0"/>
                    <w:snapToGrid w:val="0"/>
                    <w:jc w:val="center"/>
                    <w:rPr>
                      <w:szCs w:val="21"/>
                    </w:rPr>
                  </w:pPr>
                  <w:r>
                    <w:rPr>
                      <w:szCs w:val="21"/>
                    </w:rPr>
                    <w:t>《环境</w:t>
                  </w:r>
                  <w:r>
                    <w:rPr>
                      <w:rFonts w:hint="eastAsia"/>
                      <w:szCs w:val="21"/>
                    </w:rPr>
                    <w:t>空</w:t>
                  </w:r>
                  <w:r>
                    <w:rPr>
                      <w:szCs w:val="21"/>
                    </w:rPr>
                    <w:t>气质量标准》（GB3095-2012）二级</w:t>
                  </w:r>
                </w:p>
              </w:tc>
            </w:tr>
            <w:tr w14:paraId="520AC11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12">
                  <w:pPr>
                    <w:adjustRightInd w:val="0"/>
                    <w:snapToGrid w:val="0"/>
                    <w:jc w:val="center"/>
                    <w:rPr>
                      <w:szCs w:val="21"/>
                    </w:rPr>
                  </w:pPr>
                </w:p>
              </w:tc>
              <w:tc>
                <w:tcPr>
                  <w:tcW w:w="567" w:type="dxa"/>
                  <w:vAlign w:val="center"/>
                </w:tcPr>
                <w:p w14:paraId="520AC113">
                  <w:pPr>
                    <w:adjustRightInd w:val="0"/>
                    <w:snapToGrid w:val="0"/>
                    <w:jc w:val="center"/>
                    <w:rPr>
                      <w:szCs w:val="21"/>
                    </w:rPr>
                  </w:pPr>
                  <w:r>
                    <w:rPr>
                      <w:rFonts w:hint="eastAsia"/>
                      <w:szCs w:val="21"/>
                    </w:rPr>
                    <w:t>2</w:t>
                  </w:r>
                </w:p>
              </w:tc>
              <w:tc>
                <w:tcPr>
                  <w:tcW w:w="1984" w:type="dxa"/>
                  <w:vAlign w:val="center"/>
                </w:tcPr>
                <w:p w14:paraId="520AC114">
                  <w:pPr>
                    <w:adjustRightInd w:val="0"/>
                    <w:snapToGrid w:val="0"/>
                    <w:jc w:val="center"/>
                    <w:rPr>
                      <w:szCs w:val="21"/>
                    </w:rPr>
                  </w:pPr>
                  <w:r>
                    <w:rPr>
                      <w:szCs w:val="21"/>
                    </w:rPr>
                    <w:t>新</w:t>
                  </w:r>
                  <w:r>
                    <w:rPr>
                      <w:rFonts w:hint="eastAsia"/>
                      <w:szCs w:val="21"/>
                    </w:rPr>
                    <w:t>航</w:t>
                  </w:r>
                  <w:r>
                    <w:rPr>
                      <w:szCs w:val="21"/>
                    </w:rPr>
                    <w:t>集团医院</w:t>
                  </w:r>
                </w:p>
              </w:tc>
              <w:tc>
                <w:tcPr>
                  <w:tcW w:w="992" w:type="dxa"/>
                  <w:vAlign w:val="center"/>
                </w:tcPr>
                <w:p w14:paraId="520AC115">
                  <w:pPr>
                    <w:adjustRightInd w:val="0"/>
                    <w:snapToGrid w:val="0"/>
                    <w:jc w:val="center"/>
                    <w:rPr>
                      <w:szCs w:val="21"/>
                    </w:rPr>
                  </w:pPr>
                  <w:r>
                    <w:rPr>
                      <w:szCs w:val="21"/>
                    </w:rPr>
                    <w:t>医院</w:t>
                  </w:r>
                </w:p>
              </w:tc>
              <w:tc>
                <w:tcPr>
                  <w:tcW w:w="709" w:type="dxa"/>
                  <w:vAlign w:val="center"/>
                </w:tcPr>
                <w:p w14:paraId="520AC116">
                  <w:pPr>
                    <w:jc w:val="center"/>
                    <w:rPr>
                      <w:szCs w:val="21"/>
                    </w:rPr>
                  </w:pPr>
                  <w:r>
                    <w:rPr>
                      <w:szCs w:val="21"/>
                    </w:rPr>
                    <w:t>病人及职工</w:t>
                  </w:r>
                </w:p>
              </w:tc>
              <w:tc>
                <w:tcPr>
                  <w:tcW w:w="567" w:type="dxa"/>
                  <w:vAlign w:val="center"/>
                </w:tcPr>
                <w:p w14:paraId="520AC117">
                  <w:pPr>
                    <w:jc w:val="center"/>
                    <w:rPr>
                      <w:szCs w:val="21"/>
                    </w:rPr>
                  </w:pPr>
                  <w:r>
                    <w:rPr>
                      <w:szCs w:val="21"/>
                    </w:rPr>
                    <w:t>东南</w:t>
                  </w:r>
                </w:p>
              </w:tc>
              <w:tc>
                <w:tcPr>
                  <w:tcW w:w="550" w:type="dxa"/>
                  <w:vAlign w:val="center"/>
                </w:tcPr>
                <w:p w14:paraId="520AC118">
                  <w:pPr>
                    <w:adjustRightInd w:val="0"/>
                    <w:snapToGrid w:val="0"/>
                    <w:jc w:val="center"/>
                    <w:rPr>
                      <w:szCs w:val="21"/>
                    </w:rPr>
                  </w:pPr>
                  <w:r>
                    <w:rPr>
                      <w:rFonts w:hint="eastAsia"/>
                      <w:szCs w:val="21"/>
                    </w:rPr>
                    <w:t>454</w:t>
                  </w:r>
                </w:p>
              </w:tc>
              <w:tc>
                <w:tcPr>
                  <w:tcW w:w="1960" w:type="dxa"/>
                  <w:vMerge w:val="continue"/>
                  <w:vAlign w:val="center"/>
                </w:tcPr>
                <w:p w14:paraId="520AC119">
                  <w:pPr>
                    <w:adjustRightInd w:val="0"/>
                    <w:snapToGrid w:val="0"/>
                    <w:jc w:val="center"/>
                    <w:rPr>
                      <w:szCs w:val="21"/>
                    </w:rPr>
                  </w:pPr>
                </w:p>
              </w:tc>
            </w:tr>
            <w:tr w14:paraId="520AC12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1B">
                  <w:pPr>
                    <w:adjustRightInd w:val="0"/>
                    <w:snapToGrid w:val="0"/>
                    <w:jc w:val="center"/>
                    <w:rPr>
                      <w:szCs w:val="21"/>
                    </w:rPr>
                  </w:pPr>
                </w:p>
              </w:tc>
              <w:tc>
                <w:tcPr>
                  <w:tcW w:w="567" w:type="dxa"/>
                  <w:vAlign w:val="center"/>
                </w:tcPr>
                <w:p w14:paraId="520AC11C">
                  <w:pPr>
                    <w:adjustRightInd w:val="0"/>
                    <w:snapToGrid w:val="0"/>
                    <w:jc w:val="center"/>
                    <w:rPr>
                      <w:szCs w:val="21"/>
                    </w:rPr>
                  </w:pPr>
                  <w:r>
                    <w:rPr>
                      <w:rFonts w:hint="eastAsia"/>
                      <w:szCs w:val="21"/>
                    </w:rPr>
                    <w:t>3</w:t>
                  </w:r>
                </w:p>
              </w:tc>
              <w:tc>
                <w:tcPr>
                  <w:tcW w:w="1984" w:type="dxa"/>
                  <w:vAlign w:val="center"/>
                </w:tcPr>
                <w:p w14:paraId="520AC11D">
                  <w:pPr>
                    <w:adjustRightInd w:val="0"/>
                    <w:snapToGrid w:val="0"/>
                    <w:jc w:val="center"/>
                    <w:rPr>
                      <w:szCs w:val="21"/>
                    </w:rPr>
                  </w:pPr>
                  <w:r>
                    <w:rPr>
                      <w:rFonts w:hint="eastAsia"/>
                      <w:szCs w:val="21"/>
                    </w:rPr>
                    <w:t>775职工医院</w:t>
                  </w:r>
                </w:p>
              </w:tc>
              <w:tc>
                <w:tcPr>
                  <w:tcW w:w="992" w:type="dxa"/>
                  <w:vAlign w:val="center"/>
                </w:tcPr>
                <w:p w14:paraId="520AC11E">
                  <w:pPr>
                    <w:adjustRightInd w:val="0"/>
                    <w:snapToGrid w:val="0"/>
                    <w:jc w:val="center"/>
                    <w:rPr>
                      <w:szCs w:val="21"/>
                    </w:rPr>
                  </w:pPr>
                  <w:r>
                    <w:rPr>
                      <w:szCs w:val="21"/>
                    </w:rPr>
                    <w:t>医院</w:t>
                  </w:r>
                </w:p>
              </w:tc>
              <w:tc>
                <w:tcPr>
                  <w:tcW w:w="709" w:type="dxa"/>
                  <w:vAlign w:val="center"/>
                </w:tcPr>
                <w:p w14:paraId="520AC11F">
                  <w:pPr>
                    <w:jc w:val="center"/>
                    <w:rPr>
                      <w:szCs w:val="21"/>
                    </w:rPr>
                  </w:pPr>
                  <w:r>
                    <w:rPr>
                      <w:szCs w:val="21"/>
                    </w:rPr>
                    <w:t>病人及职工</w:t>
                  </w:r>
                </w:p>
              </w:tc>
              <w:tc>
                <w:tcPr>
                  <w:tcW w:w="567" w:type="dxa"/>
                  <w:vAlign w:val="center"/>
                </w:tcPr>
                <w:p w14:paraId="520AC120">
                  <w:pPr>
                    <w:jc w:val="center"/>
                    <w:rPr>
                      <w:szCs w:val="21"/>
                    </w:rPr>
                  </w:pPr>
                  <w:r>
                    <w:rPr>
                      <w:szCs w:val="21"/>
                    </w:rPr>
                    <w:t>西南</w:t>
                  </w:r>
                </w:p>
              </w:tc>
              <w:tc>
                <w:tcPr>
                  <w:tcW w:w="550" w:type="dxa"/>
                  <w:vAlign w:val="center"/>
                </w:tcPr>
                <w:p w14:paraId="520AC121">
                  <w:pPr>
                    <w:adjustRightInd w:val="0"/>
                    <w:snapToGrid w:val="0"/>
                    <w:jc w:val="center"/>
                    <w:rPr>
                      <w:szCs w:val="21"/>
                    </w:rPr>
                  </w:pPr>
                  <w:r>
                    <w:rPr>
                      <w:rFonts w:hint="eastAsia"/>
                      <w:szCs w:val="21"/>
                    </w:rPr>
                    <w:t>385</w:t>
                  </w:r>
                </w:p>
              </w:tc>
              <w:tc>
                <w:tcPr>
                  <w:tcW w:w="1960" w:type="dxa"/>
                  <w:vMerge w:val="continue"/>
                  <w:vAlign w:val="center"/>
                </w:tcPr>
                <w:p w14:paraId="520AC122">
                  <w:pPr>
                    <w:adjustRightInd w:val="0"/>
                    <w:snapToGrid w:val="0"/>
                    <w:jc w:val="center"/>
                    <w:rPr>
                      <w:szCs w:val="21"/>
                    </w:rPr>
                  </w:pPr>
                </w:p>
              </w:tc>
            </w:tr>
            <w:tr w14:paraId="520AC12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24">
                  <w:pPr>
                    <w:adjustRightInd w:val="0"/>
                    <w:snapToGrid w:val="0"/>
                    <w:jc w:val="center"/>
                    <w:rPr>
                      <w:szCs w:val="21"/>
                    </w:rPr>
                  </w:pPr>
                </w:p>
              </w:tc>
              <w:tc>
                <w:tcPr>
                  <w:tcW w:w="567" w:type="dxa"/>
                  <w:vAlign w:val="center"/>
                </w:tcPr>
                <w:p w14:paraId="520AC125">
                  <w:pPr>
                    <w:adjustRightInd w:val="0"/>
                    <w:snapToGrid w:val="0"/>
                    <w:jc w:val="center"/>
                    <w:rPr>
                      <w:szCs w:val="21"/>
                    </w:rPr>
                  </w:pPr>
                  <w:r>
                    <w:rPr>
                      <w:rFonts w:hint="eastAsia"/>
                      <w:szCs w:val="21"/>
                    </w:rPr>
                    <w:t>4</w:t>
                  </w:r>
                </w:p>
              </w:tc>
              <w:tc>
                <w:tcPr>
                  <w:tcW w:w="1984" w:type="dxa"/>
                  <w:vAlign w:val="center"/>
                </w:tcPr>
                <w:p w14:paraId="520AC126">
                  <w:pPr>
                    <w:adjustRightInd w:val="0"/>
                    <w:snapToGrid w:val="0"/>
                    <w:jc w:val="center"/>
                    <w:rPr>
                      <w:szCs w:val="21"/>
                    </w:rPr>
                  </w:pPr>
                  <w:r>
                    <w:rPr>
                      <w:szCs w:val="21"/>
                    </w:rPr>
                    <w:t>水木兰亭</w:t>
                  </w:r>
                </w:p>
              </w:tc>
              <w:tc>
                <w:tcPr>
                  <w:tcW w:w="992" w:type="dxa"/>
                  <w:vAlign w:val="center"/>
                </w:tcPr>
                <w:p w14:paraId="520AC127">
                  <w:pPr>
                    <w:adjustRightInd w:val="0"/>
                    <w:snapToGrid w:val="0"/>
                    <w:jc w:val="center"/>
                    <w:rPr>
                      <w:szCs w:val="21"/>
                    </w:rPr>
                  </w:pPr>
                  <w:r>
                    <w:rPr>
                      <w:szCs w:val="21"/>
                    </w:rPr>
                    <w:t>居住区</w:t>
                  </w:r>
                </w:p>
              </w:tc>
              <w:tc>
                <w:tcPr>
                  <w:tcW w:w="709" w:type="dxa"/>
                  <w:vAlign w:val="center"/>
                </w:tcPr>
                <w:p w14:paraId="520AC128">
                  <w:pPr>
                    <w:jc w:val="center"/>
                    <w:rPr>
                      <w:szCs w:val="21"/>
                    </w:rPr>
                  </w:pPr>
                  <w:r>
                    <w:rPr>
                      <w:szCs w:val="21"/>
                    </w:rPr>
                    <w:t>居民</w:t>
                  </w:r>
                </w:p>
              </w:tc>
              <w:tc>
                <w:tcPr>
                  <w:tcW w:w="567" w:type="dxa"/>
                  <w:vAlign w:val="center"/>
                </w:tcPr>
                <w:p w14:paraId="520AC129">
                  <w:pPr>
                    <w:jc w:val="center"/>
                    <w:rPr>
                      <w:szCs w:val="21"/>
                    </w:rPr>
                  </w:pPr>
                  <w:r>
                    <w:rPr>
                      <w:szCs w:val="21"/>
                    </w:rPr>
                    <w:t>西</w:t>
                  </w:r>
                </w:p>
              </w:tc>
              <w:tc>
                <w:tcPr>
                  <w:tcW w:w="550" w:type="dxa"/>
                  <w:vAlign w:val="center"/>
                </w:tcPr>
                <w:p w14:paraId="520AC12A">
                  <w:pPr>
                    <w:adjustRightInd w:val="0"/>
                    <w:snapToGrid w:val="0"/>
                    <w:jc w:val="center"/>
                    <w:rPr>
                      <w:szCs w:val="21"/>
                    </w:rPr>
                  </w:pPr>
                  <w:r>
                    <w:rPr>
                      <w:rFonts w:hint="eastAsia"/>
                      <w:szCs w:val="21"/>
                    </w:rPr>
                    <w:t>56</w:t>
                  </w:r>
                </w:p>
              </w:tc>
              <w:tc>
                <w:tcPr>
                  <w:tcW w:w="1960" w:type="dxa"/>
                  <w:vMerge w:val="continue"/>
                  <w:vAlign w:val="center"/>
                </w:tcPr>
                <w:p w14:paraId="520AC12B">
                  <w:pPr>
                    <w:adjustRightInd w:val="0"/>
                    <w:snapToGrid w:val="0"/>
                    <w:jc w:val="center"/>
                    <w:rPr>
                      <w:szCs w:val="21"/>
                    </w:rPr>
                  </w:pPr>
                </w:p>
              </w:tc>
            </w:tr>
            <w:tr w14:paraId="520AC13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2D">
                  <w:pPr>
                    <w:adjustRightInd w:val="0"/>
                    <w:snapToGrid w:val="0"/>
                    <w:jc w:val="center"/>
                    <w:rPr>
                      <w:szCs w:val="21"/>
                    </w:rPr>
                  </w:pPr>
                </w:p>
              </w:tc>
              <w:tc>
                <w:tcPr>
                  <w:tcW w:w="567" w:type="dxa"/>
                  <w:vAlign w:val="center"/>
                </w:tcPr>
                <w:p w14:paraId="520AC12E">
                  <w:pPr>
                    <w:adjustRightInd w:val="0"/>
                    <w:snapToGrid w:val="0"/>
                    <w:jc w:val="center"/>
                    <w:rPr>
                      <w:szCs w:val="21"/>
                    </w:rPr>
                  </w:pPr>
                  <w:r>
                    <w:rPr>
                      <w:rFonts w:hint="eastAsia"/>
                      <w:szCs w:val="21"/>
                    </w:rPr>
                    <w:t>5</w:t>
                  </w:r>
                </w:p>
              </w:tc>
              <w:tc>
                <w:tcPr>
                  <w:tcW w:w="1984" w:type="dxa"/>
                  <w:vAlign w:val="center"/>
                </w:tcPr>
                <w:p w14:paraId="520AC12F">
                  <w:pPr>
                    <w:adjustRightInd w:val="0"/>
                    <w:snapToGrid w:val="0"/>
                    <w:jc w:val="center"/>
                    <w:rPr>
                      <w:szCs w:val="21"/>
                    </w:rPr>
                  </w:pPr>
                  <w:r>
                    <w:rPr>
                      <w:szCs w:val="21"/>
                    </w:rPr>
                    <w:t>安</w:t>
                  </w:r>
                  <w:r>
                    <w:rPr>
                      <w:rFonts w:hint="eastAsia"/>
                      <w:szCs w:val="21"/>
                    </w:rPr>
                    <w:t>康</w:t>
                  </w:r>
                  <w:r>
                    <w:rPr>
                      <w:szCs w:val="21"/>
                    </w:rPr>
                    <w:t>新城</w:t>
                  </w:r>
                </w:p>
              </w:tc>
              <w:tc>
                <w:tcPr>
                  <w:tcW w:w="992" w:type="dxa"/>
                  <w:vAlign w:val="center"/>
                </w:tcPr>
                <w:p w14:paraId="520AC130">
                  <w:pPr>
                    <w:adjustRightInd w:val="0"/>
                    <w:snapToGrid w:val="0"/>
                    <w:jc w:val="center"/>
                    <w:rPr>
                      <w:szCs w:val="21"/>
                    </w:rPr>
                  </w:pPr>
                  <w:r>
                    <w:rPr>
                      <w:szCs w:val="21"/>
                    </w:rPr>
                    <w:t>居住区</w:t>
                  </w:r>
                </w:p>
              </w:tc>
              <w:tc>
                <w:tcPr>
                  <w:tcW w:w="709" w:type="dxa"/>
                  <w:vAlign w:val="center"/>
                </w:tcPr>
                <w:p w14:paraId="520AC131">
                  <w:pPr>
                    <w:jc w:val="center"/>
                    <w:rPr>
                      <w:szCs w:val="21"/>
                    </w:rPr>
                  </w:pPr>
                  <w:r>
                    <w:rPr>
                      <w:szCs w:val="21"/>
                    </w:rPr>
                    <w:t>居民</w:t>
                  </w:r>
                </w:p>
              </w:tc>
              <w:tc>
                <w:tcPr>
                  <w:tcW w:w="567" w:type="dxa"/>
                  <w:vAlign w:val="center"/>
                </w:tcPr>
                <w:p w14:paraId="520AC132">
                  <w:pPr>
                    <w:jc w:val="center"/>
                    <w:rPr>
                      <w:szCs w:val="21"/>
                    </w:rPr>
                  </w:pPr>
                  <w:r>
                    <w:rPr>
                      <w:szCs w:val="21"/>
                    </w:rPr>
                    <w:t>南</w:t>
                  </w:r>
                </w:p>
              </w:tc>
              <w:tc>
                <w:tcPr>
                  <w:tcW w:w="550" w:type="dxa"/>
                  <w:vAlign w:val="center"/>
                </w:tcPr>
                <w:p w14:paraId="520AC133">
                  <w:pPr>
                    <w:adjustRightInd w:val="0"/>
                    <w:snapToGrid w:val="0"/>
                    <w:jc w:val="center"/>
                    <w:rPr>
                      <w:szCs w:val="21"/>
                    </w:rPr>
                  </w:pPr>
                  <w:r>
                    <w:rPr>
                      <w:rFonts w:hint="eastAsia"/>
                      <w:szCs w:val="21"/>
                    </w:rPr>
                    <w:t>210</w:t>
                  </w:r>
                </w:p>
              </w:tc>
              <w:tc>
                <w:tcPr>
                  <w:tcW w:w="1960" w:type="dxa"/>
                  <w:vMerge w:val="continue"/>
                  <w:vAlign w:val="center"/>
                </w:tcPr>
                <w:p w14:paraId="520AC134">
                  <w:pPr>
                    <w:adjustRightInd w:val="0"/>
                    <w:snapToGrid w:val="0"/>
                    <w:jc w:val="center"/>
                    <w:rPr>
                      <w:szCs w:val="21"/>
                    </w:rPr>
                  </w:pPr>
                </w:p>
              </w:tc>
            </w:tr>
            <w:tr w14:paraId="520AC13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36">
                  <w:pPr>
                    <w:adjustRightInd w:val="0"/>
                    <w:snapToGrid w:val="0"/>
                    <w:jc w:val="center"/>
                    <w:rPr>
                      <w:szCs w:val="21"/>
                    </w:rPr>
                  </w:pPr>
                </w:p>
              </w:tc>
              <w:tc>
                <w:tcPr>
                  <w:tcW w:w="567" w:type="dxa"/>
                  <w:vAlign w:val="center"/>
                </w:tcPr>
                <w:p w14:paraId="520AC137">
                  <w:pPr>
                    <w:adjustRightInd w:val="0"/>
                    <w:snapToGrid w:val="0"/>
                    <w:jc w:val="center"/>
                    <w:rPr>
                      <w:szCs w:val="21"/>
                    </w:rPr>
                  </w:pPr>
                  <w:r>
                    <w:rPr>
                      <w:rFonts w:hint="eastAsia"/>
                      <w:szCs w:val="21"/>
                    </w:rPr>
                    <w:t>6</w:t>
                  </w:r>
                </w:p>
              </w:tc>
              <w:tc>
                <w:tcPr>
                  <w:tcW w:w="1984" w:type="dxa"/>
                  <w:vAlign w:val="center"/>
                </w:tcPr>
                <w:p w14:paraId="520AC138">
                  <w:pPr>
                    <w:adjustRightInd w:val="0"/>
                    <w:snapToGrid w:val="0"/>
                    <w:jc w:val="center"/>
                    <w:rPr>
                      <w:szCs w:val="21"/>
                    </w:rPr>
                  </w:pPr>
                  <w:r>
                    <w:rPr>
                      <w:szCs w:val="21"/>
                    </w:rPr>
                    <w:t>豫新二号生活区</w:t>
                  </w:r>
                </w:p>
              </w:tc>
              <w:tc>
                <w:tcPr>
                  <w:tcW w:w="992" w:type="dxa"/>
                  <w:vAlign w:val="center"/>
                </w:tcPr>
                <w:p w14:paraId="520AC139">
                  <w:pPr>
                    <w:adjustRightInd w:val="0"/>
                    <w:snapToGrid w:val="0"/>
                    <w:jc w:val="center"/>
                    <w:rPr>
                      <w:szCs w:val="21"/>
                    </w:rPr>
                  </w:pPr>
                  <w:r>
                    <w:rPr>
                      <w:szCs w:val="21"/>
                    </w:rPr>
                    <w:t>居住区</w:t>
                  </w:r>
                </w:p>
              </w:tc>
              <w:tc>
                <w:tcPr>
                  <w:tcW w:w="709" w:type="dxa"/>
                  <w:vAlign w:val="center"/>
                </w:tcPr>
                <w:p w14:paraId="520AC13A">
                  <w:pPr>
                    <w:jc w:val="center"/>
                    <w:rPr>
                      <w:szCs w:val="21"/>
                    </w:rPr>
                  </w:pPr>
                  <w:r>
                    <w:rPr>
                      <w:szCs w:val="21"/>
                    </w:rPr>
                    <w:t>居民</w:t>
                  </w:r>
                </w:p>
              </w:tc>
              <w:tc>
                <w:tcPr>
                  <w:tcW w:w="567" w:type="dxa"/>
                  <w:vAlign w:val="center"/>
                </w:tcPr>
                <w:p w14:paraId="520AC13B">
                  <w:pPr>
                    <w:jc w:val="center"/>
                    <w:rPr>
                      <w:szCs w:val="21"/>
                    </w:rPr>
                  </w:pPr>
                  <w:r>
                    <w:rPr>
                      <w:szCs w:val="21"/>
                    </w:rPr>
                    <w:t>东</w:t>
                  </w:r>
                </w:p>
              </w:tc>
              <w:tc>
                <w:tcPr>
                  <w:tcW w:w="550" w:type="dxa"/>
                  <w:vAlign w:val="center"/>
                </w:tcPr>
                <w:p w14:paraId="520AC13C">
                  <w:pPr>
                    <w:adjustRightInd w:val="0"/>
                    <w:snapToGrid w:val="0"/>
                    <w:jc w:val="center"/>
                    <w:rPr>
                      <w:szCs w:val="21"/>
                    </w:rPr>
                  </w:pPr>
                  <w:r>
                    <w:rPr>
                      <w:rFonts w:hint="eastAsia"/>
                      <w:szCs w:val="21"/>
                    </w:rPr>
                    <w:t>231</w:t>
                  </w:r>
                </w:p>
              </w:tc>
              <w:tc>
                <w:tcPr>
                  <w:tcW w:w="1960" w:type="dxa"/>
                  <w:vMerge w:val="continue"/>
                  <w:vAlign w:val="center"/>
                </w:tcPr>
                <w:p w14:paraId="520AC13D">
                  <w:pPr>
                    <w:adjustRightInd w:val="0"/>
                    <w:snapToGrid w:val="0"/>
                    <w:jc w:val="center"/>
                    <w:rPr>
                      <w:szCs w:val="21"/>
                    </w:rPr>
                  </w:pPr>
                </w:p>
              </w:tc>
            </w:tr>
            <w:tr w14:paraId="520AC14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3F">
                  <w:pPr>
                    <w:adjustRightInd w:val="0"/>
                    <w:snapToGrid w:val="0"/>
                    <w:jc w:val="center"/>
                    <w:rPr>
                      <w:szCs w:val="21"/>
                    </w:rPr>
                  </w:pPr>
                </w:p>
              </w:tc>
              <w:tc>
                <w:tcPr>
                  <w:tcW w:w="567" w:type="dxa"/>
                  <w:vAlign w:val="center"/>
                </w:tcPr>
                <w:p w14:paraId="520AC140">
                  <w:pPr>
                    <w:adjustRightInd w:val="0"/>
                    <w:snapToGrid w:val="0"/>
                    <w:jc w:val="center"/>
                    <w:rPr>
                      <w:szCs w:val="21"/>
                    </w:rPr>
                  </w:pPr>
                  <w:r>
                    <w:rPr>
                      <w:rFonts w:hint="eastAsia"/>
                      <w:szCs w:val="21"/>
                    </w:rPr>
                    <w:t>7</w:t>
                  </w:r>
                </w:p>
              </w:tc>
              <w:tc>
                <w:tcPr>
                  <w:tcW w:w="1984" w:type="dxa"/>
                  <w:vAlign w:val="center"/>
                </w:tcPr>
                <w:p w14:paraId="520AC141">
                  <w:pPr>
                    <w:adjustRightInd w:val="0"/>
                    <w:snapToGrid w:val="0"/>
                    <w:jc w:val="center"/>
                    <w:rPr>
                      <w:szCs w:val="21"/>
                    </w:rPr>
                  </w:pPr>
                  <w:r>
                    <w:rPr>
                      <w:szCs w:val="21"/>
                    </w:rPr>
                    <w:t>轻机家属院</w:t>
                  </w:r>
                </w:p>
              </w:tc>
              <w:tc>
                <w:tcPr>
                  <w:tcW w:w="992" w:type="dxa"/>
                  <w:vAlign w:val="center"/>
                </w:tcPr>
                <w:p w14:paraId="520AC142">
                  <w:pPr>
                    <w:adjustRightInd w:val="0"/>
                    <w:snapToGrid w:val="0"/>
                    <w:jc w:val="center"/>
                    <w:rPr>
                      <w:szCs w:val="21"/>
                    </w:rPr>
                  </w:pPr>
                  <w:r>
                    <w:rPr>
                      <w:szCs w:val="21"/>
                    </w:rPr>
                    <w:t>居住区</w:t>
                  </w:r>
                </w:p>
              </w:tc>
              <w:tc>
                <w:tcPr>
                  <w:tcW w:w="709" w:type="dxa"/>
                  <w:vAlign w:val="center"/>
                </w:tcPr>
                <w:p w14:paraId="520AC143">
                  <w:pPr>
                    <w:jc w:val="center"/>
                    <w:rPr>
                      <w:szCs w:val="21"/>
                    </w:rPr>
                  </w:pPr>
                  <w:r>
                    <w:rPr>
                      <w:szCs w:val="21"/>
                    </w:rPr>
                    <w:t>居民</w:t>
                  </w:r>
                </w:p>
              </w:tc>
              <w:tc>
                <w:tcPr>
                  <w:tcW w:w="567" w:type="dxa"/>
                  <w:vAlign w:val="center"/>
                </w:tcPr>
                <w:p w14:paraId="520AC144">
                  <w:pPr>
                    <w:jc w:val="center"/>
                    <w:rPr>
                      <w:szCs w:val="21"/>
                    </w:rPr>
                  </w:pPr>
                  <w:r>
                    <w:rPr>
                      <w:szCs w:val="21"/>
                    </w:rPr>
                    <w:t>南</w:t>
                  </w:r>
                </w:p>
              </w:tc>
              <w:tc>
                <w:tcPr>
                  <w:tcW w:w="550" w:type="dxa"/>
                  <w:vAlign w:val="center"/>
                </w:tcPr>
                <w:p w14:paraId="520AC145">
                  <w:pPr>
                    <w:adjustRightInd w:val="0"/>
                    <w:snapToGrid w:val="0"/>
                    <w:jc w:val="center"/>
                    <w:rPr>
                      <w:szCs w:val="21"/>
                    </w:rPr>
                  </w:pPr>
                  <w:r>
                    <w:rPr>
                      <w:rFonts w:hint="eastAsia"/>
                      <w:szCs w:val="21"/>
                    </w:rPr>
                    <w:t>293</w:t>
                  </w:r>
                </w:p>
              </w:tc>
              <w:tc>
                <w:tcPr>
                  <w:tcW w:w="1960" w:type="dxa"/>
                  <w:vMerge w:val="continue"/>
                  <w:vAlign w:val="center"/>
                </w:tcPr>
                <w:p w14:paraId="520AC146">
                  <w:pPr>
                    <w:adjustRightInd w:val="0"/>
                    <w:snapToGrid w:val="0"/>
                    <w:jc w:val="center"/>
                    <w:rPr>
                      <w:szCs w:val="21"/>
                    </w:rPr>
                  </w:pPr>
                </w:p>
              </w:tc>
            </w:tr>
            <w:tr w14:paraId="520AC15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48">
                  <w:pPr>
                    <w:adjustRightInd w:val="0"/>
                    <w:snapToGrid w:val="0"/>
                    <w:jc w:val="center"/>
                    <w:rPr>
                      <w:szCs w:val="21"/>
                    </w:rPr>
                  </w:pPr>
                </w:p>
              </w:tc>
              <w:tc>
                <w:tcPr>
                  <w:tcW w:w="567" w:type="dxa"/>
                  <w:vAlign w:val="center"/>
                </w:tcPr>
                <w:p w14:paraId="520AC149">
                  <w:pPr>
                    <w:adjustRightInd w:val="0"/>
                    <w:snapToGrid w:val="0"/>
                    <w:jc w:val="center"/>
                    <w:rPr>
                      <w:szCs w:val="21"/>
                    </w:rPr>
                  </w:pPr>
                  <w:r>
                    <w:rPr>
                      <w:rFonts w:hint="eastAsia"/>
                      <w:szCs w:val="21"/>
                    </w:rPr>
                    <w:t>8</w:t>
                  </w:r>
                </w:p>
              </w:tc>
              <w:tc>
                <w:tcPr>
                  <w:tcW w:w="1984" w:type="dxa"/>
                  <w:vAlign w:val="center"/>
                </w:tcPr>
                <w:p w14:paraId="520AC14A">
                  <w:pPr>
                    <w:adjustRightInd w:val="0"/>
                    <w:snapToGrid w:val="0"/>
                    <w:jc w:val="center"/>
                    <w:rPr>
                      <w:szCs w:val="21"/>
                    </w:rPr>
                  </w:pPr>
                  <w:r>
                    <w:rPr>
                      <w:szCs w:val="21"/>
                    </w:rPr>
                    <w:t>五环家园</w:t>
                  </w:r>
                </w:p>
              </w:tc>
              <w:tc>
                <w:tcPr>
                  <w:tcW w:w="992" w:type="dxa"/>
                  <w:vAlign w:val="center"/>
                </w:tcPr>
                <w:p w14:paraId="520AC14B">
                  <w:pPr>
                    <w:adjustRightInd w:val="0"/>
                    <w:snapToGrid w:val="0"/>
                    <w:jc w:val="center"/>
                    <w:rPr>
                      <w:szCs w:val="21"/>
                    </w:rPr>
                  </w:pPr>
                  <w:r>
                    <w:rPr>
                      <w:szCs w:val="21"/>
                    </w:rPr>
                    <w:t>居住区</w:t>
                  </w:r>
                </w:p>
              </w:tc>
              <w:tc>
                <w:tcPr>
                  <w:tcW w:w="709" w:type="dxa"/>
                  <w:vAlign w:val="center"/>
                </w:tcPr>
                <w:p w14:paraId="520AC14C">
                  <w:pPr>
                    <w:jc w:val="center"/>
                    <w:rPr>
                      <w:szCs w:val="21"/>
                    </w:rPr>
                  </w:pPr>
                  <w:r>
                    <w:rPr>
                      <w:szCs w:val="21"/>
                    </w:rPr>
                    <w:t>居</w:t>
                  </w:r>
                  <w:r>
                    <w:rPr>
                      <w:rFonts w:hint="eastAsia"/>
                      <w:szCs w:val="21"/>
                    </w:rPr>
                    <w:t>民</w:t>
                  </w:r>
                </w:p>
              </w:tc>
              <w:tc>
                <w:tcPr>
                  <w:tcW w:w="567" w:type="dxa"/>
                  <w:vAlign w:val="center"/>
                </w:tcPr>
                <w:p w14:paraId="520AC14D">
                  <w:pPr>
                    <w:jc w:val="center"/>
                    <w:rPr>
                      <w:szCs w:val="21"/>
                    </w:rPr>
                  </w:pPr>
                  <w:r>
                    <w:rPr>
                      <w:szCs w:val="21"/>
                    </w:rPr>
                    <w:t>东南</w:t>
                  </w:r>
                </w:p>
              </w:tc>
              <w:tc>
                <w:tcPr>
                  <w:tcW w:w="550" w:type="dxa"/>
                  <w:vAlign w:val="center"/>
                </w:tcPr>
                <w:p w14:paraId="520AC14E">
                  <w:pPr>
                    <w:adjustRightInd w:val="0"/>
                    <w:snapToGrid w:val="0"/>
                    <w:jc w:val="center"/>
                    <w:rPr>
                      <w:szCs w:val="21"/>
                    </w:rPr>
                  </w:pPr>
                  <w:r>
                    <w:rPr>
                      <w:rFonts w:hint="eastAsia"/>
                      <w:szCs w:val="21"/>
                    </w:rPr>
                    <w:t>309</w:t>
                  </w:r>
                </w:p>
              </w:tc>
              <w:tc>
                <w:tcPr>
                  <w:tcW w:w="1960" w:type="dxa"/>
                  <w:vMerge w:val="continue"/>
                  <w:vAlign w:val="center"/>
                </w:tcPr>
                <w:p w14:paraId="520AC14F">
                  <w:pPr>
                    <w:adjustRightInd w:val="0"/>
                    <w:snapToGrid w:val="0"/>
                    <w:jc w:val="center"/>
                    <w:rPr>
                      <w:szCs w:val="21"/>
                    </w:rPr>
                  </w:pPr>
                </w:p>
              </w:tc>
            </w:tr>
            <w:tr w14:paraId="520AC15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51">
                  <w:pPr>
                    <w:adjustRightInd w:val="0"/>
                    <w:snapToGrid w:val="0"/>
                    <w:jc w:val="center"/>
                    <w:rPr>
                      <w:szCs w:val="21"/>
                    </w:rPr>
                  </w:pPr>
                </w:p>
              </w:tc>
              <w:tc>
                <w:tcPr>
                  <w:tcW w:w="567" w:type="dxa"/>
                  <w:vAlign w:val="center"/>
                </w:tcPr>
                <w:p w14:paraId="520AC152">
                  <w:pPr>
                    <w:adjustRightInd w:val="0"/>
                    <w:snapToGrid w:val="0"/>
                    <w:jc w:val="center"/>
                    <w:rPr>
                      <w:szCs w:val="21"/>
                    </w:rPr>
                  </w:pPr>
                  <w:r>
                    <w:rPr>
                      <w:rFonts w:hint="eastAsia"/>
                      <w:szCs w:val="21"/>
                    </w:rPr>
                    <w:t>9</w:t>
                  </w:r>
                </w:p>
              </w:tc>
              <w:tc>
                <w:tcPr>
                  <w:tcW w:w="1984" w:type="dxa"/>
                  <w:vAlign w:val="center"/>
                </w:tcPr>
                <w:p w14:paraId="520AC153">
                  <w:pPr>
                    <w:adjustRightInd w:val="0"/>
                    <w:snapToGrid w:val="0"/>
                    <w:jc w:val="center"/>
                    <w:rPr>
                      <w:szCs w:val="21"/>
                    </w:rPr>
                  </w:pPr>
                  <w:r>
                    <w:rPr>
                      <w:szCs w:val="21"/>
                    </w:rPr>
                    <w:t>杨岗村</w:t>
                  </w:r>
                </w:p>
              </w:tc>
              <w:tc>
                <w:tcPr>
                  <w:tcW w:w="992" w:type="dxa"/>
                  <w:vAlign w:val="center"/>
                </w:tcPr>
                <w:p w14:paraId="520AC154">
                  <w:pPr>
                    <w:adjustRightInd w:val="0"/>
                    <w:snapToGrid w:val="0"/>
                    <w:jc w:val="center"/>
                    <w:rPr>
                      <w:szCs w:val="21"/>
                    </w:rPr>
                  </w:pPr>
                  <w:r>
                    <w:rPr>
                      <w:szCs w:val="21"/>
                    </w:rPr>
                    <w:t>居住区</w:t>
                  </w:r>
                </w:p>
              </w:tc>
              <w:tc>
                <w:tcPr>
                  <w:tcW w:w="709" w:type="dxa"/>
                  <w:vAlign w:val="center"/>
                </w:tcPr>
                <w:p w14:paraId="520AC155">
                  <w:pPr>
                    <w:jc w:val="center"/>
                    <w:rPr>
                      <w:szCs w:val="21"/>
                    </w:rPr>
                  </w:pPr>
                  <w:r>
                    <w:rPr>
                      <w:szCs w:val="21"/>
                    </w:rPr>
                    <w:t>居民</w:t>
                  </w:r>
                </w:p>
              </w:tc>
              <w:tc>
                <w:tcPr>
                  <w:tcW w:w="567" w:type="dxa"/>
                  <w:vAlign w:val="center"/>
                </w:tcPr>
                <w:p w14:paraId="520AC156">
                  <w:pPr>
                    <w:jc w:val="center"/>
                    <w:rPr>
                      <w:szCs w:val="21"/>
                    </w:rPr>
                  </w:pPr>
                  <w:r>
                    <w:rPr>
                      <w:szCs w:val="21"/>
                    </w:rPr>
                    <w:t>东</w:t>
                  </w:r>
                </w:p>
              </w:tc>
              <w:tc>
                <w:tcPr>
                  <w:tcW w:w="550" w:type="dxa"/>
                  <w:vAlign w:val="center"/>
                </w:tcPr>
                <w:p w14:paraId="520AC157">
                  <w:pPr>
                    <w:adjustRightInd w:val="0"/>
                    <w:snapToGrid w:val="0"/>
                    <w:jc w:val="center"/>
                    <w:rPr>
                      <w:szCs w:val="21"/>
                    </w:rPr>
                  </w:pPr>
                  <w:r>
                    <w:rPr>
                      <w:rFonts w:hint="eastAsia"/>
                      <w:szCs w:val="21"/>
                    </w:rPr>
                    <w:t>334</w:t>
                  </w:r>
                </w:p>
              </w:tc>
              <w:tc>
                <w:tcPr>
                  <w:tcW w:w="1960" w:type="dxa"/>
                  <w:vMerge w:val="continue"/>
                  <w:vAlign w:val="center"/>
                </w:tcPr>
                <w:p w14:paraId="520AC158">
                  <w:pPr>
                    <w:adjustRightInd w:val="0"/>
                    <w:snapToGrid w:val="0"/>
                    <w:jc w:val="center"/>
                    <w:rPr>
                      <w:szCs w:val="21"/>
                    </w:rPr>
                  </w:pPr>
                </w:p>
              </w:tc>
            </w:tr>
            <w:tr w14:paraId="520AC16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5A">
                  <w:pPr>
                    <w:adjustRightInd w:val="0"/>
                    <w:snapToGrid w:val="0"/>
                    <w:jc w:val="center"/>
                    <w:rPr>
                      <w:szCs w:val="21"/>
                    </w:rPr>
                  </w:pPr>
                </w:p>
              </w:tc>
              <w:tc>
                <w:tcPr>
                  <w:tcW w:w="567" w:type="dxa"/>
                  <w:vAlign w:val="center"/>
                </w:tcPr>
                <w:p w14:paraId="520AC15B">
                  <w:pPr>
                    <w:adjustRightInd w:val="0"/>
                    <w:snapToGrid w:val="0"/>
                    <w:jc w:val="center"/>
                    <w:rPr>
                      <w:szCs w:val="21"/>
                    </w:rPr>
                  </w:pPr>
                  <w:r>
                    <w:rPr>
                      <w:rFonts w:hint="eastAsia"/>
                      <w:szCs w:val="21"/>
                    </w:rPr>
                    <w:t>10</w:t>
                  </w:r>
                </w:p>
              </w:tc>
              <w:tc>
                <w:tcPr>
                  <w:tcW w:w="1984" w:type="dxa"/>
                  <w:vAlign w:val="center"/>
                </w:tcPr>
                <w:p w14:paraId="520AC15C">
                  <w:pPr>
                    <w:adjustRightInd w:val="0"/>
                    <w:snapToGrid w:val="0"/>
                    <w:jc w:val="center"/>
                    <w:rPr>
                      <w:szCs w:val="21"/>
                    </w:rPr>
                  </w:pPr>
                  <w:r>
                    <w:rPr>
                      <w:szCs w:val="21"/>
                    </w:rPr>
                    <w:t>润田金域蓝</w:t>
                  </w:r>
                  <w:r>
                    <w:rPr>
                      <w:rFonts w:hint="eastAsia"/>
                      <w:szCs w:val="21"/>
                    </w:rPr>
                    <w:t>湾</w:t>
                  </w:r>
                </w:p>
              </w:tc>
              <w:tc>
                <w:tcPr>
                  <w:tcW w:w="992" w:type="dxa"/>
                  <w:vAlign w:val="center"/>
                </w:tcPr>
                <w:p w14:paraId="520AC15D">
                  <w:pPr>
                    <w:adjustRightInd w:val="0"/>
                    <w:snapToGrid w:val="0"/>
                    <w:jc w:val="center"/>
                    <w:rPr>
                      <w:szCs w:val="21"/>
                    </w:rPr>
                  </w:pPr>
                  <w:r>
                    <w:rPr>
                      <w:szCs w:val="21"/>
                    </w:rPr>
                    <w:t>居住区</w:t>
                  </w:r>
                </w:p>
              </w:tc>
              <w:tc>
                <w:tcPr>
                  <w:tcW w:w="709" w:type="dxa"/>
                  <w:vAlign w:val="center"/>
                </w:tcPr>
                <w:p w14:paraId="520AC15E">
                  <w:pPr>
                    <w:jc w:val="center"/>
                    <w:rPr>
                      <w:szCs w:val="21"/>
                    </w:rPr>
                  </w:pPr>
                  <w:r>
                    <w:rPr>
                      <w:szCs w:val="21"/>
                    </w:rPr>
                    <w:t>居民</w:t>
                  </w:r>
                </w:p>
              </w:tc>
              <w:tc>
                <w:tcPr>
                  <w:tcW w:w="567" w:type="dxa"/>
                  <w:vAlign w:val="center"/>
                </w:tcPr>
                <w:p w14:paraId="520AC15F">
                  <w:pPr>
                    <w:jc w:val="center"/>
                    <w:rPr>
                      <w:szCs w:val="21"/>
                    </w:rPr>
                  </w:pPr>
                  <w:r>
                    <w:rPr>
                      <w:szCs w:val="21"/>
                    </w:rPr>
                    <w:t>西</w:t>
                  </w:r>
                </w:p>
              </w:tc>
              <w:tc>
                <w:tcPr>
                  <w:tcW w:w="550" w:type="dxa"/>
                  <w:vAlign w:val="center"/>
                </w:tcPr>
                <w:p w14:paraId="520AC160">
                  <w:pPr>
                    <w:adjustRightInd w:val="0"/>
                    <w:snapToGrid w:val="0"/>
                    <w:jc w:val="center"/>
                    <w:rPr>
                      <w:szCs w:val="21"/>
                    </w:rPr>
                  </w:pPr>
                  <w:r>
                    <w:rPr>
                      <w:rFonts w:hint="eastAsia"/>
                      <w:szCs w:val="21"/>
                    </w:rPr>
                    <w:t>337</w:t>
                  </w:r>
                </w:p>
              </w:tc>
              <w:tc>
                <w:tcPr>
                  <w:tcW w:w="1960" w:type="dxa"/>
                  <w:vMerge w:val="continue"/>
                  <w:vAlign w:val="center"/>
                </w:tcPr>
                <w:p w14:paraId="520AC161">
                  <w:pPr>
                    <w:adjustRightInd w:val="0"/>
                    <w:snapToGrid w:val="0"/>
                    <w:jc w:val="center"/>
                    <w:rPr>
                      <w:szCs w:val="21"/>
                    </w:rPr>
                  </w:pPr>
                </w:p>
              </w:tc>
            </w:tr>
            <w:tr w14:paraId="520AC16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63">
                  <w:pPr>
                    <w:adjustRightInd w:val="0"/>
                    <w:snapToGrid w:val="0"/>
                    <w:jc w:val="center"/>
                    <w:rPr>
                      <w:szCs w:val="21"/>
                    </w:rPr>
                  </w:pPr>
                </w:p>
              </w:tc>
              <w:tc>
                <w:tcPr>
                  <w:tcW w:w="567" w:type="dxa"/>
                  <w:vAlign w:val="center"/>
                </w:tcPr>
                <w:p w14:paraId="520AC164">
                  <w:pPr>
                    <w:adjustRightInd w:val="0"/>
                    <w:snapToGrid w:val="0"/>
                    <w:jc w:val="center"/>
                    <w:rPr>
                      <w:szCs w:val="21"/>
                    </w:rPr>
                  </w:pPr>
                  <w:r>
                    <w:rPr>
                      <w:rFonts w:hint="eastAsia"/>
                      <w:szCs w:val="21"/>
                    </w:rPr>
                    <w:t>11</w:t>
                  </w:r>
                </w:p>
              </w:tc>
              <w:tc>
                <w:tcPr>
                  <w:tcW w:w="1984" w:type="dxa"/>
                  <w:vAlign w:val="center"/>
                </w:tcPr>
                <w:p w14:paraId="520AC165">
                  <w:pPr>
                    <w:adjustRightInd w:val="0"/>
                    <w:snapToGrid w:val="0"/>
                    <w:jc w:val="center"/>
                    <w:rPr>
                      <w:szCs w:val="21"/>
                    </w:rPr>
                  </w:pPr>
                  <w:r>
                    <w:rPr>
                      <w:szCs w:val="21"/>
                    </w:rPr>
                    <w:t>云轩苑小区</w:t>
                  </w:r>
                </w:p>
              </w:tc>
              <w:tc>
                <w:tcPr>
                  <w:tcW w:w="992" w:type="dxa"/>
                  <w:vAlign w:val="center"/>
                </w:tcPr>
                <w:p w14:paraId="520AC166">
                  <w:pPr>
                    <w:adjustRightInd w:val="0"/>
                    <w:snapToGrid w:val="0"/>
                    <w:jc w:val="center"/>
                    <w:rPr>
                      <w:szCs w:val="21"/>
                    </w:rPr>
                  </w:pPr>
                  <w:r>
                    <w:rPr>
                      <w:szCs w:val="21"/>
                    </w:rPr>
                    <w:t>居住区</w:t>
                  </w:r>
                </w:p>
              </w:tc>
              <w:tc>
                <w:tcPr>
                  <w:tcW w:w="709" w:type="dxa"/>
                  <w:vAlign w:val="center"/>
                </w:tcPr>
                <w:p w14:paraId="520AC167">
                  <w:pPr>
                    <w:jc w:val="center"/>
                    <w:rPr>
                      <w:szCs w:val="21"/>
                    </w:rPr>
                  </w:pPr>
                  <w:r>
                    <w:rPr>
                      <w:szCs w:val="21"/>
                    </w:rPr>
                    <w:t>居民</w:t>
                  </w:r>
                </w:p>
              </w:tc>
              <w:tc>
                <w:tcPr>
                  <w:tcW w:w="567" w:type="dxa"/>
                  <w:vAlign w:val="center"/>
                </w:tcPr>
                <w:p w14:paraId="520AC168">
                  <w:pPr>
                    <w:jc w:val="center"/>
                    <w:rPr>
                      <w:szCs w:val="21"/>
                    </w:rPr>
                  </w:pPr>
                  <w:r>
                    <w:rPr>
                      <w:szCs w:val="21"/>
                    </w:rPr>
                    <w:t>东南</w:t>
                  </w:r>
                </w:p>
              </w:tc>
              <w:tc>
                <w:tcPr>
                  <w:tcW w:w="550" w:type="dxa"/>
                  <w:vAlign w:val="center"/>
                </w:tcPr>
                <w:p w14:paraId="520AC169">
                  <w:pPr>
                    <w:adjustRightInd w:val="0"/>
                    <w:snapToGrid w:val="0"/>
                    <w:jc w:val="center"/>
                    <w:rPr>
                      <w:szCs w:val="21"/>
                    </w:rPr>
                  </w:pPr>
                  <w:r>
                    <w:rPr>
                      <w:rFonts w:hint="eastAsia"/>
                      <w:szCs w:val="21"/>
                    </w:rPr>
                    <w:t>372</w:t>
                  </w:r>
                </w:p>
              </w:tc>
              <w:tc>
                <w:tcPr>
                  <w:tcW w:w="1960" w:type="dxa"/>
                  <w:vMerge w:val="continue"/>
                  <w:vAlign w:val="center"/>
                </w:tcPr>
                <w:p w14:paraId="520AC16A">
                  <w:pPr>
                    <w:adjustRightInd w:val="0"/>
                    <w:snapToGrid w:val="0"/>
                    <w:jc w:val="center"/>
                    <w:rPr>
                      <w:szCs w:val="21"/>
                    </w:rPr>
                  </w:pPr>
                </w:p>
              </w:tc>
            </w:tr>
            <w:tr w14:paraId="520AC17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6C">
                  <w:pPr>
                    <w:adjustRightInd w:val="0"/>
                    <w:snapToGrid w:val="0"/>
                    <w:jc w:val="center"/>
                    <w:rPr>
                      <w:szCs w:val="21"/>
                    </w:rPr>
                  </w:pPr>
                </w:p>
              </w:tc>
              <w:tc>
                <w:tcPr>
                  <w:tcW w:w="567" w:type="dxa"/>
                  <w:vAlign w:val="center"/>
                </w:tcPr>
                <w:p w14:paraId="520AC16D">
                  <w:pPr>
                    <w:adjustRightInd w:val="0"/>
                    <w:snapToGrid w:val="0"/>
                    <w:jc w:val="center"/>
                    <w:rPr>
                      <w:szCs w:val="21"/>
                    </w:rPr>
                  </w:pPr>
                  <w:r>
                    <w:rPr>
                      <w:rFonts w:hint="eastAsia"/>
                      <w:szCs w:val="21"/>
                    </w:rPr>
                    <w:t>12</w:t>
                  </w:r>
                </w:p>
              </w:tc>
              <w:tc>
                <w:tcPr>
                  <w:tcW w:w="1984" w:type="dxa"/>
                  <w:vAlign w:val="center"/>
                </w:tcPr>
                <w:p w14:paraId="520AC16E">
                  <w:pPr>
                    <w:adjustRightInd w:val="0"/>
                    <w:snapToGrid w:val="0"/>
                    <w:jc w:val="center"/>
                    <w:rPr>
                      <w:szCs w:val="21"/>
                    </w:rPr>
                  </w:pPr>
                  <w:r>
                    <w:rPr>
                      <w:rFonts w:hint="eastAsia"/>
                      <w:szCs w:val="21"/>
                    </w:rPr>
                    <w:t>上宅</w:t>
                  </w:r>
                  <w:r>
                    <w:rPr>
                      <w:szCs w:val="21"/>
                    </w:rPr>
                    <w:t>公园</w:t>
                  </w:r>
                  <w:r>
                    <w:rPr>
                      <w:rFonts w:hint="eastAsia"/>
                      <w:szCs w:val="21"/>
                    </w:rPr>
                    <w:t>城邦</w:t>
                  </w:r>
                </w:p>
              </w:tc>
              <w:tc>
                <w:tcPr>
                  <w:tcW w:w="992" w:type="dxa"/>
                  <w:vAlign w:val="center"/>
                </w:tcPr>
                <w:p w14:paraId="520AC16F">
                  <w:pPr>
                    <w:adjustRightInd w:val="0"/>
                    <w:snapToGrid w:val="0"/>
                    <w:jc w:val="center"/>
                    <w:rPr>
                      <w:szCs w:val="21"/>
                    </w:rPr>
                  </w:pPr>
                  <w:r>
                    <w:rPr>
                      <w:szCs w:val="21"/>
                    </w:rPr>
                    <w:t>居住区</w:t>
                  </w:r>
                </w:p>
              </w:tc>
              <w:tc>
                <w:tcPr>
                  <w:tcW w:w="709" w:type="dxa"/>
                  <w:vAlign w:val="center"/>
                </w:tcPr>
                <w:p w14:paraId="520AC170">
                  <w:pPr>
                    <w:jc w:val="center"/>
                    <w:rPr>
                      <w:szCs w:val="21"/>
                    </w:rPr>
                  </w:pPr>
                  <w:r>
                    <w:rPr>
                      <w:szCs w:val="21"/>
                    </w:rPr>
                    <w:t>居民</w:t>
                  </w:r>
                </w:p>
              </w:tc>
              <w:tc>
                <w:tcPr>
                  <w:tcW w:w="567" w:type="dxa"/>
                  <w:vAlign w:val="center"/>
                </w:tcPr>
                <w:p w14:paraId="520AC171">
                  <w:pPr>
                    <w:jc w:val="center"/>
                    <w:rPr>
                      <w:szCs w:val="21"/>
                    </w:rPr>
                  </w:pPr>
                  <w:r>
                    <w:rPr>
                      <w:szCs w:val="21"/>
                    </w:rPr>
                    <w:t>西</w:t>
                  </w:r>
                </w:p>
              </w:tc>
              <w:tc>
                <w:tcPr>
                  <w:tcW w:w="550" w:type="dxa"/>
                  <w:vAlign w:val="center"/>
                </w:tcPr>
                <w:p w14:paraId="520AC172">
                  <w:pPr>
                    <w:adjustRightInd w:val="0"/>
                    <w:snapToGrid w:val="0"/>
                    <w:jc w:val="center"/>
                    <w:rPr>
                      <w:szCs w:val="21"/>
                    </w:rPr>
                  </w:pPr>
                  <w:r>
                    <w:rPr>
                      <w:rFonts w:hint="eastAsia"/>
                      <w:szCs w:val="21"/>
                    </w:rPr>
                    <w:t>383</w:t>
                  </w:r>
                </w:p>
              </w:tc>
              <w:tc>
                <w:tcPr>
                  <w:tcW w:w="1960" w:type="dxa"/>
                  <w:vMerge w:val="continue"/>
                  <w:vAlign w:val="center"/>
                </w:tcPr>
                <w:p w14:paraId="520AC173">
                  <w:pPr>
                    <w:adjustRightInd w:val="0"/>
                    <w:snapToGrid w:val="0"/>
                    <w:jc w:val="center"/>
                    <w:rPr>
                      <w:szCs w:val="21"/>
                    </w:rPr>
                  </w:pPr>
                </w:p>
              </w:tc>
            </w:tr>
            <w:tr w14:paraId="520AC17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520AC175">
                  <w:pPr>
                    <w:adjustRightInd w:val="0"/>
                    <w:snapToGrid w:val="0"/>
                    <w:jc w:val="center"/>
                    <w:rPr>
                      <w:szCs w:val="21"/>
                    </w:rPr>
                  </w:pPr>
                </w:p>
              </w:tc>
              <w:tc>
                <w:tcPr>
                  <w:tcW w:w="567" w:type="dxa"/>
                  <w:vAlign w:val="center"/>
                </w:tcPr>
                <w:p w14:paraId="520AC176">
                  <w:pPr>
                    <w:adjustRightInd w:val="0"/>
                    <w:snapToGrid w:val="0"/>
                    <w:jc w:val="center"/>
                    <w:rPr>
                      <w:szCs w:val="21"/>
                    </w:rPr>
                  </w:pPr>
                  <w:r>
                    <w:rPr>
                      <w:rFonts w:hint="eastAsia"/>
                      <w:szCs w:val="21"/>
                    </w:rPr>
                    <w:t>13</w:t>
                  </w:r>
                </w:p>
              </w:tc>
              <w:tc>
                <w:tcPr>
                  <w:tcW w:w="1984" w:type="dxa"/>
                  <w:vAlign w:val="center"/>
                </w:tcPr>
                <w:p w14:paraId="520AC177">
                  <w:pPr>
                    <w:adjustRightInd w:val="0"/>
                    <w:snapToGrid w:val="0"/>
                    <w:jc w:val="center"/>
                    <w:rPr>
                      <w:szCs w:val="21"/>
                    </w:rPr>
                  </w:pPr>
                  <w:r>
                    <w:rPr>
                      <w:rFonts w:hint="eastAsia"/>
                      <w:szCs w:val="21"/>
                    </w:rPr>
                    <w:t>760厂家属院</w:t>
                  </w:r>
                </w:p>
              </w:tc>
              <w:tc>
                <w:tcPr>
                  <w:tcW w:w="992" w:type="dxa"/>
                  <w:vAlign w:val="center"/>
                </w:tcPr>
                <w:p w14:paraId="520AC178">
                  <w:pPr>
                    <w:adjustRightInd w:val="0"/>
                    <w:snapToGrid w:val="0"/>
                    <w:jc w:val="center"/>
                    <w:rPr>
                      <w:szCs w:val="21"/>
                    </w:rPr>
                  </w:pPr>
                  <w:r>
                    <w:rPr>
                      <w:szCs w:val="21"/>
                    </w:rPr>
                    <w:t>居住区</w:t>
                  </w:r>
                </w:p>
              </w:tc>
              <w:tc>
                <w:tcPr>
                  <w:tcW w:w="709" w:type="dxa"/>
                  <w:vAlign w:val="center"/>
                </w:tcPr>
                <w:p w14:paraId="520AC179">
                  <w:pPr>
                    <w:jc w:val="center"/>
                    <w:rPr>
                      <w:szCs w:val="21"/>
                    </w:rPr>
                  </w:pPr>
                  <w:r>
                    <w:rPr>
                      <w:szCs w:val="21"/>
                    </w:rPr>
                    <w:t>居民</w:t>
                  </w:r>
                </w:p>
              </w:tc>
              <w:tc>
                <w:tcPr>
                  <w:tcW w:w="567" w:type="dxa"/>
                  <w:vAlign w:val="center"/>
                </w:tcPr>
                <w:p w14:paraId="520AC17A">
                  <w:pPr>
                    <w:jc w:val="center"/>
                    <w:rPr>
                      <w:szCs w:val="21"/>
                    </w:rPr>
                  </w:pPr>
                  <w:r>
                    <w:rPr>
                      <w:szCs w:val="21"/>
                    </w:rPr>
                    <w:t>西南</w:t>
                  </w:r>
                </w:p>
              </w:tc>
              <w:tc>
                <w:tcPr>
                  <w:tcW w:w="550" w:type="dxa"/>
                  <w:vAlign w:val="center"/>
                </w:tcPr>
                <w:p w14:paraId="520AC17B">
                  <w:pPr>
                    <w:adjustRightInd w:val="0"/>
                    <w:snapToGrid w:val="0"/>
                    <w:jc w:val="center"/>
                    <w:rPr>
                      <w:szCs w:val="21"/>
                    </w:rPr>
                  </w:pPr>
                  <w:r>
                    <w:rPr>
                      <w:rFonts w:hint="eastAsia"/>
                      <w:szCs w:val="21"/>
                    </w:rPr>
                    <w:t>210</w:t>
                  </w:r>
                </w:p>
              </w:tc>
              <w:tc>
                <w:tcPr>
                  <w:tcW w:w="1960" w:type="dxa"/>
                  <w:vMerge w:val="continue"/>
                  <w:vAlign w:val="center"/>
                </w:tcPr>
                <w:p w14:paraId="520AC17C">
                  <w:pPr>
                    <w:adjustRightInd w:val="0"/>
                    <w:snapToGrid w:val="0"/>
                    <w:jc w:val="center"/>
                    <w:rPr>
                      <w:szCs w:val="21"/>
                    </w:rPr>
                  </w:pPr>
                </w:p>
              </w:tc>
            </w:tr>
            <w:tr w14:paraId="14F6DF8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7C2B54EE">
                  <w:pPr>
                    <w:adjustRightInd w:val="0"/>
                    <w:snapToGrid w:val="0"/>
                    <w:jc w:val="center"/>
                    <w:rPr>
                      <w:szCs w:val="21"/>
                    </w:rPr>
                  </w:pPr>
                </w:p>
              </w:tc>
              <w:tc>
                <w:tcPr>
                  <w:tcW w:w="567" w:type="dxa"/>
                  <w:vAlign w:val="center"/>
                </w:tcPr>
                <w:p w14:paraId="256623F3">
                  <w:pPr>
                    <w:adjustRightInd w:val="0"/>
                    <w:snapToGrid w:val="0"/>
                    <w:jc w:val="center"/>
                    <w:rPr>
                      <w:szCs w:val="21"/>
                    </w:rPr>
                  </w:pPr>
                  <w:r>
                    <w:rPr>
                      <w:rFonts w:hint="eastAsia"/>
                      <w:szCs w:val="21"/>
                    </w:rPr>
                    <w:t>14</w:t>
                  </w:r>
                </w:p>
              </w:tc>
              <w:tc>
                <w:tcPr>
                  <w:tcW w:w="1984" w:type="dxa"/>
                  <w:vAlign w:val="center"/>
                </w:tcPr>
                <w:p w14:paraId="5A7DF3EC">
                  <w:pPr>
                    <w:adjustRightInd w:val="0"/>
                    <w:snapToGrid w:val="0"/>
                    <w:jc w:val="center"/>
                    <w:rPr>
                      <w:szCs w:val="21"/>
                    </w:rPr>
                  </w:pPr>
                  <w:r>
                    <w:rPr>
                      <w:color w:val="000000"/>
                      <w:sz w:val="22"/>
                      <w:szCs w:val="21"/>
                    </w:rPr>
                    <w:t>风云5号院</w:t>
                  </w:r>
                </w:p>
              </w:tc>
              <w:tc>
                <w:tcPr>
                  <w:tcW w:w="992" w:type="dxa"/>
                  <w:vAlign w:val="center"/>
                </w:tcPr>
                <w:p w14:paraId="2D038BFD">
                  <w:pPr>
                    <w:adjustRightInd w:val="0"/>
                    <w:snapToGrid w:val="0"/>
                    <w:jc w:val="center"/>
                    <w:rPr>
                      <w:szCs w:val="21"/>
                    </w:rPr>
                  </w:pPr>
                  <w:r>
                    <w:rPr>
                      <w:szCs w:val="21"/>
                    </w:rPr>
                    <w:t>居住区</w:t>
                  </w:r>
                </w:p>
              </w:tc>
              <w:tc>
                <w:tcPr>
                  <w:tcW w:w="709" w:type="dxa"/>
                  <w:vAlign w:val="center"/>
                </w:tcPr>
                <w:p w14:paraId="7C1E27EC">
                  <w:pPr>
                    <w:jc w:val="center"/>
                    <w:rPr>
                      <w:szCs w:val="21"/>
                    </w:rPr>
                  </w:pPr>
                  <w:r>
                    <w:rPr>
                      <w:szCs w:val="21"/>
                    </w:rPr>
                    <w:t>居民</w:t>
                  </w:r>
                </w:p>
              </w:tc>
              <w:tc>
                <w:tcPr>
                  <w:tcW w:w="567" w:type="dxa"/>
                  <w:vAlign w:val="center"/>
                </w:tcPr>
                <w:p w14:paraId="2BEE7FB9">
                  <w:pPr>
                    <w:jc w:val="center"/>
                    <w:rPr>
                      <w:szCs w:val="21"/>
                    </w:rPr>
                  </w:pPr>
                  <w:r>
                    <w:rPr>
                      <w:rFonts w:hint="eastAsia"/>
                      <w:szCs w:val="21"/>
                    </w:rPr>
                    <w:t>西</w:t>
                  </w:r>
                </w:p>
              </w:tc>
              <w:tc>
                <w:tcPr>
                  <w:tcW w:w="550" w:type="dxa"/>
                  <w:vAlign w:val="center"/>
                </w:tcPr>
                <w:p w14:paraId="77A6A0C3">
                  <w:pPr>
                    <w:adjustRightInd w:val="0"/>
                    <w:snapToGrid w:val="0"/>
                    <w:jc w:val="center"/>
                    <w:rPr>
                      <w:szCs w:val="21"/>
                    </w:rPr>
                  </w:pPr>
                  <w:r>
                    <w:rPr>
                      <w:rFonts w:hint="eastAsia"/>
                      <w:szCs w:val="21"/>
                    </w:rPr>
                    <w:t>56</w:t>
                  </w:r>
                </w:p>
              </w:tc>
              <w:tc>
                <w:tcPr>
                  <w:tcW w:w="1960" w:type="dxa"/>
                  <w:vMerge w:val="continue"/>
                  <w:vAlign w:val="center"/>
                </w:tcPr>
                <w:p w14:paraId="4E7260C2">
                  <w:pPr>
                    <w:adjustRightInd w:val="0"/>
                    <w:snapToGrid w:val="0"/>
                    <w:jc w:val="center"/>
                    <w:rPr>
                      <w:szCs w:val="21"/>
                    </w:rPr>
                  </w:pPr>
                </w:p>
              </w:tc>
            </w:tr>
            <w:tr w14:paraId="33C8B29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1" w:type="dxa"/>
                  <w:bottom w:w="0" w:type="dxa"/>
                  <w:right w:w="11" w:type="dxa"/>
                </w:tblCellMar>
              </w:tblPrEx>
              <w:trPr>
                <w:trHeight w:val="397" w:hRule="atLeast"/>
                <w:jc w:val="right"/>
              </w:trPr>
              <w:tc>
                <w:tcPr>
                  <w:tcW w:w="645" w:type="dxa"/>
                  <w:vMerge w:val="continue"/>
                  <w:vAlign w:val="center"/>
                </w:tcPr>
                <w:p w14:paraId="63904A69">
                  <w:pPr>
                    <w:adjustRightInd w:val="0"/>
                    <w:snapToGrid w:val="0"/>
                    <w:jc w:val="center"/>
                    <w:rPr>
                      <w:szCs w:val="21"/>
                    </w:rPr>
                  </w:pPr>
                </w:p>
              </w:tc>
              <w:tc>
                <w:tcPr>
                  <w:tcW w:w="567" w:type="dxa"/>
                  <w:vAlign w:val="center"/>
                </w:tcPr>
                <w:p w14:paraId="31838B3E">
                  <w:pPr>
                    <w:adjustRightInd w:val="0"/>
                    <w:snapToGrid w:val="0"/>
                    <w:jc w:val="center"/>
                    <w:rPr>
                      <w:szCs w:val="21"/>
                    </w:rPr>
                  </w:pPr>
                  <w:r>
                    <w:rPr>
                      <w:rFonts w:hint="eastAsia"/>
                      <w:szCs w:val="21"/>
                    </w:rPr>
                    <w:t>15</w:t>
                  </w:r>
                </w:p>
              </w:tc>
              <w:tc>
                <w:tcPr>
                  <w:tcW w:w="1984" w:type="dxa"/>
                  <w:vAlign w:val="center"/>
                </w:tcPr>
                <w:p w14:paraId="1E818EFC">
                  <w:pPr>
                    <w:adjustRightInd w:val="0"/>
                    <w:snapToGrid w:val="0"/>
                    <w:jc w:val="center"/>
                    <w:rPr>
                      <w:szCs w:val="21"/>
                    </w:rPr>
                  </w:pPr>
                  <w:r>
                    <w:rPr>
                      <w:color w:val="000000"/>
                      <w:sz w:val="22"/>
                      <w:szCs w:val="21"/>
                    </w:rPr>
                    <w:t>新乡市职业教育中心</w:t>
                  </w:r>
                </w:p>
              </w:tc>
              <w:tc>
                <w:tcPr>
                  <w:tcW w:w="992" w:type="dxa"/>
                  <w:vAlign w:val="center"/>
                </w:tcPr>
                <w:p w14:paraId="6B571BA2">
                  <w:pPr>
                    <w:adjustRightInd w:val="0"/>
                    <w:snapToGrid w:val="0"/>
                    <w:jc w:val="center"/>
                    <w:rPr>
                      <w:szCs w:val="21"/>
                    </w:rPr>
                  </w:pPr>
                  <w:r>
                    <w:rPr>
                      <w:szCs w:val="21"/>
                    </w:rPr>
                    <w:t>居住区</w:t>
                  </w:r>
                </w:p>
              </w:tc>
              <w:tc>
                <w:tcPr>
                  <w:tcW w:w="709" w:type="dxa"/>
                  <w:vAlign w:val="center"/>
                </w:tcPr>
                <w:p w14:paraId="07CBF7A3">
                  <w:pPr>
                    <w:jc w:val="center"/>
                    <w:rPr>
                      <w:szCs w:val="21"/>
                    </w:rPr>
                  </w:pPr>
                  <w:r>
                    <w:rPr>
                      <w:szCs w:val="21"/>
                    </w:rPr>
                    <w:t>居民</w:t>
                  </w:r>
                </w:p>
              </w:tc>
              <w:tc>
                <w:tcPr>
                  <w:tcW w:w="567" w:type="dxa"/>
                  <w:vAlign w:val="center"/>
                </w:tcPr>
                <w:p w14:paraId="36E7DD57">
                  <w:pPr>
                    <w:jc w:val="center"/>
                    <w:rPr>
                      <w:szCs w:val="21"/>
                    </w:rPr>
                  </w:pPr>
                  <w:r>
                    <w:rPr>
                      <w:rFonts w:hint="eastAsia"/>
                      <w:szCs w:val="21"/>
                    </w:rPr>
                    <w:t>西</w:t>
                  </w:r>
                </w:p>
              </w:tc>
              <w:tc>
                <w:tcPr>
                  <w:tcW w:w="550" w:type="dxa"/>
                  <w:vAlign w:val="center"/>
                </w:tcPr>
                <w:p w14:paraId="78232420">
                  <w:pPr>
                    <w:adjustRightInd w:val="0"/>
                    <w:snapToGrid w:val="0"/>
                    <w:jc w:val="center"/>
                    <w:rPr>
                      <w:szCs w:val="21"/>
                    </w:rPr>
                  </w:pPr>
                  <w:r>
                    <w:rPr>
                      <w:rFonts w:hint="eastAsia"/>
                      <w:szCs w:val="21"/>
                    </w:rPr>
                    <w:t>56</w:t>
                  </w:r>
                </w:p>
              </w:tc>
              <w:tc>
                <w:tcPr>
                  <w:tcW w:w="1960" w:type="dxa"/>
                  <w:vMerge w:val="continue"/>
                  <w:vAlign w:val="center"/>
                </w:tcPr>
                <w:p w14:paraId="772DD170">
                  <w:pPr>
                    <w:adjustRightInd w:val="0"/>
                    <w:snapToGrid w:val="0"/>
                    <w:jc w:val="center"/>
                    <w:rPr>
                      <w:szCs w:val="21"/>
                    </w:rPr>
                  </w:pPr>
                </w:p>
              </w:tc>
            </w:tr>
          </w:tbl>
          <w:p w14:paraId="520AC17E">
            <w:pPr>
              <w:adjustRightInd w:val="0"/>
              <w:snapToGrid w:val="0"/>
              <w:spacing w:line="460" w:lineRule="exact"/>
              <w:ind w:firstLine="480" w:firstLineChars="200"/>
              <w:rPr>
                <w:rFonts w:eastAsia="黑体"/>
                <w:bCs/>
                <w:sz w:val="24"/>
              </w:rPr>
            </w:pPr>
            <w:r>
              <w:rPr>
                <w:rFonts w:eastAsia="黑体"/>
                <w:bCs/>
                <w:sz w:val="24"/>
              </w:rPr>
              <w:t>表</w:t>
            </w:r>
            <w:r>
              <w:rPr>
                <w:rFonts w:hint="eastAsia" w:eastAsia="黑体"/>
                <w:bCs/>
                <w:sz w:val="24"/>
              </w:rPr>
              <w:t>45</w:t>
            </w:r>
            <w:r>
              <w:rPr>
                <w:rFonts w:eastAsia="黑体"/>
                <w:bCs/>
                <w:sz w:val="24"/>
              </w:rPr>
              <w:t xml:space="preserve">              </w:t>
            </w:r>
            <w:r>
              <w:rPr>
                <w:rFonts w:hint="eastAsia" w:eastAsia="黑体"/>
                <w:bCs/>
                <w:sz w:val="24"/>
              </w:rPr>
              <w:t>解放路厂区</w:t>
            </w:r>
            <w:r>
              <w:rPr>
                <w:rFonts w:eastAsia="黑体"/>
                <w:bCs/>
                <w:sz w:val="24"/>
              </w:rPr>
              <w:t>厂界周围保护目标概况</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02"/>
              <w:gridCol w:w="567"/>
              <w:gridCol w:w="1559"/>
              <w:gridCol w:w="851"/>
              <w:gridCol w:w="761"/>
              <w:gridCol w:w="700"/>
              <w:gridCol w:w="841"/>
              <w:gridCol w:w="2193"/>
            </w:tblGrid>
            <w:tr w14:paraId="520AC18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Align w:val="center"/>
                </w:tcPr>
                <w:p w14:paraId="520AC17F">
                  <w:pPr>
                    <w:jc w:val="center"/>
                    <w:rPr>
                      <w:szCs w:val="21"/>
                    </w:rPr>
                  </w:pPr>
                  <w:r>
                    <w:rPr>
                      <w:b/>
                      <w:szCs w:val="21"/>
                    </w:rPr>
                    <w:t>保护类别</w:t>
                  </w:r>
                </w:p>
              </w:tc>
              <w:tc>
                <w:tcPr>
                  <w:tcW w:w="574" w:type="dxa"/>
                  <w:vAlign w:val="center"/>
                </w:tcPr>
                <w:p w14:paraId="520AC180">
                  <w:pPr>
                    <w:adjustRightInd w:val="0"/>
                    <w:snapToGrid w:val="0"/>
                    <w:jc w:val="center"/>
                    <w:rPr>
                      <w:b/>
                      <w:szCs w:val="21"/>
                    </w:rPr>
                  </w:pPr>
                  <w:r>
                    <w:rPr>
                      <w:rFonts w:hint="eastAsia"/>
                      <w:b/>
                      <w:szCs w:val="21"/>
                    </w:rPr>
                    <w:t>序号</w:t>
                  </w:r>
                </w:p>
              </w:tc>
              <w:tc>
                <w:tcPr>
                  <w:tcW w:w="1579" w:type="dxa"/>
                  <w:vAlign w:val="center"/>
                </w:tcPr>
                <w:p w14:paraId="520AC181">
                  <w:pPr>
                    <w:adjustRightInd w:val="0"/>
                    <w:snapToGrid w:val="0"/>
                    <w:jc w:val="center"/>
                    <w:rPr>
                      <w:szCs w:val="21"/>
                    </w:rPr>
                  </w:pPr>
                  <w:r>
                    <w:rPr>
                      <w:rFonts w:hint="eastAsia"/>
                      <w:b/>
                      <w:szCs w:val="21"/>
                    </w:rPr>
                    <w:t>环境保护</w:t>
                  </w:r>
                  <w:r>
                    <w:rPr>
                      <w:b/>
                      <w:szCs w:val="21"/>
                    </w:rPr>
                    <w:t>目标名称</w:t>
                  </w:r>
                </w:p>
              </w:tc>
              <w:tc>
                <w:tcPr>
                  <w:tcW w:w="862" w:type="dxa"/>
                  <w:vAlign w:val="center"/>
                </w:tcPr>
                <w:p w14:paraId="520AC182">
                  <w:pPr>
                    <w:adjustRightInd w:val="0"/>
                    <w:snapToGrid w:val="0"/>
                    <w:jc w:val="center"/>
                    <w:rPr>
                      <w:szCs w:val="21"/>
                    </w:rPr>
                  </w:pPr>
                  <w:r>
                    <w:rPr>
                      <w:b/>
                      <w:szCs w:val="21"/>
                    </w:rPr>
                    <w:t>保</w:t>
                  </w:r>
                  <w:r>
                    <w:rPr>
                      <w:rFonts w:hint="eastAsia"/>
                      <w:b/>
                      <w:szCs w:val="21"/>
                    </w:rPr>
                    <w:t>护</w:t>
                  </w:r>
                  <w:r>
                    <w:rPr>
                      <w:b/>
                      <w:szCs w:val="21"/>
                    </w:rPr>
                    <w:t>对象</w:t>
                  </w:r>
                </w:p>
              </w:tc>
              <w:tc>
                <w:tcPr>
                  <w:tcW w:w="770" w:type="dxa"/>
                  <w:vAlign w:val="center"/>
                </w:tcPr>
                <w:p w14:paraId="520AC183">
                  <w:pPr>
                    <w:jc w:val="center"/>
                    <w:rPr>
                      <w:szCs w:val="21"/>
                    </w:rPr>
                  </w:pPr>
                  <w:r>
                    <w:rPr>
                      <w:b/>
                      <w:szCs w:val="21"/>
                    </w:rPr>
                    <w:t>保护内容</w:t>
                  </w:r>
                </w:p>
              </w:tc>
              <w:tc>
                <w:tcPr>
                  <w:tcW w:w="709" w:type="dxa"/>
                  <w:vAlign w:val="center"/>
                </w:tcPr>
                <w:p w14:paraId="520AC184">
                  <w:pPr>
                    <w:jc w:val="center"/>
                    <w:rPr>
                      <w:szCs w:val="21"/>
                    </w:rPr>
                  </w:pPr>
                  <w:r>
                    <w:rPr>
                      <w:b/>
                      <w:szCs w:val="21"/>
                    </w:rPr>
                    <w:t>方向</w:t>
                  </w:r>
                </w:p>
              </w:tc>
              <w:tc>
                <w:tcPr>
                  <w:tcW w:w="851" w:type="dxa"/>
                  <w:vAlign w:val="center"/>
                </w:tcPr>
                <w:p w14:paraId="520AC185">
                  <w:pPr>
                    <w:adjustRightInd w:val="0"/>
                    <w:snapToGrid w:val="0"/>
                    <w:jc w:val="center"/>
                    <w:rPr>
                      <w:szCs w:val="21"/>
                    </w:rPr>
                  </w:pPr>
                  <w:r>
                    <w:rPr>
                      <w:b/>
                      <w:szCs w:val="21"/>
                    </w:rPr>
                    <w:t>距离</w:t>
                  </w:r>
                  <w:r>
                    <w:rPr>
                      <w:rFonts w:hint="eastAsia"/>
                      <w:b/>
                      <w:szCs w:val="21"/>
                    </w:rPr>
                    <w:t>(</w:t>
                  </w:r>
                  <w:r>
                    <w:rPr>
                      <w:rFonts w:hint="eastAsia"/>
                      <w:szCs w:val="21"/>
                    </w:rPr>
                    <w:t>m)</w:t>
                  </w:r>
                </w:p>
              </w:tc>
              <w:tc>
                <w:tcPr>
                  <w:tcW w:w="2222" w:type="dxa"/>
                  <w:vAlign w:val="center"/>
                </w:tcPr>
                <w:p w14:paraId="520AC186">
                  <w:pPr>
                    <w:adjustRightInd w:val="0"/>
                    <w:snapToGrid w:val="0"/>
                    <w:jc w:val="center"/>
                    <w:rPr>
                      <w:szCs w:val="21"/>
                    </w:rPr>
                  </w:pPr>
                  <w:r>
                    <w:rPr>
                      <w:b/>
                      <w:szCs w:val="21"/>
                    </w:rPr>
                    <w:t>保护级别</w:t>
                  </w:r>
                </w:p>
              </w:tc>
            </w:tr>
            <w:tr w14:paraId="520AC19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restart"/>
                  <w:vAlign w:val="center"/>
                </w:tcPr>
                <w:p w14:paraId="520AC188">
                  <w:pPr>
                    <w:jc w:val="center"/>
                    <w:rPr>
                      <w:szCs w:val="21"/>
                    </w:rPr>
                  </w:pPr>
                  <w:r>
                    <w:rPr>
                      <w:rFonts w:hint="eastAsia"/>
                      <w:szCs w:val="21"/>
                    </w:rPr>
                    <w:t>大气环境</w:t>
                  </w:r>
                </w:p>
                <w:p w14:paraId="520AC189">
                  <w:pPr>
                    <w:jc w:val="center"/>
                    <w:rPr>
                      <w:szCs w:val="21"/>
                    </w:rPr>
                  </w:pPr>
                  <w:r>
                    <w:rPr>
                      <w:rFonts w:hint="eastAsia"/>
                      <w:szCs w:val="21"/>
                    </w:rPr>
                    <w:t>声环境</w:t>
                  </w:r>
                </w:p>
              </w:tc>
              <w:tc>
                <w:tcPr>
                  <w:tcW w:w="574" w:type="dxa"/>
                  <w:vAlign w:val="center"/>
                </w:tcPr>
                <w:p w14:paraId="520AC18A">
                  <w:pPr>
                    <w:adjustRightInd w:val="0"/>
                    <w:snapToGrid w:val="0"/>
                    <w:jc w:val="center"/>
                    <w:rPr>
                      <w:szCs w:val="21"/>
                    </w:rPr>
                  </w:pPr>
                  <w:r>
                    <w:rPr>
                      <w:rFonts w:hint="eastAsia"/>
                      <w:szCs w:val="21"/>
                    </w:rPr>
                    <w:t>1</w:t>
                  </w:r>
                </w:p>
              </w:tc>
              <w:tc>
                <w:tcPr>
                  <w:tcW w:w="1579" w:type="dxa"/>
                  <w:vAlign w:val="center"/>
                </w:tcPr>
                <w:p w14:paraId="520AC18B">
                  <w:pPr>
                    <w:adjustRightInd w:val="0"/>
                    <w:snapToGrid w:val="0"/>
                    <w:jc w:val="center"/>
                    <w:rPr>
                      <w:szCs w:val="21"/>
                    </w:rPr>
                  </w:pPr>
                  <w:r>
                    <w:rPr>
                      <w:rFonts w:hint="eastAsia"/>
                      <w:szCs w:val="21"/>
                    </w:rPr>
                    <w:t>中原社区</w:t>
                  </w:r>
                </w:p>
              </w:tc>
              <w:tc>
                <w:tcPr>
                  <w:tcW w:w="862" w:type="dxa"/>
                  <w:vAlign w:val="center"/>
                </w:tcPr>
                <w:p w14:paraId="520AC18C">
                  <w:pPr>
                    <w:adjustRightInd w:val="0"/>
                    <w:snapToGrid w:val="0"/>
                    <w:jc w:val="center"/>
                    <w:rPr>
                      <w:szCs w:val="21"/>
                    </w:rPr>
                  </w:pPr>
                  <w:r>
                    <w:rPr>
                      <w:szCs w:val="21"/>
                    </w:rPr>
                    <w:t>居住区</w:t>
                  </w:r>
                </w:p>
              </w:tc>
              <w:tc>
                <w:tcPr>
                  <w:tcW w:w="770" w:type="dxa"/>
                  <w:vAlign w:val="center"/>
                </w:tcPr>
                <w:p w14:paraId="520AC18D">
                  <w:pPr>
                    <w:jc w:val="center"/>
                    <w:rPr>
                      <w:szCs w:val="21"/>
                    </w:rPr>
                  </w:pPr>
                  <w:r>
                    <w:rPr>
                      <w:szCs w:val="21"/>
                    </w:rPr>
                    <w:t>居民</w:t>
                  </w:r>
                </w:p>
              </w:tc>
              <w:tc>
                <w:tcPr>
                  <w:tcW w:w="709" w:type="dxa"/>
                  <w:vAlign w:val="center"/>
                </w:tcPr>
                <w:p w14:paraId="520AC18E">
                  <w:pPr>
                    <w:jc w:val="center"/>
                    <w:rPr>
                      <w:szCs w:val="21"/>
                    </w:rPr>
                  </w:pPr>
                  <w:r>
                    <w:rPr>
                      <w:rFonts w:hint="eastAsia"/>
                      <w:kern w:val="0"/>
                      <w:szCs w:val="21"/>
                    </w:rPr>
                    <w:t>南</w:t>
                  </w:r>
                </w:p>
              </w:tc>
              <w:tc>
                <w:tcPr>
                  <w:tcW w:w="851" w:type="dxa"/>
                  <w:vAlign w:val="center"/>
                </w:tcPr>
                <w:p w14:paraId="520AC18F">
                  <w:pPr>
                    <w:adjustRightInd w:val="0"/>
                    <w:snapToGrid w:val="0"/>
                    <w:jc w:val="center"/>
                    <w:rPr>
                      <w:szCs w:val="21"/>
                    </w:rPr>
                  </w:pPr>
                  <w:r>
                    <w:rPr>
                      <w:kern w:val="0"/>
                      <w:szCs w:val="21"/>
                    </w:rPr>
                    <w:t>14</w:t>
                  </w:r>
                  <w:r>
                    <w:rPr>
                      <w:szCs w:val="21"/>
                    </w:rPr>
                    <w:t xml:space="preserve"> </w:t>
                  </w:r>
                </w:p>
              </w:tc>
              <w:tc>
                <w:tcPr>
                  <w:tcW w:w="2222" w:type="dxa"/>
                  <w:vMerge w:val="restart"/>
                  <w:vAlign w:val="center"/>
                </w:tcPr>
                <w:p w14:paraId="520AC190">
                  <w:pPr>
                    <w:adjustRightInd w:val="0"/>
                    <w:snapToGrid w:val="0"/>
                    <w:jc w:val="center"/>
                    <w:rPr>
                      <w:szCs w:val="21"/>
                    </w:rPr>
                  </w:pPr>
                  <w:r>
                    <w:rPr>
                      <w:szCs w:val="21"/>
                    </w:rPr>
                    <w:t>《环境空气质量标准》（GB3095-2012）二级</w:t>
                  </w:r>
                </w:p>
                <w:p w14:paraId="520AC191">
                  <w:pPr>
                    <w:adjustRightInd w:val="0"/>
                    <w:snapToGrid w:val="0"/>
                    <w:jc w:val="center"/>
                    <w:rPr>
                      <w:szCs w:val="21"/>
                    </w:rPr>
                  </w:pPr>
                  <w:r>
                    <w:rPr>
                      <w:szCs w:val="21"/>
                    </w:rPr>
                    <w:t>《声环境质量标准》（</w:t>
                  </w:r>
                  <w:r>
                    <w:rPr>
                      <w:rFonts w:hint="eastAsia"/>
                      <w:szCs w:val="21"/>
                    </w:rPr>
                    <w:t>GB3096-2008</w:t>
                  </w:r>
                  <w:r>
                    <w:rPr>
                      <w:szCs w:val="21"/>
                    </w:rPr>
                    <w:t>）</w:t>
                  </w:r>
                  <w:r>
                    <w:rPr>
                      <w:rFonts w:hint="eastAsia"/>
                      <w:szCs w:val="21"/>
                    </w:rPr>
                    <w:t>2级</w:t>
                  </w:r>
                </w:p>
              </w:tc>
            </w:tr>
            <w:tr w14:paraId="520AC19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93">
                  <w:pPr>
                    <w:jc w:val="center"/>
                    <w:rPr>
                      <w:szCs w:val="21"/>
                    </w:rPr>
                  </w:pPr>
                </w:p>
              </w:tc>
              <w:tc>
                <w:tcPr>
                  <w:tcW w:w="574" w:type="dxa"/>
                  <w:vAlign w:val="center"/>
                </w:tcPr>
                <w:p w14:paraId="520AC194">
                  <w:pPr>
                    <w:adjustRightInd w:val="0"/>
                    <w:snapToGrid w:val="0"/>
                    <w:jc w:val="center"/>
                    <w:rPr>
                      <w:szCs w:val="21"/>
                    </w:rPr>
                  </w:pPr>
                  <w:r>
                    <w:rPr>
                      <w:rFonts w:hint="eastAsia"/>
                      <w:szCs w:val="21"/>
                    </w:rPr>
                    <w:t>2</w:t>
                  </w:r>
                </w:p>
              </w:tc>
              <w:tc>
                <w:tcPr>
                  <w:tcW w:w="1579" w:type="dxa"/>
                  <w:vAlign w:val="center"/>
                </w:tcPr>
                <w:p w14:paraId="520AC195">
                  <w:pPr>
                    <w:adjustRightInd w:val="0"/>
                    <w:snapToGrid w:val="0"/>
                    <w:jc w:val="center"/>
                    <w:rPr>
                      <w:szCs w:val="21"/>
                    </w:rPr>
                  </w:pPr>
                  <w:r>
                    <w:rPr>
                      <w:rFonts w:hint="eastAsia"/>
                      <w:szCs w:val="21"/>
                    </w:rPr>
                    <w:t>九鼎美庐</w:t>
                  </w:r>
                </w:p>
              </w:tc>
              <w:tc>
                <w:tcPr>
                  <w:tcW w:w="862" w:type="dxa"/>
                  <w:vAlign w:val="center"/>
                </w:tcPr>
                <w:p w14:paraId="520AC196">
                  <w:pPr>
                    <w:adjustRightInd w:val="0"/>
                    <w:snapToGrid w:val="0"/>
                    <w:jc w:val="center"/>
                    <w:rPr>
                      <w:szCs w:val="21"/>
                    </w:rPr>
                  </w:pPr>
                  <w:r>
                    <w:rPr>
                      <w:szCs w:val="21"/>
                    </w:rPr>
                    <w:t>居住区</w:t>
                  </w:r>
                </w:p>
              </w:tc>
              <w:tc>
                <w:tcPr>
                  <w:tcW w:w="770" w:type="dxa"/>
                  <w:vAlign w:val="center"/>
                </w:tcPr>
                <w:p w14:paraId="520AC197">
                  <w:pPr>
                    <w:jc w:val="center"/>
                    <w:rPr>
                      <w:szCs w:val="21"/>
                    </w:rPr>
                  </w:pPr>
                  <w:r>
                    <w:rPr>
                      <w:szCs w:val="21"/>
                    </w:rPr>
                    <w:t>居民</w:t>
                  </w:r>
                </w:p>
              </w:tc>
              <w:tc>
                <w:tcPr>
                  <w:tcW w:w="709" w:type="dxa"/>
                  <w:vAlign w:val="center"/>
                </w:tcPr>
                <w:p w14:paraId="520AC198">
                  <w:pPr>
                    <w:jc w:val="center"/>
                    <w:rPr>
                      <w:szCs w:val="21"/>
                    </w:rPr>
                  </w:pPr>
                  <w:r>
                    <w:rPr>
                      <w:kern w:val="0"/>
                      <w:szCs w:val="21"/>
                    </w:rPr>
                    <w:t>北</w:t>
                  </w:r>
                </w:p>
              </w:tc>
              <w:tc>
                <w:tcPr>
                  <w:tcW w:w="851" w:type="dxa"/>
                  <w:vAlign w:val="center"/>
                </w:tcPr>
                <w:p w14:paraId="520AC199">
                  <w:pPr>
                    <w:adjustRightInd w:val="0"/>
                    <w:snapToGrid w:val="0"/>
                    <w:jc w:val="center"/>
                    <w:rPr>
                      <w:szCs w:val="21"/>
                    </w:rPr>
                  </w:pPr>
                  <w:r>
                    <w:rPr>
                      <w:szCs w:val="21"/>
                    </w:rPr>
                    <w:t>42</w:t>
                  </w:r>
                </w:p>
              </w:tc>
              <w:tc>
                <w:tcPr>
                  <w:tcW w:w="2222" w:type="dxa"/>
                  <w:vMerge w:val="continue"/>
                  <w:vAlign w:val="center"/>
                </w:tcPr>
                <w:p w14:paraId="520AC19A">
                  <w:pPr>
                    <w:adjustRightInd w:val="0"/>
                    <w:snapToGrid w:val="0"/>
                    <w:jc w:val="center"/>
                    <w:rPr>
                      <w:szCs w:val="21"/>
                    </w:rPr>
                  </w:pPr>
                </w:p>
              </w:tc>
            </w:tr>
            <w:tr w14:paraId="520AC1A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9C">
                  <w:pPr>
                    <w:jc w:val="center"/>
                    <w:rPr>
                      <w:szCs w:val="21"/>
                    </w:rPr>
                  </w:pPr>
                </w:p>
              </w:tc>
              <w:tc>
                <w:tcPr>
                  <w:tcW w:w="574" w:type="dxa"/>
                  <w:vAlign w:val="center"/>
                </w:tcPr>
                <w:p w14:paraId="520AC19D">
                  <w:pPr>
                    <w:adjustRightInd w:val="0"/>
                    <w:snapToGrid w:val="0"/>
                    <w:jc w:val="center"/>
                    <w:rPr>
                      <w:szCs w:val="21"/>
                    </w:rPr>
                  </w:pPr>
                  <w:r>
                    <w:rPr>
                      <w:rFonts w:hint="eastAsia"/>
                      <w:szCs w:val="21"/>
                    </w:rPr>
                    <w:t>3</w:t>
                  </w:r>
                </w:p>
              </w:tc>
              <w:tc>
                <w:tcPr>
                  <w:tcW w:w="1579" w:type="dxa"/>
                  <w:vAlign w:val="center"/>
                </w:tcPr>
                <w:p w14:paraId="520AC19E">
                  <w:pPr>
                    <w:adjustRightInd w:val="0"/>
                    <w:snapToGrid w:val="0"/>
                    <w:jc w:val="center"/>
                    <w:rPr>
                      <w:szCs w:val="21"/>
                    </w:rPr>
                  </w:pPr>
                  <w:r>
                    <w:rPr>
                      <w:rFonts w:hint="eastAsia"/>
                      <w:szCs w:val="21"/>
                    </w:rPr>
                    <w:t>116 家属院</w:t>
                  </w:r>
                </w:p>
              </w:tc>
              <w:tc>
                <w:tcPr>
                  <w:tcW w:w="862" w:type="dxa"/>
                  <w:vAlign w:val="center"/>
                </w:tcPr>
                <w:p w14:paraId="520AC19F">
                  <w:pPr>
                    <w:adjustRightInd w:val="0"/>
                    <w:snapToGrid w:val="0"/>
                    <w:jc w:val="center"/>
                    <w:rPr>
                      <w:szCs w:val="21"/>
                    </w:rPr>
                  </w:pPr>
                  <w:r>
                    <w:rPr>
                      <w:szCs w:val="21"/>
                    </w:rPr>
                    <w:t>居住区</w:t>
                  </w:r>
                </w:p>
              </w:tc>
              <w:tc>
                <w:tcPr>
                  <w:tcW w:w="770" w:type="dxa"/>
                  <w:vAlign w:val="center"/>
                </w:tcPr>
                <w:p w14:paraId="520AC1A0">
                  <w:pPr>
                    <w:jc w:val="center"/>
                    <w:rPr>
                      <w:szCs w:val="21"/>
                    </w:rPr>
                  </w:pPr>
                  <w:r>
                    <w:rPr>
                      <w:szCs w:val="21"/>
                    </w:rPr>
                    <w:t>居民</w:t>
                  </w:r>
                </w:p>
              </w:tc>
              <w:tc>
                <w:tcPr>
                  <w:tcW w:w="709" w:type="dxa"/>
                  <w:vAlign w:val="center"/>
                </w:tcPr>
                <w:p w14:paraId="520AC1A1">
                  <w:pPr>
                    <w:jc w:val="center"/>
                    <w:rPr>
                      <w:szCs w:val="21"/>
                    </w:rPr>
                  </w:pPr>
                  <w:r>
                    <w:rPr>
                      <w:rFonts w:hint="eastAsia"/>
                      <w:kern w:val="0"/>
                      <w:szCs w:val="21"/>
                    </w:rPr>
                    <w:t>东</w:t>
                  </w:r>
                </w:p>
              </w:tc>
              <w:tc>
                <w:tcPr>
                  <w:tcW w:w="851" w:type="dxa"/>
                  <w:vAlign w:val="center"/>
                </w:tcPr>
                <w:p w14:paraId="520AC1A2">
                  <w:pPr>
                    <w:adjustRightInd w:val="0"/>
                    <w:snapToGrid w:val="0"/>
                    <w:jc w:val="center"/>
                    <w:rPr>
                      <w:szCs w:val="21"/>
                    </w:rPr>
                  </w:pPr>
                  <w:r>
                    <w:rPr>
                      <w:szCs w:val="21"/>
                    </w:rPr>
                    <w:t>35</w:t>
                  </w:r>
                </w:p>
              </w:tc>
              <w:tc>
                <w:tcPr>
                  <w:tcW w:w="2222" w:type="dxa"/>
                  <w:vMerge w:val="continue"/>
                  <w:vAlign w:val="center"/>
                </w:tcPr>
                <w:p w14:paraId="520AC1A3">
                  <w:pPr>
                    <w:adjustRightInd w:val="0"/>
                    <w:snapToGrid w:val="0"/>
                    <w:jc w:val="center"/>
                    <w:rPr>
                      <w:szCs w:val="21"/>
                    </w:rPr>
                  </w:pPr>
                </w:p>
              </w:tc>
            </w:tr>
            <w:tr w14:paraId="520AC1A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A5">
                  <w:pPr>
                    <w:jc w:val="center"/>
                    <w:rPr>
                      <w:szCs w:val="21"/>
                    </w:rPr>
                  </w:pPr>
                </w:p>
              </w:tc>
              <w:tc>
                <w:tcPr>
                  <w:tcW w:w="574" w:type="dxa"/>
                  <w:vAlign w:val="center"/>
                </w:tcPr>
                <w:p w14:paraId="520AC1A6">
                  <w:pPr>
                    <w:adjustRightInd w:val="0"/>
                    <w:snapToGrid w:val="0"/>
                    <w:jc w:val="center"/>
                    <w:rPr>
                      <w:szCs w:val="21"/>
                    </w:rPr>
                  </w:pPr>
                  <w:r>
                    <w:rPr>
                      <w:szCs w:val="21"/>
                    </w:rPr>
                    <w:t>4</w:t>
                  </w:r>
                </w:p>
              </w:tc>
              <w:tc>
                <w:tcPr>
                  <w:tcW w:w="1579" w:type="dxa"/>
                  <w:vAlign w:val="center"/>
                </w:tcPr>
                <w:p w14:paraId="520AC1A7">
                  <w:pPr>
                    <w:adjustRightInd w:val="0"/>
                    <w:snapToGrid w:val="0"/>
                    <w:jc w:val="center"/>
                    <w:rPr>
                      <w:szCs w:val="21"/>
                    </w:rPr>
                  </w:pPr>
                  <w:r>
                    <w:rPr>
                      <w:rFonts w:hint="eastAsia"/>
                      <w:szCs w:val="21"/>
                    </w:rPr>
                    <w:t>利民巷社区</w:t>
                  </w:r>
                </w:p>
              </w:tc>
              <w:tc>
                <w:tcPr>
                  <w:tcW w:w="862" w:type="dxa"/>
                  <w:vAlign w:val="center"/>
                </w:tcPr>
                <w:p w14:paraId="520AC1A8">
                  <w:pPr>
                    <w:adjustRightInd w:val="0"/>
                    <w:snapToGrid w:val="0"/>
                    <w:jc w:val="center"/>
                    <w:rPr>
                      <w:szCs w:val="21"/>
                    </w:rPr>
                  </w:pPr>
                  <w:r>
                    <w:rPr>
                      <w:szCs w:val="21"/>
                    </w:rPr>
                    <w:t>居住区</w:t>
                  </w:r>
                </w:p>
              </w:tc>
              <w:tc>
                <w:tcPr>
                  <w:tcW w:w="770" w:type="dxa"/>
                  <w:vAlign w:val="center"/>
                </w:tcPr>
                <w:p w14:paraId="520AC1A9">
                  <w:pPr>
                    <w:jc w:val="center"/>
                    <w:rPr>
                      <w:szCs w:val="21"/>
                    </w:rPr>
                  </w:pPr>
                  <w:r>
                    <w:rPr>
                      <w:szCs w:val="21"/>
                    </w:rPr>
                    <w:t>居民</w:t>
                  </w:r>
                </w:p>
              </w:tc>
              <w:tc>
                <w:tcPr>
                  <w:tcW w:w="709" w:type="dxa"/>
                  <w:vAlign w:val="center"/>
                </w:tcPr>
                <w:p w14:paraId="520AC1AA">
                  <w:pPr>
                    <w:jc w:val="center"/>
                    <w:rPr>
                      <w:szCs w:val="21"/>
                    </w:rPr>
                  </w:pPr>
                  <w:r>
                    <w:rPr>
                      <w:rFonts w:hint="eastAsia"/>
                      <w:kern w:val="0"/>
                      <w:szCs w:val="21"/>
                    </w:rPr>
                    <w:t>东</w:t>
                  </w:r>
                </w:p>
              </w:tc>
              <w:tc>
                <w:tcPr>
                  <w:tcW w:w="851" w:type="dxa"/>
                  <w:vAlign w:val="center"/>
                </w:tcPr>
                <w:p w14:paraId="520AC1AB">
                  <w:pPr>
                    <w:adjustRightInd w:val="0"/>
                    <w:snapToGrid w:val="0"/>
                    <w:jc w:val="center"/>
                    <w:rPr>
                      <w:szCs w:val="21"/>
                    </w:rPr>
                  </w:pPr>
                  <w:r>
                    <w:rPr>
                      <w:szCs w:val="21"/>
                    </w:rPr>
                    <w:t>35</w:t>
                  </w:r>
                </w:p>
              </w:tc>
              <w:tc>
                <w:tcPr>
                  <w:tcW w:w="2222" w:type="dxa"/>
                  <w:vMerge w:val="continue"/>
                  <w:vAlign w:val="center"/>
                </w:tcPr>
                <w:p w14:paraId="520AC1AC">
                  <w:pPr>
                    <w:adjustRightInd w:val="0"/>
                    <w:snapToGrid w:val="0"/>
                    <w:jc w:val="center"/>
                    <w:rPr>
                      <w:szCs w:val="21"/>
                    </w:rPr>
                  </w:pPr>
                </w:p>
              </w:tc>
            </w:tr>
            <w:tr w14:paraId="520AC1B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restart"/>
                  <w:vAlign w:val="center"/>
                </w:tcPr>
                <w:p w14:paraId="520AC1AE">
                  <w:pPr>
                    <w:jc w:val="center"/>
                    <w:rPr>
                      <w:szCs w:val="21"/>
                    </w:rPr>
                  </w:pPr>
                  <w:r>
                    <w:rPr>
                      <w:szCs w:val="21"/>
                    </w:rPr>
                    <w:t>大气环</w:t>
                  </w:r>
                  <w:r>
                    <w:rPr>
                      <w:rFonts w:hint="eastAsia"/>
                      <w:szCs w:val="21"/>
                    </w:rPr>
                    <w:t>境</w:t>
                  </w:r>
                </w:p>
              </w:tc>
              <w:tc>
                <w:tcPr>
                  <w:tcW w:w="574" w:type="dxa"/>
                  <w:vAlign w:val="center"/>
                </w:tcPr>
                <w:p w14:paraId="520AC1AF">
                  <w:pPr>
                    <w:adjustRightInd w:val="0"/>
                    <w:snapToGrid w:val="0"/>
                    <w:jc w:val="center"/>
                    <w:rPr>
                      <w:szCs w:val="21"/>
                    </w:rPr>
                  </w:pPr>
                  <w:r>
                    <w:rPr>
                      <w:rFonts w:hint="eastAsia"/>
                      <w:szCs w:val="21"/>
                    </w:rPr>
                    <w:t>1</w:t>
                  </w:r>
                </w:p>
              </w:tc>
              <w:tc>
                <w:tcPr>
                  <w:tcW w:w="1579" w:type="dxa"/>
                  <w:vAlign w:val="center"/>
                </w:tcPr>
                <w:p w14:paraId="520AC1B0">
                  <w:pPr>
                    <w:adjustRightInd w:val="0"/>
                    <w:snapToGrid w:val="0"/>
                    <w:jc w:val="center"/>
                    <w:rPr>
                      <w:szCs w:val="21"/>
                    </w:rPr>
                  </w:pPr>
                  <w:r>
                    <w:rPr>
                      <w:rFonts w:hint="eastAsia"/>
                      <w:szCs w:val="21"/>
                    </w:rPr>
                    <w:t>锦宏光耀城</w:t>
                  </w:r>
                </w:p>
              </w:tc>
              <w:tc>
                <w:tcPr>
                  <w:tcW w:w="862" w:type="dxa"/>
                  <w:vAlign w:val="center"/>
                </w:tcPr>
                <w:p w14:paraId="520AC1B1">
                  <w:pPr>
                    <w:adjustRightInd w:val="0"/>
                    <w:snapToGrid w:val="0"/>
                    <w:jc w:val="center"/>
                    <w:rPr>
                      <w:szCs w:val="21"/>
                    </w:rPr>
                  </w:pPr>
                  <w:r>
                    <w:rPr>
                      <w:szCs w:val="21"/>
                    </w:rPr>
                    <w:t>居住区</w:t>
                  </w:r>
                </w:p>
              </w:tc>
              <w:tc>
                <w:tcPr>
                  <w:tcW w:w="770" w:type="dxa"/>
                  <w:vAlign w:val="center"/>
                </w:tcPr>
                <w:p w14:paraId="520AC1B2">
                  <w:pPr>
                    <w:jc w:val="center"/>
                    <w:rPr>
                      <w:szCs w:val="21"/>
                    </w:rPr>
                  </w:pPr>
                  <w:r>
                    <w:rPr>
                      <w:szCs w:val="21"/>
                    </w:rPr>
                    <w:t>居民</w:t>
                  </w:r>
                </w:p>
              </w:tc>
              <w:tc>
                <w:tcPr>
                  <w:tcW w:w="709" w:type="dxa"/>
                  <w:vAlign w:val="center"/>
                </w:tcPr>
                <w:p w14:paraId="520AC1B3">
                  <w:pPr>
                    <w:jc w:val="center"/>
                    <w:rPr>
                      <w:szCs w:val="21"/>
                    </w:rPr>
                  </w:pPr>
                  <w:r>
                    <w:rPr>
                      <w:rFonts w:hint="eastAsia"/>
                      <w:szCs w:val="21"/>
                    </w:rPr>
                    <w:t>西北</w:t>
                  </w:r>
                </w:p>
              </w:tc>
              <w:tc>
                <w:tcPr>
                  <w:tcW w:w="851" w:type="dxa"/>
                  <w:vAlign w:val="center"/>
                </w:tcPr>
                <w:p w14:paraId="520AC1B4">
                  <w:pPr>
                    <w:adjustRightInd w:val="0"/>
                    <w:snapToGrid w:val="0"/>
                    <w:jc w:val="center"/>
                    <w:rPr>
                      <w:szCs w:val="21"/>
                    </w:rPr>
                  </w:pPr>
                  <w:r>
                    <w:rPr>
                      <w:szCs w:val="21"/>
                    </w:rPr>
                    <w:t>488</w:t>
                  </w:r>
                </w:p>
              </w:tc>
              <w:tc>
                <w:tcPr>
                  <w:tcW w:w="2222" w:type="dxa"/>
                  <w:vMerge w:val="restart"/>
                  <w:vAlign w:val="center"/>
                </w:tcPr>
                <w:p w14:paraId="520AC1B5">
                  <w:pPr>
                    <w:adjustRightInd w:val="0"/>
                    <w:snapToGrid w:val="0"/>
                    <w:jc w:val="center"/>
                    <w:rPr>
                      <w:szCs w:val="21"/>
                    </w:rPr>
                  </w:pPr>
                  <w:r>
                    <w:rPr>
                      <w:szCs w:val="21"/>
                    </w:rPr>
                    <w:t>《环境</w:t>
                  </w:r>
                  <w:r>
                    <w:rPr>
                      <w:rFonts w:hint="eastAsia"/>
                      <w:szCs w:val="21"/>
                    </w:rPr>
                    <w:t>空</w:t>
                  </w:r>
                  <w:r>
                    <w:rPr>
                      <w:szCs w:val="21"/>
                    </w:rPr>
                    <w:t>气质量标准》（GB3095-2012）二级</w:t>
                  </w:r>
                </w:p>
              </w:tc>
            </w:tr>
            <w:tr w14:paraId="520AC1B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B7">
                  <w:pPr>
                    <w:jc w:val="center"/>
                    <w:rPr>
                      <w:szCs w:val="21"/>
                    </w:rPr>
                  </w:pPr>
                </w:p>
              </w:tc>
              <w:tc>
                <w:tcPr>
                  <w:tcW w:w="574" w:type="dxa"/>
                  <w:vAlign w:val="center"/>
                </w:tcPr>
                <w:p w14:paraId="520AC1B8">
                  <w:pPr>
                    <w:adjustRightInd w:val="0"/>
                    <w:snapToGrid w:val="0"/>
                    <w:jc w:val="center"/>
                    <w:rPr>
                      <w:szCs w:val="21"/>
                    </w:rPr>
                  </w:pPr>
                  <w:r>
                    <w:rPr>
                      <w:rFonts w:hint="eastAsia"/>
                      <w:szCs w:val="21"/>
                    </w:rPr>
                    <w:t>2</w:t>
                  </w:r>
                </w:p>
              </w:tc>
              <w:tc>
                <w:tcPr>
                  <w:tcW w:w="1579" w:type="dxa"/>
                  <w:vAlign w:val="center"/>
                </w:tcPr>
                <w:p w14:paraId="520AC1B9">
                  <w:pPr>
                    <w:adjustRightInd w:val="0"/>
                    <w:snapToGrid w:val="0"/>
                    <w:jc w:val="center"/>
                    <w:rPr>
                      <w:szCs w:val="21"/>
                    </w:rPr>
                  </w:pPr>
                  <w:r>
                    <w:rPr>
                      <w:rFonts w:hint="eastAsia"/>
                      <w:szCs w:val="21"/>
                    </w:rPr>
                    <w:t>利民家属院</w:t>
                  </w:r>
                </w:p>
              </w:tc>
              <w:tc>
                <w:tcPr>
                  <w:tcW w:w="862" w:type="dxa"/>
                  <w:vAlign w:val="center"/>
                </w:tcPr>
                <w:p w14:paraId="520AC1BA">
                  <w:pPr>
                    <w:adjustRightInd w:val="0"/>
                    <w:snapToGrid w:val="0"/>
                    <w:jc w:val="center"/>
                    <w:rPr>
                      <w:szCs w:val="21"/>
                    </w:rPr>
                  </w:pPr>
                  <w:r>
                    <w:rPr>
                      <w:szCs w:val="21"/>
                    </w:rPr>
                    <w:t>居住区</w:t>
                  </w:r>
                </w:p>
              </w:tc>
              <w:tc>
                <w:tcPr>
                  <w:tcW w:w="770" w:type="dxa"/>
                  <w:vAlign w:val="center"/>
                </w:tcPr>
                <w:p w14:paraId="520AC1BB">
                  <w:pPr>
                    <w:jc w:val="center"/>
                    <w:rPr>
                      <w:szCs w:val="21"/>
                    </w:rPr>
                  </w:pPr>
                  <w:r>
                    <w:rPr>
                      <w:szCs w:val="21"/>
                    </w:rPr>
                    <w:t>居民</w:t>
                  </w:r>
                </w:p>
              </w:tc>
              <w:tc>
                <w:tcPr>
                  <w:tcW w:w="709" w:type="dxa"/>
                  <w:vAlign w:val="center"/>
                </w:tcPr>
                <w:p w14:paraId="520AC1BC">
                  <w:pPr>
                    <w:jc w:val="center"/>
                    <w:rPr>
                      <w:szCs w:val="21"/>
                    </w:rPr>
                  </w:pPr>
                  <w:r>
                    <w:rPr>
                      <w:rFonts w:hint="eastAsia"/>
                      <w:szCs w:val="21"/>
                    </w:rPr>
                    <w:t>西北</w:t>
                  </w:r>
                </w:p>
              </w:tc>
              <w:tc>
                <w:tcPr>
                  <w:tcW w:w="851" w:type="dxa"/>
                  <w:vAlign w:val="center"/>
                </w:tcPr>
                <w:p w14:paraId="520AC1BD">
                  <w:pPr>
                    <w:adjustRightInd w:val="0"/>
                    <w:snapToGrid w:val="0"/>
                    <w:jc w:val="center"/>
                    <w:rPr>
                      <w:szCs w:val="21"/>
                    </w:rPr>
                  </w:pPr>
                  <w:r>
                    <w:rPr>
                      <w:szCs w:val="21"/>
                    </w:rPr>
                    <w:t>220</w:t>
                  </w:r>
                </w:p>
              </w:tc>
              <w:tc>
                <w:tcPr>
                  <w:tcW w:w="2222" w:type="dxa"/>
                  <w:vMerge w:val="continue"/>
                  <w:vAlign w:val="center"/>
                </w:tcPr>
                <w:p w14:paraId="520AC1BE">
                  <w:pPr>
                    <w:adjustRightInd w:val="0"/>
                    <w:snapToGrid w:val="0"/>
                    <w:jc w:val="center"/>
                    <w:rPr>
                      <w:szCs w:val="21"/>
                    </w:rPr>
                  </w:pPr>
                </w:p>
              </w:tc>
            </w:tr>
            <w:tr w14:paraId="520AC1C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C0">
                  <w:pPr>
                    <w:jc w:val="center"/>
                    <w:rPr>
                      <w:szCs w:val="21"/>
                    </w:rPr>
                  </w:pPr>
                </w:p>
              </w:tc>
              <w:tc>
                <w:tcPr>
                  <w:tcW w:w="574" w:type="dxa"/>
                  <w:vAlign w:val="center"/>
                </w:tcPr>
                <w:p w14:paraId="520AC1C1">
                  <w:pPr>
                    <w:adjustRightInd w:val="0"/>
                    <w:snapToGrid w:val="0"/>
                    <w:jc w:val="center"/>
                    <w:rPr>
                      <w:szCs w:val="21"/>
                    </w:rPr>
                  </w:pPr>
                  <w:r>
                    <w:rPr>
                      <w:rFonts w:hint="eastAsia"/>
                      <w:szCs w:val="21"/>
                    </w:rPr>
                    <w:t>3</w:t>
                  </w:r>
                </w:p>
              </w:tc>
              <w:tc>
                <w:tcPr>
                  <w:tcW w:w="1579" w:type="dxa"/>
                  <w:vAlign w:val="center"/>
                </w:tcPr>
                <w:p w14:paraId="520AC1C2">
                  <w:pPr>
                    <w:adjustRightInd w:val="0"/>
                    <w:snapToGrid w:val="0"/>
                    <w:jc w:val="center"/>
                    <w:rPr>
                      <w:szCs w:val="21"/>
                    </w:rPr>
                  </w:pPr>
                  <w:r>
                    <w:rPr>
                      <w:rFonts w:hint="eastAsia"/>
                      <w:szCs w:val="21"/>
                    </w:rPr>
                    <w:t>新电局后家属院</w:t>
                  </w:r>
                </w:p>
              </w:tc>
              <w:tc>
                <w:tcPr>
                  <w:tcW w:w="862" w:type="dxa"/>
                  <w:vAlign w:val="center"/>
                </w:tcPr>
                <w:p w14:paraId="520AC1C3">
                  <w:pPr>
                    <w:adjustRightInd w:val="0"/>
                    <w:snapToGrid w:val="0"/>
                    <w:jc w:val="center"/>
                    <w:rPr>
                      <w:szCs w:val="21"/>
                    </w:rPr>
                  </w:pPr>
                  <w:r>
                    <w:rPr>
                      <w:szCs w:val="21"/>
                    </w:rPr>
                    <w:t>居住区</w:t>
                  </w:r>
                </w:p>
              </w:tc>
              <w:tc>
                <w:tcPr>
                  <w:tcW w:w="770" w:type="dxa"/>
                  <w:vAlign w:val="center"/>
                </w:tcPr>
                <w:p w14:paraId="520AC1C4">
                  <w:pPr>
                    <w:jc w:val="center"/>
                    <w:rPr>
                      <w:szCs w:val="21"/>
                    </w:rPr>
                  </w:pPr>
                  <w:r>
                    <w:rPr>
                      <w:szCs w:val="21"/>
                    </w:rPr>
                    <w:t>居民</w:t>
                  </w:r>
                </w:p>
              </w:tc>
              <w:tc>
                <w:tcPr>
                  <w:tcW w:w="709" w:type="dxa"/>
                  <w:vAlign w:val="center"/>
                </w:tcPr>
                <w:p w14:paraId="520AC1C5">
                  <w:pPr>
                    <w:jc w:val="center"/>
                    <w:rPr>
                      <w:szCs w:val="21"/>
                    </w:rPr>
                  </w:pPr>
                  <w:r>
                    <w:rPr>
                      <w:rFonts w:hint="eastAsia"/>
                      <w:szCs w:val="21"/>
                    </w:rPr>
                    <w:t>北</w:t>
                  </w:r>
                </w:p>
              </w:tc>
              <w:tc>
                <w:tcPr>
                  <w:tcW w:w="851" w:type="dxa"/>
                  <w:vAlign w:val="center"/>
                </w:tcPr>
                <w:p w14:paraId="520AC1C6">
                  <w:pPr>
                    <w:adjustRightInd w:val="0"/>
                    <w:snapToGrid w:val="0"/>
                    <w:jc w:val="center"/>
                    <w:rPr>
                      <w:szCs w:val="21"/>
                    </w:rPr>
                  </w:pPr>
                  <w:r>
                    <w:rPr>
                      <w:szCs w:val="21"/>
                    </w:rPr>
                    <w:t>302</w:t>
                  </w:r>
                </w:p>
              </w:tc>
              <w:tc>
                <w:tcPr>
                  <w:tcW w:w="2222" w:type="dxa"/>
                  <w:vMerge w:val="continue"/>
                  <w:vAlign w:val="center"/>
                </w:tcPr>
                <w:p w14:paraId="520AC1C7">
                  <w:pPr>
                    <w:adjustRightInd w:val="0"/>
                    <w:snapToGrid w:val="0"/>
                    <w:jc w:val="center"/>
                    <w:rPr>
                      <w:szCs w:val="21"/>
                    </w:rPr>
                  </w:pPr>
                </w:p>
              </w:tc>
            </w:tr>
            <w:tr w14:paraId="520AC1D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C9">
                  <w:pPr>
                    <w:jc w:val="center"/>
                    <w:rPr>
                      <w:szCs w:val="21"/>
                    </w:rPr>
                  </w:pPr>
                </w:p>
              </w:tc>
              <w:tc>
                <w:tcPr>
                  <w:tcW w:w="574" w:type="dxa"/>
                  <w:vAlign w:val="center"/>
                </w:tcPr>
                <w:p w14:paraId="520AC1CA">
                  <w:pPr>
                    <w:adjustRightInd w:val="0"/>
                    <w:snapToGrid w:val="0"/>
                    <w:jc w:val="center"/>
                    <w:rPr>
                      <w:szCs w:val="21"/>
                    </w:rPr>
                  </w:pPr>
                  <w:r>
                    <w:rPr>
                      <w:rFonts w:hint="eastAsia"/>
                      <w:szCs w:val="21"/>
                    </w:rPr>
                    <w:t>4</w:t>
                  </w:r>
                </w:p>
              </w:tc>
              <w:tc>
                <w:tcPr>
                  <w:tcW w:w="1579" w:type="dxa"/>
                  <w:vAlign w:val="center"/>
                </w:tcPr>
                <w:p w14:paraId="520AC1CB">
                  <w:pPr>
                    <w:adjustRightInd w:val="0"/>
                    <w:snapToGrid w:val="0"/>
                    <w:jc w:val="center"/>
                    <w:rPr>
                      <w:szCs w:val="21"/>
                    </w:rPr>
                  </w:pPr>
                  <w:r>
                    <w:rPr>
                      <w:rFonts w:hint="eastAsia"/>
                      <w:szCs w:val="21"/>
                    </w:rPr>
                    <w:t>新乡市第十三中学</w:t>
                  </w:r>
                </w:p>
              </w:tc>
              <w:tc>
                <w:tcPr>
                  <w:tcW w:w="862" w:type="dxa"/>
                  <w:vAlign w:val="center"/>
                </w:tcPr>
                <w:p w14:paraId="520AC1CC">
                  <w:pPr>
                    <w:adjustRightInd w:val="0"/>
                    <w:snapToGrid w:val="0"/>
                    <w:jc w:val="center"/>
                    <w:rPr>
                      <w:szCs w:val="21"/>
                    </w:rPr>
                  </w:pPr>
                  <w:r>
                    <w:rPr>
                      <w:szCs w:val="21"/>
                    </w:rPr>
                    <w:t>学校</w:t>
                  </w:r>
                </w:p>
              </w:tc>
              <w:tc>
                <w:tcPr>
                  <w:tcW w:w="770" w:type="dxa"/>
                  <w:vAlign w:val="center"/>
                </w:tcPr>
                <w:p w14:paraId="520AC1CD">
                  <w:pPr>
                    <w:jc w:val="center"/>
                    <w:rPr>
                      <w:szCs w:val="21"/>
                    </w:rPr>
                  </w:pPr>
                  <w:r>
                    <w:rPr>
                      <w:szCs w:val="21"/>
                    </w:rPr>
                    <w:t>学生及教职工</w:t>
                  </w:r>
                </w:p>
              </w:tc>
              <w:tc>
                <w:tcPr>
                  <w:tcW w:w="709" w:type="dxa"/>
                  <w:vAlign w:val="center"/>
                </w:tcPr>
                <w:p w14:paraId="520AC1CE">
                  <w:pPr>
                    <w:jc w:val="center"/>
                    <w:rPr>
                      <w:szCs w:val="21"/>
                    </w:rPr>
                  </w:pPr>
                  <w:r>
                    <w:rPr>
                      <w:rFonts w:hint="eastAsia"/>
                      <w:szCs w:val="21"/>
                    </w:rPr>
                    <w:t>北</w:t>
                  </w:r>
                </w:p>
              </w:tc>
              <w:tc>
                <w:tcPr>
                  <w:tcW w:w="851" w:type="dxa"/>
                  <w:vAlign w:val="center"/>
                </w:tcPr>
                <w:p w14:paraId="520AC1CF">
                  <w:pPr>
                    <w:adjustRightInd w:val="0"/>
                    <w:snapToGrid w:val="0"/>
                    <w:jc w:val="center"/>
                    <w:rPr>
                      <w:szCs w:val="21"/>
                    </w:rPr>
                  </w:pPr>
                  <w:r>
                    <w:rPr>
                      <w:szCs w:val="21"/>
                    </w:rPr>
                    <w:t>390</w:t>
                  </w:r>
                </w:p>
              </w:tc>
              <w:tc>
                <w:tcPr>
                  <w:tcW w:w="2222" w:type="dxa"/>
                  <w:vMerge w:val="continue"/>
                  <w:vAlign w:val="center"/>
                </w:tcPr>
                <w:p w14:paraId="520AC1D0">
                  <w:pPr>
                    <w:adjustRightInd w:val="0"/>
                    <w:snapToGrid w:val="0"/>
                    <w:jc w:val="center"/>
                    <w:rPr>
                      <w:szCs w:val="21"/>
                    </w:rPr>
                  </w:pPr>
                </w:p>
              </w:tc>
            </w:tr>
            <w:tr w14:paraId="520AC1D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D2">
                  <w:pPr>
                    <w:jc w:val="center"/>
                    <w:rPr>
                      <w:szCs w:val="21"/>
                    </w:rPr>
                  </w:pPr>
                </w:p>
              </w:tc>
              <w:tc>
                <w:tcPr>
                  <w:tcW w:w="574" w:type="dxa"/>
                  <w:vAlign w:val="center"/>
                </w:tcPr>
                <w:p w14:paraId="520AC1D3">
                  <w:pPr>
                    <w:adjustRightInd w:val="0"/>
                    <w:snapToGrid w:val="0"/>
                    <w:jc w:val="center"/>
                    <w:rPr>
                      <w:szCs w:val="21"/>
                    </w:rPr>
                  </w:pPr>
                  <w:r>
                    <w:rPr>
                      <w:rFonts w:hint="eastAsia"/>
                      <w:szCs w:val="21"/>
                    </w:rPr>
                    <w:t>5</w:t>
                  </w:r>
                </w:p>
              </w:tc>
              <w:tc>
                <w:tcPr>
                  <w:tcW w:w="1579" w:type="dxa"/>
                  <w:vAlign w:val="center"/>
                </w:tcPr>
                <w:p w14:paraId="520AC1D4">
                  <w:pPr>
                    <w:adjustRightInd w:val="0"/>
                    <w:snapToGrid w:val="0"/>
                    <w:jc w:val="center"/>
                    <w:rPr>
                      <w:szCs w:val="21"/>
                    </w:rPr>
                  </w:pPr>
                  <w:r>
                    <w:rPr>
                      <w:rFonts w:hint="eastAsia"/>
                      <w:szCs w:val="21"/>
                    </w:rPr>
                    <w:t>牧野区第二实验小学</w:t>
                  </w:r>
                </w:p>
              </w:tc>
              <w:tc>
                <w:tcPr>
                  <w:tcW w:w="862" w:type="dxa"/>
                  <w:vAlign w:val="center"/>
                </w:tcPr>
                <w:p w14:paraId="520AC1D5">
                  <w:pPr>
                    <w:adjustRightInd w:val="0"/>
                    <w:snapToGrid w:val="0"/>
                    <w:jc w:val="center"/>
                    <w:rPr>
                      <w:szCs w:val="21"/>
                    </w:rPr>
                  </w:pPr>
                  <w:r>
                    <w:rPr>
                      <w:szCs w:val="21"/>
                    </w:rPr>
                    <w:t>学校</w:t>
                  </w:r>
                </w:p>
              </w:tc>
              <w:tc>
                <w:tcPr>
                  <w:tcW w:w="770" w:type="dxa"/>
                  <w:vAlign w:val="center"/>
                </w:tcPr>
                <w:p w14:paraId="520AC1D6">
                  <w:pPr>
                    <w:jc w:val="center"/>
                    <w:rPr>
                      <w:szCs w:val="21"/>
                    </w:rPr>
                  </w:pPr>
                  <w:r>
                    <w:rPr>
                      <w:szCs w:val="21"/>
                    </w:rPr>
                    <w:t>学生及教职工</w:t>
                  </w:r>
                </w:p>
              </w:tc>
              <w:tc>
                <w:tcPr>
                  <w:tcW w:w="709" w:type="dxa"/>
                  <w:vAlign w:val="center"/>
                </w:tcPr>
                <w:p w14:paraId="520AC1D7">
                  <w:pPr>
                    <w:jc w:val="center"/>
                    <w:rPr>
                      <w:szCs w:val="21"/>
                    </w:rPr>
                  </w:pPr>
                  <w:r>
                    <w:rPr>
                      <w:rFonts w:hint="eastAsia"/>
                      <w:szCs w:val="21"/>
                    </w:rPr>
                    <w:t>东北</w:t>
                  </w:r>
                </w:p>
              </w:tc>
              <w:tc>
                <w:tcPr>
                  <w:tcW w:w="851" w:type="dxa"/>
                  <w:vAlign w:val="center"/>
                </w:tcPr>
                <w:p w14:paraId="520AC1D8">
                  <w:pPr>
                    <w:adjustRightInd w:val="0"/>
                    <w:snapToGrid w:val="0"/>
                    <w:jc w:val="center"/>
                    <w:rPr>
                      <w:szCs w:val="21"/>
                    </w:rPr>
                  </w:pPr>
                  <w:r>
                    <w:rPr>
                      <w:szCs w:val="21"/>
                    </w:rPr>
                    <w:t>395</w:t>
                  </w:r>
                </w:p>
              </w:tc>
              <w:tc>
                <w:tcPr>
                  <w:tcW w:w="2222" w:type="dxa"/>
                  <w:vMerge w:val="continue"/>
                  <w:vAlign w:val="center"/>
                </w:tcPr>
                <w:p w14:paraId="520AC1D9">
                  <w:pPr>
                    <w:adjustRightInd w:val="0"/>
                    <w:snapToGrid w:val="0"/>
                    <w:jc w:val="center"/>
                    <w:rPr>
                      <w:szCs w:val="21"/>
                    </w:rPr>
                  </w:pPr>
                </w:p>
              </w:tc>
            </w:tr>
            <w:tr w14:paraId="520AC1E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DB">
                  <w:pPr>
                    <w:jc w:val="center"/>
                    <w:rPr>
                      <w:szCs w:val="21"/>
                    </w:rPr>
                  </w:pPr>
                </w:p>
              </w:tc>
              <w:tc>
                <w:tcPr>
                  <w:tcW w:w="574" w:type="dxa"/>
                  <w:vAlign w:val="center"/>
                </w:tcPr>
                <w:p w14:paraId="520AC1DC">
                  <w:pPr>
                    <w:adjustRightInd w:val="0"/>
                    <w:snapToGrid w:val="0"/>
                    <w:jc w:val="center"/>
                    <w:rPr>
                      <w:szCs w:val="21"/>
                    </w:rPr>
                  </w:pPr>
                  <w:r>
                    <w:rPr>
                      <w:rFonts w:hint="eastAsia"/>
                      <w:szCs w:val="21"/>
                    </w:rPr>
                    <w:t>6</w:t>
                  </w:r>
                </w:p>
              </w:tc>
              <w:tc>
                <w:tcPr>
                  <w:tcW w:w="1579" w:type="dxa"/>
                  <w:vAlign w:val="center"/>
                </w:tcPr>
                <w:p w14:paraId="520AC1DD">
                  <w:pPr>
                    <w:adjustRightInd w:val="0"/>
                    <w:snapToGrid w:val="0"/>
                    <w:jc w:val="center"/>
                    <w:rPr>
                      <w:szCs w:val="21"/>
                    </w:rPr>
                  </w:pPr>
                  <w:r>
                    <w:rPr>
                      <w:rFonts w:hint="eastAsia"/>
                      <w:szCs w:val="21"/>
                    </w:rPr>
                    <w:t>7</w:t>
                  </w:r>
                  <w:r>
                    <w:rPr>
                      <w:szCs w:val="21"/>
                    </w:rPr>
                    <w:t>06</w:t>
                  </w:r>
                  <w:r>
                    <w:rPr>
                      <w:rFonts w:hint="eastAsia"/>
                      <w:szCs w:val="21"/>
                    </w:rPr>
                    <w:t>厂等家属院</w:t>
                  </w:r>
                </w:p>
              </w:tc>
              <w:tc>
                <w:tcPr>
                  <w:tcW w:w="862" w:type="dxa"/>
                  <w:vAlign w:val="center"/>
                </w:tcPr>
                <w:p w14:paraId="520AC1DE">
                  <w:pPr>
                    <w:adjustRightInd w:val="0"/>
                    <w:snapToGrid w:val="0"/>
                    <w:jc w:val="center"/>
                    <w:rPr>
                      <w:szCs w:val="21"/>
                    </w:rPr>
                  </w:pPr>
                  <w:r>
                    <w:rPr>
                      <w:szCs w:val="21"/>
                    </w:rPr>
                    <w:t>居住区</w:t>
                  </w:r>
                </w:p>
              </w:tc>
              <w:tc>
                <w:tcPr>
                  <w:tcW w:w="770" w:type="dxa"/>
                  <w:vAlign w:val="center"/>
                </w:tcPr>
                <w:p w14:paraId="520AC1DF">
                  <w:pPr>
                    <w:jc w:val="center"/>
                    <w:rPr>
                      <w:szCs w:val="21"/>
                    </w:rPr>
                  </w:pPr>
                  <w:r>
                    <w:rPr>
                      <w:szCs w:val="21"/>
                    </w:rPr>
                    <w:t>居民</w:t>
                  </w:r>
                </w:p>
              </w:tc>
              <w:tc>
                <w:tcPr>
                  <w:tcW w:w="709" w:type="dxa"/>
                  <w:vAlign w:val="center"/>
                </w:tcPr>
                <w:p w14:paraId="520AC1E0">
                  <w:pPr>
                    <w:jc w:val="center"/>
                    <w:rPr>
                      <w:szCs w:val="21"/>
                    </w:rPr>
                  </w:pPr>
                  <w:r>
                    <w:rPr>
                      <w:rFonts w:hint="eastAsia"/>
                      <w:szCs w:val="21"/>
                    </w:rPr>
                    <w:t>东北</w:t>
                  </w:r>
                </w:p>
              </w:tc>
              <w:tc>
                <w:tcPr>
                  <w:tcW w:w="851" w:type="dxa"/>
                  <w:vAlign w:val="center"/>
                </w:tcPr>
                <w:p w14:paraId="520AC1E1">
                  <w:pPr>
                    <w:adjustRightInd w:val="0"/>
                    <w:snapToGrid w:val="0"/>
                    <w:jc w:val="center"/>
                    <w:rPr>
                      <w:szCs w:val="21"/>
                    </w:rPr>
                  </w:pPr>
                  <w:r>
                    <w:rPr>
                      <w:szCs w:val="21"/>
                    </w:rPr>
                    <w:t>415</w:t>
                  </w:r>
                </w:p>
              </w:tc>
              <w:tc>
                <w:tcPr>
                  <w:tcW w:w="2222" w:type="dxa"/>
                  <w:vMerge w:val="continue"/>
                  <w:vAlign w:val="center"/>
                </w:tcPr>
                <w:p w14:paraId="520AC1E2">
                  <w:pPr>
                    <w:adjustRightInd w:val="0"/>
                    <w:snapToGrid w:val="0"/>
                    <w:jc w:val="center"/>
                    <w:rPr>
                      <w:szCs w:val="21"/>
                    </w:rPr>
                  </w:pPr>
                </w:p>
              </w:tc>
            </w:tr>
            <w:tr w14:paraId="520AC1E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E4">
                  <w:pPr>
                    <w:jc w:val="center"/>
                    <w:rPr>
                      <w:szCs w:val="21"/>
                    </w:rPr>
                  </w:pPr>
                </w:p>
              </w:tc>
              <w:tc>
                <w:tcPr>
                  <w:tcW w:w="574" w:type="dxa"/>
                  <w:vAlign w:val="center"/>
                </w:tcPr>
                <w:p w14:paraId="520AC1E5">
                  <w:pPr>
                    <w:adjustRightInd w:val="0"/>
                    <w:snapToGrid w:val="0"/>
                    <w:jc w:val="center"/>
                    <w:rPr>
                      <w:szCs w:val="21"/>
                    </w:rPr>
                  </w:pPr>
                  <w:r>
                    <w:rPr>
                      <w:rFonts w:hint="eastAsia"/>
                      <w:szCs w:val="21"/>
                    </w:rPr>
                    <w:t>7</w:t>
                  </w:r>
                </w:p>
              </w:tc>
              <w:tc>
                <w:tcPr>
                  <w:tcW w:w="1579" w:type="dxa"/>
                  <w:vAlign w:val="center"/>
                </w:tcPr>
                <w:p w14:paraId="520AC1E6">
                  <w:pPr>
                    <w:adjustRightInd w:val="0"/>
                    <w:snapToGrid w:val="0"/>
                    <w:jc w:val="center"/>
                    <w:rPr>
                      <w:szCs w:val="21"/>
                    </w:rPr>
                  </w:pPr>
                  <w:r>
                    <w:rPr>
                      <w:rFonts w:hint="eastAsia"/>
                      <w:szCs w:val="21"/>
                    </w:rPr>
                    <w:t>新乡供电公司</w:t>
                  </w:r>
                </w:p>
              </w:tc>
              <w:tc>
                <w:tcPr>
                  <w:tcW w:w="862" w:type="dxa"/>
                  <w:vAlign w:val="center"/>
                </w:tcPr>
                <w:p w14:paraId="520AC1E7">
                  <w:pPr>
                    <w:adjustRightInd w:val="0"/>
                    <w:snapToGrid w:val="0"/>
                    <w:jc w:val="center"/>
                    <w:rPr>
                      <w:szCs w:val="21"/>
                    </w:rPr>
                  </w:pPr>
                  <w:r>
                    <w:rPr>
                      <w:rFonts w:hint="eastAsia"/>
                      <w:szCs w:val="21"/>
                    </w:rPr>
                    <w:t>企业</w:t>
                  </w:r>
                </w:p>
              </w:tc>
              <w:tc>
                <w:tcPr>
                  <w:tcW w:w="770" w:type="dxa"/>
                  <w:vAlign w:val="center"/>
                </w:tcPr>
                <w:p w14:paraId="520AC1E8">
                  <w:pPr>
                    <w:jc w:val="center"/>
                    <w:rPr>
                      <w:szCs w:val="21"/>
                    </w:rPr>
                  </w:pPr>
                  <w:r>
                    <w:rPr>
                      <w:rFonts w:hint="eastAsia"/>
                      <w:szCs w:val="21"/>
                    </w:rPr>
                    <w:t>职工</w:t>
                  </w:r>
                </w:p>
              </w:tc>
              <w:tc>
                <w:tcPr>
                  <w:tcW w:w="709" w:type="dxa"/>
                  <w:vAlign w:val="center"/>
                </w:tcPr>
                <w:p w14:paraId="520AC1E9">
                  <w:pPr>
                    <w:jc w:val="center"/>
                    <w:rPr>
                      <w:szCs w:val="21"/>
                    </w:rPr>
                  </w:pPr>
                  <w:r>
                    <w:rPr>
                      <w:rFonts w:hint="eastAsia"/>
                      <w:szCs w:val="21"/>
                    </w:rPr>
                    <w:t>西北</w:t>
                  </w:r>
                </w:p>
              </w:tc>
              <w:tc>
                <w:tcPr>
                  <w:tcW w:w="851" w:type="dxa"/>
                  <w:vAlign w:val="center"/>
                </w:tcPr>
                <w:p w14:paraId="520AC1EA">
                  <w:pPr>
                    <w:adjustRightInd w:val="0"/>
                    <w:snapToGrid w:val="0"/>
                    <w:jc w:val="center"/>
                    <w:rPr>
                      <w:szCs w:val="21"/>
                    </w:rPr>
                  </w:pPr>
                  <w:r>
                    <w:rPr>
                      <w:rFonts w:hint="eastAsia"/>
                      <w:szCs w:val="21"/>
                    </w:rPr>
                    <w:t>6</w:t>
                  </w:r>
                  <w:r>
                    <w:rPr>
                      <w:szCs w:val="21"/>
                    </w:rPr>
                    <w:t>8</w:t>
                  </w:r>
                </w:p>
              </w:tc>
              <w:tc>
                <w:tcPr>
                  <w:tcW w:w="2222" w:type="dxa"/>
                  <w:vMerge w:val="continue"/>
                  <w:vAlign w:val="center"/>
                </w:tcPr>
                <w:p w14:paraId="520AC1EB">
                  <w:pPr>
                    <w:adjustRightInd w:val="0"/>
                    <w:snapToGrid w:val="0"/>
                    <w:jc w:val="center"/>
                    <w:rPr>
                      <w:szCs w:val="21"/>
                    </w:rPr>
                  </w:pPr>
                </w:p>
              </w:tc>
            </w:tr>
            <w:tr w14:paraId="520AC1F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ED">
                  <w:pPr>
                    <w:jc w:val="center"/>
                    <w:rPr>
                      <w:szCs w:val="21"/>
                    </w:rPr>
                  </w:pPr>
                </w:p>
              </w:tc>
              <w:tc>
                <w:tcPr>
                  <w:tcW w:w="574" w:type="dxa"/>
                  <w:vAlign w:val="center"/>
                </w:tcPr>
                <w:p w14:paraId="520AC1EE">
                  <w:pPr>
                    <w:adjustRightInd w:val="0"/>
                    <w:snapToGrid w:val="0"/>
                    <w:jc w:val="center"/>
                    <w:rPr>
                      <w:szCs w:val="21"/>
                    </w:rPr>
                  </w:pPr>
                  <w:r>
                    <w:rPr>
                      <w:rFonts w:hint="eastAsia"/>
                      <w:szCs w:val="21"/>
                    </w:rPr>
                    <w:t>8</w:t>
                  </w:r>
                </w:p>
              </w:tc>
              <w:tc>
                <w:tcPr>
                  <w:tcW w:w="1579" w:type="dxa"/>
                  <w:vAlign w:val="center"/>
                </w:tcPr>
                <w:p w14:paraId="520AC1EF">
                  <w:pPr>
                    <w:adjustRightInd w:val="0"/>
                    <w:snapToGrid w:val="0"/>
                    <w:jc w:val="center"/>
                    <w:rPr>
                      <w:szCs w:val="21"/>
                    </w:rPr>
                  </w:pPr>
                  <w:r>
                    <w:rPr>
                      <w:rFonts w:hint="eastAsia"/>
                      <w:szCs w:val="21"/>
                    </w:rPr>
                    <w:t>解放大道小学</w:t>
                  </w:r>
                </w:p>
              </w:tc>
              <w:tc>
                <w:tcPr>
                  <w:tcW w:w="862" w:type="dxa"/>
                  <w:vAlign w:val="center"/>
                </w:tcPr>
                <w:p w14:paraId="520AC1F0">
                  <w:pPr>
                    <w:adjustRightInd w:val="0"/>
                    <w:snapToGrid w:val="0"/>
                    <w:jc w:val="center"/>
                    <w:rPr>
                      <w:szCs w:val="21"/>
                    </w:rPr>
                  </w:pPr>
                  <w:r>
                    <w:rPr>
                      <w:szCs w:val="21"/>
                    </w:rPr>
                    <w:t>学校</w:t>
                  </w:r>
                </w:p>
              </w:tc>
              <w:tc>
                <w:tcPr>
                  <w:tcW w:w="770" w:type="dxa"/>
                  <w:vAlign w:val="center"/>
                </w:tcPr>
                <w:p w14:paraId="520AC1F1">
                  <w:pPr>
                    <w:jc w:val="center"/>
                    <w:rPr>
                      <w:szCs w:val="21"/>
                    </w:rPr>
                  </w:pPr>
                  <w:r>
                    <w:rPr>
                      <w:szCs w:val="21"/>
                    </w:rPr>
                    <w:t>学生及教职工</w:t>
                  </w:r>
                </w:p>
              </w:tc>
              <w:tc>
                <w:tcPr>
                  <w:tcW w:w="709" w:type="dxa"/>
                  <w:vAlign w:val="center"/>
                </w:tcPr>
                <w:p w14:paraId="520AC1F2">
                  <w:pPr>
                    <w:jc w:val="center"/>
                    <w:rPr>
                      <w:szCs w:val="21"/>
                    </w:rPr>
                  </w:pPr>
                  <w:r>
                    <w:rPr>
                      <w:rFonts w:hint="eastAsia"/>
                      <w:szCs w:val="21"/>
                    </w:rPr>
                    <w:t>北</w:t>
                  </w:r>
                </w:p>
              </w:tc>
              <w:tc>
                <w:tcPr>
                  <w:tcW w:w="851" w:type="dxa"/>
                  <w:vAlign w:val="center"/>
                </w:tcPr>
                <w:p w14:paraId="520AC1F3">
                  <w:pPr>
                    <w:adjustRightInd w:val="0"/>
                    <w:snapToGrid w:val="0"/>
                    <w:jc w:val="center"/>
                    <w:rPr>
                      <w:szCs w:val="21"/>
                    </w:rPr>
                  </w:pPr>
                  <w:r>
                    <w:rPr>
                      <w:szCs w:val="21"/>
                    </w:rPr>
                    <w:t>58</w:t>
                  </w:r>
                </w:p>
              </w:tc>
              <w:tc>
                <w:tcPr>
                  <w:tcW w:w="2222" w:type="dxa"/>
                  <w:vMerge w:val="continue"/>
                  <w:vAlign w:val="center"/>
                </w:tcPr>
                <w:p w14:paraId="520AC1F4">
                  <w:pPr>
                    <w:adjustRightInd w:val="0"/>
                    <w:snapToGrid w:val="0"/>
                    <w:jc w:val="center"/>
                    <w:rPr>
                      <w:szCs w:val="21"/>
                    </w:rPr>
                  </w:pPr>
                </w:p>
              </w:tc>
            </w:tr>
            <w:tr w14:paraId="520AC1F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F6">
                  <w:pPr>
                    <w:jc w:val="center"/>
                    <w:rPr>
                      <w:szCs w:val="21"/>
                    </w:rPr>
                  </w:pPr>
                </w:p>
              </w:tc>
              <w:tc>
                <w:tcPr>
                  <w:tcW w:w="574" w:type="dxa"/>
                  <w:vAlign w:val="center"/>
                </w:tcPr>
                <w:p w14:paraId="520AC1F7">
                  <w:pPr>
                    <w:adjustRightInd w:val="0"/>
                    <w:snapToGrid w:val="0"/>
                    <w:jc w:val="center"/>
                    <w:rPr>
                      <w:szCs w:val="21"/>
                    </w:rPr>
                  </w:pPr>
                  <w:r>
                    <w:rPr>
                      <w:rFonts w:hint="eastAsia"/>
                      <w:szCs w:val="21"/>
                    </w:rPr>
                    <w:t>9</w:t>
                  </w:r>
                </w:p>
              </w:tc>
              <w:tc>
                <w:tcPr>
                  <w:tcW w:w="1579" w:type="dxa"/>
                  <w:vAlign w:val="center"/>
                </w:tcPr>
                <w:p w14:paraId="520AC1F8">
                  <w:pPr>
                    <w:adjustRightInd w:val="0"/>
                    <w:snapToGrid w:val="0"/>
                    <w:jc w:val="center"/>
                    <w:rPr>
                      <w:szCs w:val="21"/>
                    </w:rPr>
                  </w:pPr>
                  <w:r>
                    <w:rPr>
                      <w:rFonts w:hint="eastAsia"/>
                      <w:szCs w:val="21"/>
                    </w:rPr>
                    <w:t>家属院区</w:t>
                  </w:r>
                </w:p>
              </w:tc>
              <w:tc>
                <w:tcPr>
                  <w:tcW w:w="862" w:type="dxa"/>
                  <w:vAlign w:val="center"/>
                </w:tcPr>
                <w:p w14:paraId="520AC1F9">
                  <w:pPr>
                    <w:adjustRightInd w:val="0"/>
                    <w:snapToGrid w:val="0"/>
                    <w:jc w:val="center"/>
                    <w:rPr>
                      <w:szCs w:val="21"/>
                    </w:rPr>
                  </w:pPr>
                  <w:r>
                    <w:rPr>
                      <w:szCs w:val="21"/>
                    </w:rPr>
                    <w:t>居住区</w:t>
                  </w:r>
                </w:p>
              </w:tc>
              <w:tc>
                <w:tcPr>
                  <w:tcW w:w="770" w:type="dxa"/>
                  <w:vAlign w:val="center"/>
                </w:tcPr>
                <w:p w14:paraId="520AC1FA">
                  <w:pPr>
                    <w:jc w:val="center"/>
                    <w:rPr>
                      <w:szCs w:val="21"/>
                    </w:rPr>
                  </w:pPr>
                  <w:r>
                    <w:rPr>
                      <w:szCs w:val="21"/>
                    </w:rPr>
                    <w:t>居民</w:t>
                  </w:r>
                </w:p>
              </w:tc>
              <w:tc>
                <w:tcPr>
                  <w:tcW w:w="709" w:type="dxa"/>
                  <w:vAlign w:val="center"/>
                </w:tcPr>
                <w:p w14:paraId="520AC1FB">
                  <w:pPr>
                    <w:jc w:val="center"/>
                    <w:rPr>
                      <w:szCs w:val="21"/>
                    </w:rPr>
                  </w:pPr>
                  <w:r>
                    <w:rPr>
                      <w:rFonts w:hint="eastAsia"/>
                      <w:szCs w:val="21"/>
                    </w:rPr>
                    <w:t>东北</w:t>
                  </w:r>
                </w:p>
              </w:tc>
              <w:tc>
                <w:tcPr>
                  <w:tcW w:w="851" w:type="dxa"/>
                  <w:vAlign w:val="center"/>
                </w:tcPr>
                <w:p w14:paraId="520AC1FC">
                  <w:pPr>
                    <w:adjustRightInd w:val="0"/>
                    <w:snapToGrid w:val="0"/>
                    <w:jc w:val="center"/>
                    <w:rPr>
                      <w:szCs w:val="21"/>
                    </w:rPr>
                  </w:pPr>
                  <w:r>
                    <w:rPr>
                      <w:szCs w:val="21"/>
                    </w:rPr>
                    <w:t>160</w:t>
                  </w:r>
                </w:p>
              </w:tc>
              <w:tc>
                <w:tcPr>
                  <w:tcW w:w="2222" w:type="dxa"/>
                  <w:vMerge w:val="continue"/>
                  <w:vAlign w:val="center"/>
                </w:tcPr>
                <w:p w14:paraId="520AC1FD">
                  <w:pPr>
                    <w:adjustRightInd w:val="0"/>
                    <w:snapToGrid w:val="0"/>
                    <w:jc w:val="center"/>
                    <w:rPr>
                      <w:szCs w:val="21"/>
                    </w:rPr>
                  </w:pPr>
                </w:p>
              </w:tc>
            </w:tr>
            <w:tr w14:paraId="520AC20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1FF">
                  <w:pPr>
                    <w:jc w:val="center"/>
                    <w:rPr>
                      <w:szCs w:val="21"/>
                    </w:rPr>
                  </w:pPr>
                </w:p>
              </w:tc>
              <w:tc>
                <w:tcPr>
                  <w:tcW w:w="574" w:type="dxa"/>
                  <w:vAlign w:val="center"/>
                </w:tcPr>
                <w:p w14:paraId="520AC200">
                  <w:pPr>
                    <w:adjustRightInd w:val="0"/>
                    <w:snapToGrid w:val="0"/>
                    <w:jc w:val="center"/>
                    <w:rPr>
                      <w:szCs w:val="21"/>
                    </w:rPr>
                  </w:pPr>
                  <w:r>
                    <w:rPr>
                      <w:rFonts w:hint="eastAsia"/>
                      <w:szCs w:val="21"/>
                    </w:rPr>
                    <w:t>10</w:t>
                  </w:r>
                </w:p>
              </w:tc>
              <w:tc>
                <w:tcPr>
                  <w:tcW w:w="1579" w:type="dxa"/>
                  <w:vAlign w:val="center"/>
                </w:tcPr>
                <w:p w14:paraId="520AC201">
                  <w:pPr>
                    <w:adjustRightInd w:val="0"/>
                    <w:snapToGrid w:val="0"/>
                    <w:jc w:val="center"/>
                    <w:rPr>
                      <w:szCs w:val="21"/>
                    </w:rPr>
                  </w:pPr>
                  <w:r>
                    <w:rPr>
                      <w:rFonts w:hint="eastAsia"/>
                      <w:szCs w:val="21"/>
                    </w:rPr>
                    <w:t>市建公司等家属院</w:t>
                  </w:r>
                </w:p>
              </w:tc>
              <w:tc>
                <w:tcPr>
                  <w:tcW w:w="862" w:type="dxa"/>
                  <w:vAlign w:val="center"/>
                </w:tcPr>
                <w:p w14:paraId="520AC202">
                  <w:pPr>
                    <w:adjustRightInd w:val="0"/>
                    <w:snapToGrid w:val="0"/>
                    <w:jc w:val="center"/>
                    <w:rPr>
                      <w:szCs w:val="21"/>
                    </w:rPr>
                  </w:pPr>
                  <w:r>
                    <w:rPr>
                      <w:szCs w:val="21"/>
                    </w:rPr>
                    <w:t>居住区</w:t>
                  </w:r>
                </w:p>
              </w:tc>
              <w:tc>
                <w:tcPr>
                  <w:tcW w:w="770" w:type="dxa"/>
                  <w:vAlign w:val="center"/>
                </w:tcPr>
                <w:p w14:paraId="520AC203">
                  <w:pPr>
                    <w:jc w:val="center"/>
                    <w:rPr>
                      <w:szCs w:val="21"/>
                    </w:rPr>
                  </w:pPr>
                  <w:r>
                    <w:rPr>
                      <w:szCs w:val="21"/>
                    </w:rPr>
                    <w:t>居民</w:t>
                  </w:r>
                </w:p>
              </w:tc>
              <w:tc>
                <w:tcPr>
                  <w:tcW w:w="709" w:type="dxa"/>
                  <w:vAlign w:val="center"/>
                </w:tcPr>
                <w:p w14:paraId="520AC204">
                  <w:pPr>
                    <w:jc w:val="center"/>
                    <w:rPr>
                      <w:szCs w:val="21"/>
                    </w:rPr>
                  </w:pPr>
                  <w:r>
                    <w:rPr>
                      <w:rFonts w:hint="eastAsia"/>
                      <w:szCs w:val="21"/>
                    </w:rPr>
                    <w:t>东北</w:t>
                  </w:r>
                </w:p>
              </w:tc>
              <w:tc>
                <w:tcPr>
                  <w:tcW w:w="851" w:type="dxa"/>
                  <w:vAlign w:val="center"/>
                </w:tcPr>
                <w:p w14:paraId="520AC205">
                  <w:pPr>
                    <w:adjustRightInd w:val="0"/>
                    <w:snapToGrid w:val="0"/>
                    <w:jc w:val="center"/>
                    <w:rPr>
                      <w:szCs w:val="21"/>
                    </w:rPr>
                  </w:pPr>
                  <w:r>
                    <w:rPr>
                      <w:szCs w:val="21"/>
                    </w:rPr>
                    <w:t>75</w:t>
                  </w:r>
                </w:p>
              </w:tc>
              <w:tc>
                <w:tcPr>
                  <w:tcW w:w="2222" w:type="dxa"/>
                  <w:vMerge w:val="continue"/>
                  <w:vAlign w:val="center"/>
                </w:tcPr>
                <w:p w14:paraId="520AC206">
                  <w:pPr>
                    <w:adjustRightInd w:val="0"/>
                    <w:snapToGrid w:val="0"/>
                    <w:jc w:val="center"/>
                    <w:rPr>
                      <w:szCs w:val="21"/>
                    </w:rPr>
                  </w:pPr>
                </w:p>
              </w:tc>
            </w:tr>
            <w:tr w14:paraId="520AC21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08">
                  <w:pPr>
                    <w:jc w:val="center"/>
                    <w:rPr>
                      <w:szCs w:val="21"/>
                    </w:rPr>
                  </w:pPr>
                </w:p>
              </w:tc>
              <w:tc>
                <w:tcPr>
                  <w:tcW w:w="574" w:type="dxa"/>
                  <w:vAlign w:val="center"/>
                </w:tcPr>
                <w:p w14:paraId="520AC209">
                  <w:pPr>
                    <w:adjustRightInd w:val="0"/>
                    <w:snapToGrid w:val="0"/>
                    <w:jc w:val="center"/>
                    <w:rPr>
                      <w:szCs w:val="21"/>
                    </w:rPr>
                  </w:pPr>
                  <w:r>
                    <w:rPr>
                      <w:rFonts w:hint="eastAsia"/>
                      <w:szCs w:val="21"/>
                    </w:rPr>
                    <w:t>1</w:t>
                  </w:r>
                  <w:r>
                    <w:rPr>
                      <w:szCs w:val="21"/>
                    </w:rPr>
                    <w:t>1</w:t>
                  </w:r>
                </w:p>
              </w:tc>
              <w:tc>
                <w:tcPr>
                  <w:tcW w:w="1579" w:type="dxa"/>
                  <w:vAlign w:val="center"/>
                </w:tcPr>
                <w:p w14:paraId="520AC20A">
                  <w:pPr>
                    <w:adjustRightInd w:val="0"/>
                    <w:snapToGrid w:val="0"/>
                    <w:jc w:val="center"/>
                    <w:rPr>
                      <w:szCs w:val="21"/>
                    </w:rPr>
                  </w:pPr>
                  <w:r>
                    <w:rPr>
                      <w:rFonts w:hint="eastAsia"/>
                      <w:szCs w:val="21"/>
                    </w:rPr>
                    <w:t>商场后街生活区</w:t>
                  </w:r>
                </w:p>
              </w:tc>
              <w:tc>
                <w:tcPr>
                  <w:tcW w:w="862" w:type="dxa"/>
                  <w:vAlign w:val="center"/>
                </w:tcPr>
                <w:p w14:paraId="520AC20B">
                  <w:pPr>
                    <w:adjustRightInd w:val="0"/>
                    <w:snapToGrid w:val="0"/>
                    <w:jc w:val="center"/>
                    <w:rPr>
                      <w:szCs w:val="21"/>
                    </w:rPr>
                  </w:pPr>
                  <w:r>
                    <w:rPr>
                      <w:szCs w:val="21"/>
                    </w:rPr>
                    <w:t>居住区</w:t>
                  </w:r>
                </w:p>
              </w:tc>
              <w:tc>
                <w:tcPr>
                  <w:tcW w:w="770" w:type="dxa"/>
                  <w:vAlign w:val="center"/>
                </w:tcPr>
                <w:p w14:paraId="520AC20C">
                  <w:pPr>
                    <w:jc w:val="center"/>
                    <w:rPr>
                      <w:szCs w:val="21"/>
                    </w:rPr>
                  </w:pPr>
                  <w:r>
                    <w:rPr>
                      <w:szCs w:val="21"/>
                    </w:rPr>
                    <w:t>居民</w:t>
                  </w:r>
                </w:p>
              </w:tc>
              <w:tc>
                <w:tcPr>
                  <w:tcW w:w="709" w:type="dxa"/>
                  <w:vAlign w:val="center"/>
                </w:tcPr>
                <w:p w14:paraId="520AC20D">
                  <w:pPr>
                    <w:jc w:val="center"/>
                    <w:rPr>
                      <w:szCs w:val="21"/>
                    </w:rPr>
                  </w:pPr>
                  <w:r>
                    <w:rPr>
                      <w:rFonts w:hint="eastAsia"/>
                      <w:szCs w:val="21"/>
                    </w:rPr>
                    <w:t>东北</w:t>
                  </w:r>
                </w:p>
              </w:tc>
              <w:tc>
                <w:tcPr>
                  <w:tcW w:w="851" w:type="dxa"/>
                  <w:vAlign w:val="center"/>
                </w:tcPr>
                <w:p w14:paraId="520AC20E">
                  <w:pPr>
                    <w:adjustRightInd w:val="0"/>
                    <w:snapToGrid w:val="0"/>
                    <w:jc w:val="center"/>
                    <w:rPr>
                      <w:szCs w:val="21"/>
                    </w:rPr>
                  </w:pPr>
                  <w:r>
                    <w:rPr>
                      <w:rFonts w:hint="eastAsia"/>
                      <w:szCs w:val="21"/>
                    </w:rPr>
                    <w:t>2</w:t>
                  </w:r>
                  <w:r>
                    <w:rPr>
                      <w:szCs w:val="21"/>
                    </w:rPr>
                    <w:t>70</w:t>
                  </w:r>
                </w:p>
              </w:tc>
              <w:tc>
                <w:tcPr>
                  <w:tcW w:w="2222" w:type="dxa"/>
                  <w:vMerge w:val="continue"/>
                  <w:vAlign w:val="center"/>
                </w:tcPr>
                <w:p w14:paraId="520AC20F">
                  <w:pPr>
                    <w:adjustRightInd w:val="0"/>
                    <w:snapToGrid w:val="0"/>
                    <w:jc w:val="center"/>
                    <w:rPr>
                      <w:szCs w:val="21"/>
                    </w:rPr>
                  </w:pPr>
                </w:p>
              </w:tc>
            </w:tr>
            <w:tr w14:paraId="520AC21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11">
                  <w:pPr>
                    <w:jc w:val="center"/>
                    <w:rPr>
                      <w:szCs w:val="21"/>
                    </w:rPr>
                  </w:pPr>
                </w:p>
              </w:tc>
              <w:tc>
                <w:tcPr>
                  <w:tcW w:w="574" w:type="dxa"/>
                  <w:vAlign w:val="center"/>
                </w:tcPr>
                <w:p w14:paraId="520AC212">
                  <w:pPr>
                    <w:adjustRightInd w:val="0"/>
                    <w:snapToGrid w:val="0"/>
                    <w:jc w:val="center"/>
                    <w:rPr>
                      <w:szCs w:val="21"/>
                    </w:rPr>
                  </w:pPr>
                  <w:r>
                    <w:rPr>
                      <w:rFonts w:hint="eastAsia"/>
                      <w:szCs w:val="21"/>
                    </w:rPr>
                    <w:t>1</w:t>
                  </w:r>
                  <w:r>
                    <w:rPr>
                      <w:szCs w:val="21"/>
                    </w:rPr>
                    <w:t>2</w:t>
                  </w:r>
                </w:p>
              </w:tc>
              <w:tc>
                <w:tcPr>
                  <w:tcW w:w="1579" w:type="dxa"/>
                  <w:vAlign w:val="center"/>
                </w:tcPr>
                <w:p w14:paraId="520AC213">
                  <w:pPr>
                    <w:adjustRightInd w:val="0"/>
                    <w:snapToGrid w:val="0"/>
                    <w:jc w:val="center"/>
                    <w:rPr>
                      <w:szCs w:val="21"/>
                    </w:rPr>
                  </w:pPr>
                  <w:r>
                    <w:rPr>
                      <w:rFonts w:hint="eastAsia"/>
                      <w:szCs w:val="21"/>
                    </w:rPr>
                    <w:t>豫兴金荣小区</w:t>
                  </w:r>
                </w:p>
              </w:tc>
              <w:tc>
                <w:tcPr>
                  <w:tcW w:w="862" w:type="dxa"/>
                  <w:vAlign w:val="center"/>
                </w:tcPr>
                <w:p w14:paraId="520AC214">
                  <w:pPr>
                    <w:adjustRightInd w:val="0"/>
                    <w:snapToGrid w:val="0"/>
                    <w:jc w:val="center"/>
                    <w:rPr>
                      <w:szCs w:val="21"/>
                    </w:rPr>
                  </w:pPr>
                  <w:r>
                    <w:rPr>
                      <w:szCs w:val="21"/>
                    </w:rPr>
                    <w:t>居住区</w:t>
                  </w:r>
                </w:p>
              </w:tc>
              <w:tc>
                <w:tcPr>
                  <w:tcW w:w="770" w:type="dxa"/>
                  <w:vAlign w:val="center"/>
                </w:tcPr>
                <w:p w14:paraId="520AC215">
                  <w:pPr>
                    <w:jc w:val="center"/>
                    <w:rPr>
                      <w:szCs w:val="21"/>
                    </w:rPr>
                  </w:pPr>
                  <w:r>
                    <w:rPr>
                      <w:szCs w:val="21"/>
                    </w:rPr>
                    <w:t>居民</w:t>
                  </w:r>
                </w:p>
              </w:tc>
              <w:tc>
                <w:tcPr>
                  <w:tcW w:w="709" w:type="dxa"/>
                  <w:vAlign w:val="center"/>
                </w:tcPr>
                <w:p w14:paraId="520AC216">
                  <w:pPr>
                    <w:jc w:val="center"/>
                    <w:rPr>
                      <w:szCs w:val="21"/>
                    </w:rPr>
                  </w:pPr>
                  <w:r>
                    <w:rPr>
                      <w:rFonts w:hint="eastAsia"/>
                      <w:szCs w:val="21"/>
                    </w:rPr>
                    <w:t>西</w:t>
                  </w:r>
                </w:p>
              </w:tc>
              <w:tc>
                <w:tcPr>
                  <w:tcW w:w="851" w:type="dxa"/>
                  <w:vAlign w:val="center"/>
                </w:tcPr>
                <w:p w14:paraId="520AC217">
                  <w:pPr>
                    <w:adjustRightInd w:val="0"/>
                    <w:snapToGrid w:val="0"/>
                    <w:jc w:val="center"/>
                    <w:rPr>
                      <w:szCs w:val="21"/>
                    </w:rPr>
                  </w:pPr>
                  <w:r>
                    <w:rPr>
                      <w:szCs w:val="21"/>
                    </w:rPr>
                    <w:t>220</w:t>
                  </w:r>
                </w:p>
              </w:tc>
              <w:tc>
                <w:tcPr>
                  <w:tcW w:w="2222" w:type="dxa"/>
                  <w:vMerge w:val="continue"/>
                  <w:vAlign w:val="center"/>
                </w:tcPr>
                <w:p w14:paraId="520AC218">
                  <w:pPr>
                    <w:adjustRightInd w:val="0"/>
                    <w:snapToGrid w:val="0"/>
                    <w:jc w:val="center"/>
                    <w:rPr>
                      <w:szCs w:val="21"/>
                    </w:rPr>
                  </w:pPr>
                </w:p>
              </w:tc>
            </w:tr>
            <w:tr w14:paraId="520AC22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1A">
                  <w:pPr>
                    <w:jc w:val="center"/>
                    <w:rPr>
                      <w:szCs w:val="21"/>
                    </w:rPr>
                  </w:pPr>
                </w:p>
              </w:tc>
              <w:tc>
                <w:tcPr>
                  <w:tcW w:w="574" w:type="dxa"/>
                  <w:vAlign w:val="center"/>
                </w:tcPr>
                <w:p w14:paraId="520AC21B">
                  <w:pPr>
                    <w:adjustRightInd w:val="0"/>
                    <w:snapToGrid w:val="0"/>
                    <w:jc w:val="center"/>
                    <w:rPr>
                      <w:szCs w:val="21"/>
                    </w:rPr>
                  </w:pPr>
                  <w:r>
                    <w:rPr>
                      <w:rFonts w:hint="eastAsia"/>
                      <w:szCs w:val="21"/>
                    </w:rPr>
                    <w:t>1</w:t>
                  </w:r>
                  <w:r>
                    <w:rPr>
                      <w:szCs w:val="21"/>
                    </w:rPr>
                    <w:t>3</w:t>
                  </w:r>
                </w:p>
              </w:tc>
              <w:tc>
                <w:tcPr>
                  <w:tcW w:w="1579" w:type="dxa"/>
                  <w:vAlign w:val="center"/>
                </w:tcPr>
                <w:p w14:paraId="520AC21C">
                  <w:pPr>
                    <w:adjustRightInd w:val="0"/>
                    <w:snapToGrid w:val="0"/>
                    <w:jc w:val="center"/>
                    <w:rPr>
                      <w:szCs w:val="21"/>
                    </w:rPr>
                  </w:pPr>
                  <w:r>
                    <w:rPr>
                      <w:rFonts w:hint="eastAsia"/>
                      <w:szCs w:val="21"/>
                    </w:rPr>
                    <w:t>牧野滨河湾</w:t>
                  </w:r>
                </w:p>
              </w:tc>
              <w:tc>
                <w:tcPr>
                  <w:tcW w:w="862" w:type="dxa"/>
                  <w:vAlign w:val="center"/>
                </w:tcPr>
                <w:p w14:paraId="520AC21D">
                  <w:pPr>
                    <w:adjustRightInd w:val="0"/>
                    <w:snapToGrid w:val="0"/>
                    <w:jc w:val="center"/>
                    <w:rPr>
                      <w:szCs w:val="21"/>
                    </w:rPr>
                  </w:pPr>
                  <w:r>
                    <w:rPr>
                      <w:szCs w:val="21"/>
                    </w:rPr>
                    <w:t>居住区</w:t>
                  </w:r>
                </w:p>
              </w:tc>
              <w:tc>
                <w:tcPr>
                  <w:tcW w:w="770" w:type="dxa"/>
                  <w:vAlign w:val="center"/>
                </w:tcPr>
                <w:p w14:paraId="520AC21E">
                  <w:pPr>
                    <w:jc w:val="center"/>
                    <w:rPr>
                      <w:szCs w:val="21"/>
                    </w:rPr>
                  </w:pPr>
                  <w:r>
                    <w:rPr>
                      <w:szCs w:val="21"/>
                    </w:rPr>
                    <w:t>居民</w:t>
                  </w:r>
                </w:p>
              </w:tc>
              <w:tc>
                <w:tcPr>
                  <w:tcW w:w="709" w:type="dxa"/>
                  <w:vAlign w:val="center"/>
                </w:tcPr>
                <w:p w14:paraId="520AC21F">
                  <w:pPr>
                    <w:jc w:val="center"/>
                    <w:rPr>
                      <w:szCs w:val="21"/>
                    </w:rPr>
                  </w:pPr>
                  <w:r>
                    <w:rPr>
                      <w:rFonts w:hint="eastAsia"/>
                      <w:szCs w:val="21"/>
                    </w:rPr>
                    <w:t>西南</w:t>
                  </w:r>
                </w:p>
              </w:tc>
              <w:tc>
                <w:tcPr>
                  <w:tcW w:w="851" w:type="dxa"/>
                  <w:vAlign w:val="center"/>
                </w:tcPr>
                <w:p w14:paraId="520AC220">
                  <w:pPr>
                    <w:adjustRightInd w:val="0"/>
                    <w:snapToGrid w:val="0"/>
                    <w:jc w:val="center"/>
                    <w:rPr>
                      <w:szCs w:val="21"/>
                    </w:rPr>
                  </w:pPr>
                  <w:r>
                    <w:rPr>
                      <w:szCs w:val="21"/>
                    </w:rPr>
                    <w:t>210</w:t>
                  </w:r>
                </w:p>
              </w:tc>
              <w:tc>
                <w:tcPr>
                  <w:tcW w:w="2222" w:type="dxa"/>
                  <w:vMerge w:val="continue"/>
                  <w:vAlign w:val="center"/>
                </w:tcPr>
                <w:p w14:paraId="520AC221">
                  <w:pPr>
                    <w:adjustRightInd w:val="0"/>
                    <w:snapToGrid w:val="0"/>
                    <w:jc w:val="center"/>
                    <w:rPr>
                      <w:szCs w:val="21"/>
                    </w:rPr>
                  </w:pPr>
                </w:p>
              </w:tc>
            </w:tr>
            <w:tr w14:paraId="520AC22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23">
                  <w:pPr>
                    <w:jc w:val="center"/>
                    <w:rPr>
                      <w:szCs w:val="21"/>
                    </w:rPr>
                  </w:pPr>
                </w:p>
              </w:tc>
              <w:tc>
                <w:tcPr>
                  <w:tcW w:w="574" w:type="dxa"/>
                  <w:vAlign w:val="center"/>
                </w:tcPr>
                <w:p w14:paraId="520AC224">
                  <w:pPr>
                    <w:adjustRightInd w:val="0"/>
                    <w:snapToGrid w:val="0"/>
                    <w:jc w:val="center"/>
                    <w:rPr>
                      <w:szCs w:val="21"/>
                    </w:rPr>
                  </w:pPr>
                  <w:r>
                    <w:rPr>
                      <w:rFonts w:hint="eastAsia"/>
                      <w:szCs w:val="21"/>
                    </w:rPr>
                    <w:t>1</w:t>
                  </w:r>
                  <w:r>
                    <w:rPr>
                      <w:szCs w:val="21"/>
                    </w:rPr>
                    <w:t>4</w:t>
                  </w:r>
                </w:p>
              </w:tc>
              <w:tc>
                <w:tcPr>
                  <w:tcW w:w="1579" w:type="dxa"/>
                  <w:vAlign w:val="center"/>
                </w:tcPr>
                <w:p w14:paraId="520AC225">
                  <w:pPr>
                    <w:adjustRightInd w:val="0"/>
                    <w:snapToGrid w:val="0"/>
                    <w:jc w:val="center"/>
                    <w:rPr>
                      <w:szCs w:val="21"/>
                    </w:rPr>
                  </w:pPr>
                  <w:r>
                    <w:rPr>
                      <w:rFonts w:hint="eastAsia"/>
                      <w:szCs w:val="21"/>
                    </w:rPr>
                    <w:t>新荣社区</w:t>
                  </w:r>
                </w:p>
              </w:tc>
              <w:tc>
                <w:tcPr>
                  <w:tcW w:w="862" w:type="dxa"/>
                  <w:vAlign w:val="center"/>
                </w:tcPr>
                <w:p w14:paraId="520AC226">
                  <w:pPr>
                    <w:adjustRightInd w:val="0"/>
                    <w:snapToGrid w:val="0"/>
                    <w:jc w:val="center"/>
                    <w:rPr>
                      <w:szCs w:val="21"/>
                    </w:rPr>
                  </w:pPr>
                  <w:r>
                    <w:rPr>
                      <w:szCs w:val="21"/>
                    </w:rPr>
                    <w:t>居住区</w:t>
                  </w:r>
                </w:p>
              </w:tc>
              <w:tc>
                <w:tcPr>
                  <w:tcW w:w="770" w:type="dxa"/>
                  <w:vAlign w:val="center"/>
                </w:tcPr>
                <w:p w14:paraId="520AC227">
                  <w:pPr>
                    <w:jc w:val="center"/>
                    <w:rPr>
                      <w:szCs w:val="21"/>
                    </w:rPr>
                  </w:pPr>
                  <w:r>
                    <w:rPr>
                      <w:szCs w:val="21"/>
                    </w:rPr>
                    <w:t>居民</w:t>
                  </w:r>
                </w:p>
              </w:tc>
              <w:tc>
                <w:tcPr>
                  <w:tcW w:w="709" w:type="dxa"/>
                  <w:vAlign w:val="center"/>
                </w:tcPr>
                <w:p w14:paraId="520AC228">
                  <w:pPr>
                    <w:jc w:val="center"/>
                    <w:rPr>
                      <w:szCs w:val="21"/>
                    </w:rPr>
                  </w:pPr>
                  <w:r>
                    <w:rPr>
                      <w:rFonts w:hint="eastAsia"/>
                      <w:szCs w:val="21"/>
                    </w:rPr>
                    <w:t>南</w:t>
                  </w:r>
                </w:p>
              </w:tc>
              <w:tc>
                <w:tcPr>
                  <w:tcW w:w="851" w:type="dxa"/>
                  <w:vAlign w:val="center"/>
                </w:tcPr>
                <w:p w14:paraId="520AC229">
                  <w:pPr>
                    <w:adjustRightInd w:val="0"/>
                    <w:snapToGrid w:val="0"/>
                    <w:jc w:val="center"/>
                    <w:rPr>
                      <w:szCs w:val="21"/>
                    </w:rPr>
                  </w:pPr>
                  <w:r>
                    <w:rPr>
                      <w:rFonts w:hint="eastAsia"/>
                      <w:szCs w:val="21"/>
                    </w:rPr>
                    <w:t>6</w:t>
                  </w:r>
                  <w:r>
                    <w:rPr>
                      <w:szCs w:val="21"/>
                    </w:rPr>
                    <w:t>0</w:t>
                  </w:r>
                </w:p>
              </w:tc>
              <w:tc>
                <w:tcPr>
                  <w:tcW w:w="2222" w:type="dxa"/>
                  <w:vMerge w:val="continue"/>
                  <w:vAlign w:val="center"/>
                </w:tcPr>
                <w:p w14:paraId="520AC22A">
                  <w:pPr>
                    <w:adjustRightInd w:val="0"/>
                    <w:snapToGrid w:val="0"/>
                    <w:jc w:val="center"/>
                    <w:rPr>
                      <w:szCs w:val="21"/>
                    </w:rPr>
                  </w:pPr>
                </w:p>
              </w:tc>
            </w:tr>
            <w:tr w14:paraId="520AC23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2C">
                  <w:pPr>
                    <w:jc w:val="center"/>
                    <w:rPr>
                      <w:szCs w:val="21"/>
                    </w:rPr>
                  </w:pPr>
                </w:p>
              </w:tc>
              <w:tc>
                <w:tcPr>
                  <w:tcW w:w="574" w:type="dxa"/>
                  <w:vAlign w:val="center"/>
                </w:tcPr>
                <w:p w14:paraId="520AC22D">
                  <w:pPr>
                    <w:adjustRightInd w:val="0"/>
                    <w:snapToGrid w:val="0"/>
                    <w:jc w:val="center"/>
                    <w:rPr>
                      <w:szCs w:val="21"/>
                    </w:rPr>
                  </w:pPr>
                  <w:r>
                    <w:rPr>
                      <w:rFonts w:hint="eastAsia"/>
                      <w:szCs w:val="21"/>
                    </w:rPr>
                    <w:t>1</w:t>
                  </w:r>
                  <w:r>
                    <w:rPr>
                      <w:szCs w:val="21"/>
                    </w:rPr>
                    <w:t>5</w:t>
                  </w:r>
                </w:p>
              </w:tc>
              <w:tc>
                <w:tcPr>
                  <w:tcW w:w="1579" w:type="dxa"/>
                  <w:vAlign w:val="center"/>
                </w:tcPr>
                <w:p w14:paraId="520AC22E">
                  <w:pPr>
                    <w:adjustRightInd w:val="0"/>
                    <w:snapToGrid w:val="0"/>
                    <w:jc w:val="center"/>
                    <w:rPr>
                      <w:szCs w:val="21"/>
                    </w:rPr>
                  </w:pPr>
                  <w:r>
                    <w:rPr>
                      <w:rFonts w:hint="eastAsia"/>
                      <w:szCs w:val="21"/>
                    </w:rPr>
                    <w:t>北干道小学</w:t>
                  </w:r>
                </w:p>
              </w:tc>
              <w:tc>
                <w:tcPr>
                  <w:tcW w:w="862" w:type="dxa"/>
                  <w:vAlign w:val="center"/>
                </w:tcPr>
                <w:p w14:paraId="520AC22F">
                  <w:pPr>
                    <w:adjustRightInd w:val="0"/>
                    <w:snapToGrid w:val="0"/>
                    <w:jc w:val="center"/>
                    <w:rPr>
                      <w:szCs w:val="21"/>
                    </w:rPr>
                  </w:pPr>
                  <w:r>
                    <w:rPr>
                      <w:szCs w:val="21"/>
                    </w:rPr>
                    <w:t>学校</w:t>
                  </w:r>
                </w:p>
              </w:tc>
              <w:tc>
                <w:tcPr>
                  <w:tcW w:w="770" w:type="dxa"/>
                  <w:vAlign w:val="center"/>
                </w:tcPr>
                <w:p w14:paraId="520AC230">
                  <w:pPr>
                    <w:jc w:val="center"/>
                    <w:rPr>
                      <w:szCs w:val="21"/>
                    </w:rPr>
                  </w:pPr>
                  <w:r>
                    <w:rPr>
                      <w:szCs w:val="21"/>
                    </w:rPr>
                    <w:t>学生及教职工</w:t>
                  </w:r>
                </w:p>
              </w:tc>
              <w:tc>
                <w:tcPr>
                  <w:tcW w:w="709" w:type="dxa"/>
                  <w:vAlign w:val="center"/>
                </w:tcPr>
                <w:p w14:paraId="520AC231">
                  <w:pPr>
                    <w:jc w:val="center"/>
                    <w:rPr>
                      <w:szCs w:val="21"/>
                    </w:rPr>
                  </w:pPr>
                  <w:r>
                    <w:rPr>
                      <w:rFonts w:hint="eastAsia"/>
                      <w:szCs w:val="21"/>
                    </w:rPr>
                    <w:t>东</w:t>
                  </w:r>
                </w:p>
              </w:tc>
              <w:tc>
                <w:tcPr>
                  <w:tcW w:w="851" w:type="dxa"/>
                  <w:vAlign w:val="center"/>
                </w:tcPr>
                <w:p w14:paraId="520AC232">
                  <w:pPr>
                    <w:adjustRightInd w:val="0"/>
                    <w:snapToGrid w:val="0"/>
                    <w:jc w:val="center"/>
                    <w:rPr>
                      <w:szCs w:val="21"/>
                    </w:rPr>
                  </w:pPr>
                  <w:r>
                    <w:rPr>
                      <w:szCs w:val="21"/>
                    </w:rPr>
                    <w:t>265</w:t>
                  </w:r>
                </w:p>
              </w:tc>
              <w:tc>
                <w:tcPr>
                  <w:tcW w:w="2222" w:type="dxa"/>
                  <w:vMerge w:val="continue"/>
                  <w:vAlign w:val="center"/>
                </w:tcPr>
                <w:p w14:paraId="520AC233">
                  <w:pPr>
                    <w:adjustRightInd w:val="0"/>
                    <w:snapToGrid w:val="0"/>
                    <w:jc w:val="center"/>
                    <w:rPr>
                      <w:szCs w:val="21"/>
                    </w:rPr>
                  </w:pPr>
                </w:p>
              </w:tc>
            </w:tr>
            <w:tr w14:paraId="520AC23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35">
                  <w:pPr>
                    <w:jc w:val="center"/>
                    <w:rPr>
                      <w:szCs w:val="21"/>
                    </w:rPr>
                  </w:pPr>
                </w:p>
              </w:tc>
              <w:tc>
                <w:tcPr>
                  <w:tcW w:w="574" w:type="dxa"/>
                  <w:vAlign w:val="center"/>
                </w:tcPr>
                <w:p w14:paraId="520AC236">
                  <w:pPr>
                    <w:adjustRightInd w:val="0"/>
                    <w:snapToGrid w:val="0"/>
                    <w:jc w:val="center"/>
                    <w:rPr>
                      <w:szCs w:val="21"/>
                    </w:rPr>
                  </w:pPr>
                  <w:r>
                    <w:rPr>
                      <w:rFonts w:hint="eastAsia"/>
                      <w:szCs w:val="21"/>
                    </w:rPr>
                    <w:t>1</w:t>
                  </w:r>
                  <w:r>
                    <w:rPr>
                      <w:szCs w:val="21"/>
                    </w:rPr>
                    <w:t>6</w:t>
                  </w:r>
                </w:p>
              </w:tc>
              <w:tc>
                <w:tcPr>
                  <w:tcW w:w="1579" w:type="dxa"/>
                  <w:vAlign w:val="center"/>
                </w:tcPr>
                <w:p w14:paraId="520AC237">
                  <w:pPr>
                    <w:adjustRightInd w:val="0"/>
                    <w:snapToGrid w:val="0"/>
                    <w:jc w:val="center"/>
                    <w:rPr>
                      <w:szCs w:val="21"/>
                    </w:rPr>
                  </w:pPr>
                  <w:r>
                    <w:rPr>
                      <w:rFonts w:hint="eastAsia"/>
                      <w:szCs w:val="21"/>
                    </w:rPr>
                    <w:t>北干道小学家属院</w:t>
                  </w:r>
                </w:p>
              </w:tc>
              <w:tc>
                <w:tcPr>
                  <w:tcW w:w="862" w:type="dxa"/>
                  <w:vAlign w:val="center"/>
                </w:tcPr>
                <w:p w14:paraId="520AC238">
                  <w:pPr>
                    <w:adjustRightInd w:val="0"/>
                    <w:snapToGrid w:val="0"/>
                    <w:jc w:val="center"/>
                    <w:rPr>
                      <w:szCs w:val="21"/>
                    </w:rPr>
                  </w:pPr>
                  <w:r>
                    <w:rPr>
                      <w:szCs w:val="21"/>
                    </w:rPr>
                    <w:t>居住区</w:t>
                  </w:r>
                </w:p>
              </w:tc>
              <w:tc>
                <w:tcPr>
                  <w:tcW w:w="770" w:type="dxa"/>
                  <w:vAlign w:val="center"/>
                </w:tcPr>
                <w:p w14:paraId="520AC239">
                  <w:pPr>
                    <w:jc w:val="center"/>
                    <w:rPr>
                      <w:szCs w:val="21"/>
                    </w:rPr>
                  </w:pPr>
                  <w:r>
                    <w:rPr>
                      <w:szCs w:val="21"/>
                    </w:rPr>
                    <w:t>居民</w:t>
                  </w:r>
                </w:p>
              </w:tc>
              <w:tc>
                <w:tcPr>
                  <w:tcW w:w="709" w:type="dxa"/>
                  <w:vAlign w:val="center"/>
                </w:tcPr>
                <w:p w14:paraId="520AC23A">
                  <w:pPr>
                    <w:jc w:val="center"/>
                    <w:rPr>
                      <w:szCs w:val="21"/>
                    </w:rPr>
                  </w:pPr>
                  <w:r>
                    <w:rPr>
                      <w:rFonts w:hint="eastAsia"/>
                      <w:szCs w:val="21"/>
                    </w:rPr>
                    <w:t>东</w:t>
                  </w:r>
                </w:p>
              </w:tc>
              <w:tc>
                <w:tcPr>
                  <w:tcW w:w="851" w:type="dxa"/>
                  <w:vAlign w:val="center"/>
                </w:tcPr>
                <w:p w14:paraId="520AC23B">
                  <w:pPr>
                    <w:adjustRightInd w:val="0"/>
                    <w:snapToGrid w:val="0"/>
                    <w:jc w:val="center"/>
                    <w:rPr>
                      <w:szCs w:val="21"/>
                    </w:rPr>
                  </w:pPr>
                  <w:r>
                    <w:rPr>
                      <w:szCs w:val="21"/>
                    </w:rPr>
                    <w:t>260</w:t>
                  </w:r>
                </w:p>
              </w:tc>
              <w:tc>
                <w:tcPr>
                  <w:tcW w:w="2222" w:type="dxa"/>
                  <w:vMerge w:val="continue"/>
                  <w:vAlign w:val="center"/>
                </w:tcPr>
                <w:p w14:paraId="520AC23C">
                  <w:pPr>
                    <w:adjustRightInd w:val="0"/>
                    <w:snapToGrid w:val="0"/>
                    <w:jc w:val="center"/>
                    <w:rPr>
                      <w:szCs w:val="21"/>
                    </w:rPr>
                  </w:pPr>
                </w:p>
              </w:tc>
            </w:tr>
            <w:tr w14:paraId="520AC24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3E">
                  <w:pPr>
                    <w:jc w:val="center"/>
                    <w:rPr>
                      <w:szCs w:val="21"/>
                    </w:rPr>
                  </w:pPr>
                </w:p>
              </w:tc>
              <w:tc>
                <w:tcPr>
                  <w:tcW w:w="574" w:type="dxa"/>
                  <w:vAlign w:val="center"/>
                </w:tcPr>
                <w:p w14:paraId="520AC23F">
                  <w:pPr>
                    <w:adjustRightInd w:val="0"/>
                    <w:snapToGrid w:val="0"/>
                    <w:jc w:val="center"/>
                    <w:rPr>
                      <w:szCs w:val="21"/>
                    </w:rPr>
                  </w:pPr>
                  <w:r>
                    <w:rPr>
                      <w:rFonts w:hint="eastAsia"/>
                      <w:szCs w:val="21"/>
                    </w:rPr>
                    <w:t>1</w:t>
                  </w:r>
                  <w:r>
                    <w:rPr>
                      <w:szCs w:val="21"/>
                    </w:rPr>
                    <w:t>7</w:t>
                  </w:r>
                </w:p>
              </w:tc>
              <w:tc>
                <w:tcPr>
                  <w:tcW w:w="1579" w:type="dxa"/>
                  <w:vAlign w:val="center"/>
                </w:tcPr>
                <w:p w14:paraId="520AC240">
                  <w:pPr>
                    <w:adjustRightInd w:val="0"/>
                    <w:snapToGrid w:val="0"/>
                    <w:jc w:val="center"/>
                    <w:rPr>
                      <w:szCs w:val="21"/>
                    </w:rPr>
                  </w:pPr>
                  <w:r>
                    <w:rPr>
                      <w:rFonts w:hint="eastAsia"/>
                      <w:szCs w:val="21"/>
                    </w:rPr>
                    <w:t>宇信凯旋公馆</w:t>
                  </w:r>
                </w:p>
              </w:tc>
              <w:tc>
                <w:tcPr>
                  <w:tcW w:w="862" w:type="dxa"/>
                  <w:vAlign w:val="center"/>
                </w:tcPr>
                <w:p w14:paraId="520AC241">
                  <w:pPr>
                    <w:adjustRightInd w:val="0"/>
                    <w:snapToGrid w:val="0"/>
                    <w:jc w:val="center"/>
                    <w:rPr>
                      <w:szCs w:val="21"/>
                    </w:rPr>
                  </w:pPr>
                  <w:r>
                    <w:rPr>
                      <w:szCs w:val="21"/>
                    </w:rPr>
                    <w:t>居住区</w:t>
                  </w:r>
                </w:p>
              </w:tc>
              <w:tc>
                <w:tcPr>
                  <w:tcW w:w="770" w:type="dxa"/>
                  <w:vAlign w:val="center"/>
                </w:tcPr>
                <w:p w14:paraId="520AC242">
                  <w:pPr>
                    <w:jc w:val="center"/>
                    <w:rPr>
                      <w:szCs w:val="21"/>
                    </w:rPr>
                  </w:pPr>
                  <w:r>
                    <w:rPr>
                      <w:szCs w:val="21"/>
                    </w:rPr>
                    <w:t>居民</w:t>
                  </w:r>
                </w:p>
              </w:tc>
              <w:tc>
                <w:tcPr>
                  <w:tcW w:w="709" w:type="dxa"/>
                  <w:vAlign w:val="center"/>
                </w:tcPr>
                <w:p w14:paraId="520AC243">
                  <w:pPr>
                    <w:jc w:val="center"/>
                    <w:rPr>
                      <w:szCs w:val="21"/>
                    </w:rPr>
                  </w:pPr>
                  <w:r>
                    <w:rPr>
                      <w:rFonts w:hint="eastAsia"/>
                      <w:szCs w:val="21"/>
                    </w:rPr>
                    <w:t>东</w:t>
                  </w:r>
                </w:p>
              </w:tc>
              <w:tc>
                <w:tcPr>
                  <w:tcW w:w="851" w:type="dxa"/>
                  <w:vAlign w:val="center"/>
                </w:tcPr>
                <w:p w14:paraId="520AC244">
                  <w:pPr>
                    <w:adjustRightInd w:val="0"/>
                    <w:snapToGrid w:val="0"/>
                    <w:jc w:val="center"/>
                    <w:rPr>
                      <w:szCs w:val="21"/>
                    </w:rPr>
                  </w:pPr>
                  <w:r>
                    <w:rPr>
                      <w:szCs w:val="21"/>
                    </w:rPr>
                    <w:t>67</w:t>
                  </w:r>
                </w:p>
              </w:tc>
              <w:tc>
                <w:tcPr>
                  <w:tcW w:w="2222" w:type="dxa"/>
                  <w:vMerge w:val="continue"/>
                  <w:vAlign w:val="center"/>
                </w:tcPr>
                <w:p w14:paraId="520AC245">
                  <w:pPr>
                    <w:adjustRightInd w:val="0"/>
                    <w:snapToGrid w:val="0"/>
                    <w:jc w:val="center"/>
                    <w:rPr>
                      <w:szCs w:val="21"/>
                    </w:rPr>
                  </w:pPr>
                </w:p>
              </w:tc>
            </w:tr>
            <w:tr w14:paraId="520AC24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47">
                  <w:pPr>
                    <w:jc w:val="center"/>
                    <w:rPr>
                      <w:szCs w:val="21"/>
                    </w:rPr>
                  </w:pPr>
                </w:p>
              </w:tc>
              <w:tc>
                <w:tcPr>
                  <w:tcW w:w="574" w:type="dxa"/>
                  <w:vAlign w:val="center"/>
                </w:tcPr>
                <w:p w14:paraId="520AC248">
                  <w:pPr>
                    <w:adjustRightInd w:val="0"/>
                    <w:snapToGrid w:val="0"/>
                    <w:jc w:val="center"/>
                    <w:rPr>
                      <w:szCs w:val="21"/>
                    </w:rPr>
                  </w:pPr>
                  <w:r>
                    <w:rPr>
                      <w:rFonts w:hint="eastAsia"/>
                      <w:szCs w:val="21"/>
                    </w:rPr>
                    <w:t>1</w:t>
                  </w:r>
                  <w:r>
                    <w:rPr>
                      <w:szCs w:val="21"/>
                    </w:rPr>
                    <w:t>8</w:t>
                  </w:r>
                </w:p>
              </w:tc>
              <w:tc>
                <w:tcPr>
                  <w:tcW w:w="1579" w:type="dxa"/>
                  <w:vAlign w:val="center"/>
                </w:tcPr>
                <w:p w14:paraId="520AC249">
                  <w:pPr>
                    <w:adjustRightInd w:val="0"/>
                    <w:snapToGrid w:val="0"/>
                    <w:jc w:val="center"/>
                    <w:rPr>
                      <w:szCs w:val="21"/>
                    </w:rPr>
                  </w:pPr>
                  <w:r>
                    <w:rPr>
                      <w:rFonts w:hint="eastAsia"/>
                      <w:szCs w:val="21"/>
                    </w:rPr>
                    <w:t>沧锦文华</w:t>
                  </w:r>
                </w:p>
              </w:tc>
              <w:tc>
                <w:tcPr>
                  <w:tcW w:w="862" w:type="dxa"/>
                  <w:vAlign w:val="center"/>
                </w:tcPr>
                <w:p w14:paraId="520AC24A">
                  <w:pPr>
                    <w:adjustRightInd w:val="0"/>
                    <w:snapToGrid w:val="0"/>
                    <w:jc w:val="center"/>
                    <w:rPr>
                      <w:szCs w:val="21"/>
                    </w:rPr>
                  </w:pPr>
                  <w:r>
                    <w:rPr>
                      <w:szCs w:val="21"/>
                    </w:rPr>
                    <w:t>居住区</w:t>
                  </w:r>
                </w:p>
              </w:tc>
              <w:tc>
                <w:tcPr>
                  <w:tcW w:w="770" w:type="dxa"/>
                  <w:vAlign w:val="center"/>
                </w:tcPr>
                <w:p w14:paraId="520AC24B">
                  <w:pPr>
                    <w:jc w:val="center"/>
                    <w:rPr>
                      <w:szCs w:val="21"/>
                    </w:rPr>
                  </w:pPr>
                  <w:r>
                    <w:rPr>
                      <w:szCs w:val="21"/>
                    </w:rPr>
                    <w:t>居民</w:t>
                  </w:r>
                </w:p>
              </w:tc>
              <w:tc>
                <w:tcPr>
                  <w:tcW w:w="709" w:type="dxa"/>
                  <w:vAlign w:val="center"/>
                </w:tcPr>
                <w:p w14:paraId="520AC24C">
                  <w:pPr>
                    <w:jc w:val="center"/>
                    <w:rPr>
                      <w:szCs w:val="21"/>
                    </w:rPr>
                  </w:pPr>
                  <w:r>
                    <w:rPr>
                      <w:rFonts w:hint="eastAsia"/>
                      <w:szCs w:val="21"/>
                    </w:rPr>
                    <w:t>东</w:t>
                  </w:r>
                </w:p>
              </w:tc>
              <w:tc>
                <w:tcPr>
                  <w:tcW w:w="851" w:type="dxa"/>
                  <w:vAlign w:val="center"/>
                </w:tcPr>
                <w:p w14:paraId="520AC24D">
                  <w:pPr>
                    <w:adjustRightInd w:val="0"/>
                    <w:snapToGrid w:val="0"/>
                    <w:jc w:val="center"/>
                    <w:rPr>
                      <w:szCs w:val="21"/>
                    </w:rPr>
                  </w:pPr>
                  <w:r>
                    <w:rPr>
                      <w:rFonts w:hint="eastAsia"/>
                      <w:szCs w:val="21"/>
                    </w:rPr>
                    <w:t>2</w:t>
                  </w:r>
                  <w:r>
                    <w:rPr>
                      <w:szCs w:val="21"/>
                    </w:rPr>
                    <w:t>25</w:t>
                  </w:r>
                </w:p>
              </w:tc>
              <w:tc>
                <w:tcPr>
                  <w:tcW w:w="2222" w:type="dxa"/>
                  <w:vMerge w:val="continue"/>
                  <w:vAlign w:val="center"/>
                </w:tcPr>
                <w:p w14:paraId="520AC24E">
                  <w:pPr>
                    <w:adjustRightInd w:val="0"/>
                    <w:snapToGrid w:val="0"/>
                    <w:jc w:val="center"/>
                    <w:rPr>
                      <w:szCs w:val="21"/>
                    </w:rPr>
                  </w:pPr>
                </w:p>
              </w:tc>
            </w:tr>
            <w:tr w14:paraId="520AC25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50">
                  <w:pPr>
                    <w:jc w:val="center"/>
                    <w:rPr>
                      <w:szCs w:val="21"/>
                    </w:rPr>
                  </w:pPr>
                </w:p>
              </w:tc>
              <w:tc>
                <w:tcPr>
                  <w:tcW w:w="574" w:type="dxa"/>
                  <w:vAlign w:val="center"/>
                </w:tcPr>
                <w:p w14:paraId="520AC251">
                  <w:pPr>
                    <w:adjustRightInd w:val="0"/>
                    <w:snapToGrid w:val="0"/>
                    <w:jc w:val="center"/>
                    <w:rPr>
                      <w:szCs w:val="21"/>
                    </w:rPr>
                  </w:pPr>
                  <w:r>
                    <w:rPr>
                      <w:rFonts w:hint="eastAsia"/>
                      <w:szCs w:val="21"/>
                    </w:rPr>
                    <w:t>1</w:t>
                  </w:r>
                  <w:r>
                    <w:rPr>
                      <w:szCs w:val="21"/>
                    </w:rPr>
                    <w:t>9</w:t>
                  </w:r>
                </w:p>
              </w:tc>
              <w:tc>
                <w:tcPr>
                  <w:tcW w:w="1579" w:type="dxa"/>
                  <w:vAlign w:val="center"/>
                </w:tcPr>
                <w:p w14:paraId="520AC252">
                  <w:pPr>
                    <w:adjustRightInd w:val="0"/>
                    <w:snapToGrid w:val="0"/>
                    <w:jc w:val="center"/>
                    <w:rPr>
                      <w:szCs w:val="21"/>
                    </w:rPr>
                  </w:pPr>
                  <w:r>
                    <w:rPr>
                      <w:rFonts w:hint="eastAsia"/>
                      <w:szCs w:val="21"/>
                    </w:rPr>
                    <w:t>人民巷居民区</w:t>
                  </w:r>
                </w:p>
              </w:tc>
              <w:tc>
                <w:tcPr>
                  <w:tcW w:w="862" w:type="dxa"/>
                  <w:vAlign w:val="center"/>
                </w:tcPr>
                <w:p w14:paraId="520AC253">
                  <w:pPr>
                    <w:adjustRightInd w:val="0"/>
                    <w:snapToGrid w:val="0"/>
                    <w:jc w:val="center"/>
                    <w:rPr>
                      <w:szCs w:val="21"/>
                    </w:rPr>
                  </w:pPr>
                  <w:r>
                    <w:rPr>
                      <w:szCs w:val="21"/>
                    </w:rPr>
                    <w:t>居住区</w:t>
                  </w:r>
                </w:p>
              </w:tc>
              <w:tc>
                <w:tcPr>
                  <w:tcW w:w="770" w:type="dxa"/>
                  <w:vAlign w:val="center"/>
                </w:tcPr>
                <w:p w14:paraId="520AC254">
                  <w:pPr>
                    <w:jc w:val="center"/>
                    <w:rPr>
                      <w:szCs w:val="21"/>
                    </w:rPr>
                  </w:pPr>
                  <w:r>
                    <w:rPr>
                      <w:szCs w:val="21"/>
                    </w:rPr>
                    <w:t>居民</w:t>
                  </w:r>
                </w:p>
              </w:tc>
              <w:tc>
                <w:tcPr>
                  <w:tcW w:w="709" w:type="dxa"/>
                  <w:vAlign w:val="center"/>
                </w:tcPr>
                <w:p w14:paraId="520AC255">
                  <w:pPr>
                    <w:jc w:val="center"/>
                    <w:rPr>
                      <w:szCs w:val="21"/>
                    </w:rPr>
                  </w:pPr>
                  <w:r>
                    <w:rPr>
                      <w:rFonts w:hint="eastAsia"/>
                      <w:szCs w:val="21"/>
                    </w:rPr>
                    <w:t>东</w:t>
                  </w:r>
                </w:p>
              </w:tc>
              <w:tc>
                <w:tcPr>
                  <w:tcW w:w="851" w:type="dxa"/>
                  <w:vAlign w:val="center"/>
                </w:tcPr>
                <w:p w14:paraId="520AC256">
                  <w:pPr>
                    <w:adjustRightInd w:val="0"/>
                    <w:snapToGrid w:val="0"/>
                    <w:jc w:val="center"/>
                    <w:rPr>
                      <w:szCs w:val="21"/>
                    </w:rPr>
                  </w:pPr>
                  <w:r>
                    <w:rPr>
                      <w:rFonts w:hint="eastAsia"/>
                      <w:szCs w:val="21"/>
                    </w:rPr>
                    <w:t>3</w:t>
                  </w:r>
                  <w:r>
                    <w:rPr>
                      <w:szCs w:val="21"/>
                    </w:rPr>
                    <w:t>20</w:t>
                  </w:r>
                </w:p>
              </w:tc>
              <w:tc>
                <w:tcPr>
                  <w:tcW w:w="2222" w:type="dxa"/>
                  <w:vMerge w:val="continue"/>
                  <w:vAlign w:val="center"/>
                </w:tcPr>
                <w:p w14:paraId="520AC257">
                  <w:pPr>
                    <w:adjustRightInd w:val="0"/>
                    <w:snapToGrid w:val="0"/>
                    <w:jc w:val="center"/>
                    <w:rPr>
                      <w:szCs w:val="21"/>
                    </w:rPr>
                  </w:pPr>
                </w:p>
              </w:tc>
            </w:tr>
            <w:tr w14:paraId="520AC26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59">
                  <w:pPr>
                    <w:jc w:val="center"/>
                    <w:rPr>
                      <w:szCs w:val="21"/>
                    </w:rPr>
                  </w:pPr>
                </w:p>
              </w:tc>
              <w:tc>
                <w:tcPr>
                  <w:tcW w:w="574" w:type="dxa"/>
                  <w:vAlign w:val="center"/>
                </w:tcPr>
                <w:p w14:paraId="520AC25A">
                  <w:pPr>
                    <w:adjustRightInd w:val="0"/>
                    <w:snapToGrid w:val="0"/>
                    <w:jc w:val="center"/>
                    <w:rPr>
                      <w:szCs w:val="21"/>
                    </w:rPr>
                  </w:pPr>
                  <w:r>
                    <w:rPr>
                      <w:rFonts w:hint="eastAsia"/>
                      <w:szCs w:val="21"/>
                    </w:rPr>
                    <w:t>2</w:t>
                  </w:r>
                  <w:r>
                    <w:rPr>
                      <w:szCs w:val="21"/>
                    </w:rPr>
                    <w:t>0</w:t>
                  </w:r>
                </w:p>
              </w:tc>
              <w:tc>
                <w:tcPr>
                  <w:tcW w:w="1579" w:type="dxa"/>
                  <w:vAlign w:val="center"/>
                </w:tcPr>
                <w:p w14:paraId="520AC25B">
                  <w:pPr>
                    <w:adjustRightInd w:val="0"/>
                    <w:snapToGrid w:val="0"/>
                    <w:jc w:val="center"/>
                    <w:rPr>
                      <w:szCs w:val="21"/>
                    </w:rPr>
                  </w:pPr>
                  <w:r>
                    <w:rPr>
                      <w:rFonts w:hint="eastAsia"/>
                      <w:szCs w:val="21"/>
                    </w:rPr>
                    <w:t>新乡市工人文化宫</w:t>
                  </w:r>
                </w:p>
              </w:tc>
              <w:tc>
                <w:tcPr>
                  <w:tcW w:w="862" w:type="dxa"/>
                  <w:vAlign w:val="center"/>
                </w:tcPr>
                <w:p w14:paraId="520AC25C">
                  <w:pPr>
                    <w:adjustRightInd w:val="0"/>
                    <w:snapToGrid w:val="0"/>
                    <w:jc w:val="center"/>
                    <w:rPr>
                      <w:szCs w:val="21"/>
                    </w:rPr>
                  </w:pPr>
                  <w:r>
                    <w:rPr>
                      <w:rFonts w:hint="eastAsia"/>
                      <w:szCs w:val="21"/>
                    </w:rPr>
                    <w:t>文化区</w:t>
                  </w:r>
                </w:p>
              </w:tc>
              <w:tc>
                <w:tcPr>
                  <w:tcW w:w="770" w:type="dxa"/>
                  <w:vAlign w:val="center"/>
                </w:tcPr>
                <w:p w14:paraId="520AC25D">
                  <w:pPr>
                    <w:jc w:val="center"/>
                    <w:rPr>
                      <w:szCs w:val="21"/>
                    </w:rPr>
                  </w:pPr>
                  <w:r>
                    <w:rPr>
                      <w:rFonts w:hint="eastAsia"/>
                      <w:szCs w:val="21"/>
                    </w:rPr>
                    <w:t>游客</w:t>
                  </w:r>
                </w:p>
              </w:tc>
              <w:tc>
                <w:tcPr>
                  <w:tcW w:w="709" w:type="dxa"/>
                  <w:vAlign w:val="center"/>
                </w:tcPr>
                <w:p w14:paraId="520AC25E">
                  <w:pPr>
                    <w:jc w:val="center"/>
                    <w:rPr>
                      <w:szCs w:val="21"/>
                    </w:rPr>
                  </w:pPr>
                  <w:r>
                    <w:rPr>
                      <w:rFonts w:hint="eastAsia"/>
                      <w:szCs w:val="21"/>
                    </w:rPr>
                    <w:t>东</w:t>
                  </w:r>
                </w:p>
              </w:tc>
              <w:tc>
                <w:tcPr>
                  <w:tcW w:w="851" w:type="dxa"/>
                  <w:vAlign w:val="center"/>
                </w:tcPr>
                <w:p w14:paraId="520AC25F">
                  <w:pPr>
                    <w:adjustRightInd w:val="0"/>
                    <w:snapToGrid w:val="0"/>
                    <w:jc w:val="center"/>
                    <w:rPr>
                      <w:szCs w:val="21"/>
                    </w:rPr>
                  </w:pPr>
                  <w:r>
                    <w:rPr>
                      <w:rFonts w:hint="eastAsia"/>
                      <w:szCs w:val="21"/>
                    </w:rPr>
                    <w:t>4</w:t>
                  </w:r>
                  <w:r>
                    <w:rPr>
                      <w:szCs w:val="21"/>
                    </w:rPr>
                    <w:t>40</w:t>
                  </w:r>
                </w:p>
              </w:tc>
              <w:tc>
                <w:tcPr>
                  <w:tcW w:w="2222" w:type="dxa"/>
                  <w:vMerge w:val="continue"/>
                  <w:vAlign w:val="center"/>
                </w:tcPr>
                <w:p w14:paraId="520AC260">
                  <w:pPr>
                    <w:adjustRightInd w:val="0"/>
                    <w:snapToGrid w:val="0"/>
                    <w:jc w:val="center"/>
                    <w:rPr>
                      <w:szCs w:val="21"/>
                    </w:rPr>
                  </w:pPr>
                </w:p>
              </w:tc>
            </w:tr>
            <w:tr w14:paraId="520AC26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62">
                  <w:pPr>
                    <w:jc w:val="center"/>
                    <w:rPr>
                      <w:szCs w:val="21"/>
                    </w:rPr>
                  </w:pPr>
                </w:p>
              </w:tc>
              <w:tc>
                <w:tcPr>
                  <w:tcW w:w="574" w:type="dxa"/>
                  <w:vAlign w:val="center"/>
                </w:tcPr>
                <w:p w14:paraId="520AC263">
                  <w:pPr>
                    <w:adjustRightInd w:val="0"/>
                    <w:snapToGrid w:val="0"/>
                    <w:jc w:val="center"/>
                    <w:rPr>
                      <w:szCs w:val="21"/>
                    </w:rPr>
                  </w:pPr>
                  <w:r>
                    <w:rPr>
                      <w:rFonts w:hint="eastAsia"/>
                      <w:szCs w:val="21"/>
                    </w:rPr>
                    <w:t>2</w:t>
                  </w:r>
                  <w:r>
                    <w:rPr>
                      <w:szCs w:val="21"/>
                    </w:rPr>
                    <w:t>1</w:t>
                  </w:r>
                </w:p>
              </w:tc>
              <w:tc>
                <w:tcPr>
                  <w:tcW w:w="1579" w:type="dxa"/>
                  <w:vAlign w:val="center"/>
                </w:tcPr>
                <w:p w14:paraId="520AC264">
                  <w:pPr>
                    <w:adjustRightInd w:val="0"/>
                    <w:snapToGrid w:val="0"/>
                    <w:jc w:val="center"/>
                    <w:rPr>
                      <w:szCs w:val="21"/>
                    </w:rPr>
                  </w:pPr>
                  <w:r>
                    <w:rPr>
                      <w:rFonts w:hint="eastAsia"/>
                      <w:szCs w:val="21"/>
                    </w:rPr>
                    <w:t>万汇国际广场</w:t>
                  </w:r>
                </w:p>
              </w:tc>
              <w:tc>
                <w:tcPr>
                  <w:tcW w:w="862" w:type="dxa"/>
                  <w:vAlign w:val="center"/>
                </w:tcPr>
                <w:p w14:paraId="520AC265">
                  <w:pPr>
                    <w:adjustRightInd w:val="0"/>
                    <w:snapToGrid w:val="0"/>
                    <w:jc w:val="center"/>
                    <w:rPr>
                      <w:szCs w:val="21"/>
                    </w:rPr>
                  </w:pPr>
                  <w:r>
                    <w:rPr>
                      <w:rFonts w:hint="eastAsia"/>
                      <w:szCs w:val="21"/>
                    </w:rPr>
                    <w:t>商业居民混合区</w:t>
                  </w:r>
                </w:p>
              </w:tc>
              <w:tc>
                <w:tcPr>
                  <w:tcW w:w="770" w:type="dxa"/>
                  <w:vAlign w:val="center"/>
                </w:tcPr>
                <w:p w14:paraId="520AC266">
                  <w:pPr>
                    <w:jc w:val="center"/>
                    <w:rPr>
                      <w:szCs w:val="21"/>
                    </w:rPr>
                  </w:pPr>
                  <w:r>
                    <w:rPr>
                      <w:rFonts w:hint="eastAsia"/>
                      <w:szCs w:val="21"/>
                    </w:rPr>
                    <w:t>居民</w:t>
                  </w:r>
                </w:p>
              </w:tc>
              <w:tc>
                <w:tcPr>
                  <w:tcW w:w="709" w:type="dxa"/>
                  <w:vAlign w:val="center"/>
                </w:tcPr>
                <w:p w14:paraId="520AC267">
                  <w:pPr>
                    <w:jc w:val="center"/>
                    <w:rPr>
                      <w:szCs w:val="21"/>
                    </w:rPr>
                  </w:pPr>
                  <w:r>
                    <w:rPr>
                      <w:rFonts w:hint="eastAsia"/>
                      <w:szCs w:val="21"/>
                    </w:rPr>
                    <w:t>东</w:t>
                  </w:r>
                </w:p>
              </w:tc>
              <w:tc>
                <w:tcPr>
                  <w:tcW w:w="851" w:type="dxa"/>
                  <w:vAlign w:val="center"/>
                </w:tcPr>
                <w:p w14:paraId="520AC268">
                  <w:pPr>
                    <w:adjustRightInd w:val="0"/>
                    <w:snapToGrid w:val="0"/>
                    <w:jc w:val="center"/>
                    <w:rPr>
                      <w:szCs w:val="21"/>
                    </w:rPr>
                  </w:pPr>
                  <w:r>
                    <w:rPr>
                      <w:rFonts w:hint="eastAsia"/>
                      <w:szCs w:val="21"/>
                    </w:rPr>
                    <w:t>3</w:t>
                  </w:r>
                  <w:r>
                    <w:rPr>
                      <w:szCs w:val="21"/>
                    </w:rPr>
                    <w:t>71</w:t>
                  </w:r>
                </w:p>
              </w:tc>
              <w:tc>
                <w:tcPr>
                  <w:tcW w:w="2222" w:type="dxa"/>
                  <w:vMerge w:val="continue"/>
                  <w:vAlign w:val="center"/>
                </w:tcPr>
                <w:p w14:paraId="520AC269">
                  <w:pPr>
                    <w:adjustRightInd w:val="0"/>
                    <w:snapToGrid w:val="0"/>
                    <w:jc w:val="center"/>
                    <w:rPr>
                      <w:szCs w:val="21"/>
                    </w:rPr>
                  </w:pPr>
                </w:p>
              </w:tc>
            </w:tr>
            <w:tr w14:paraId="520AC27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6B">
                  <w:pPr>
                    <w:jc w:val="center"/>
                    <w:rPr>
                      <w:szCs w:val="21"/>
                    </w:rPr>
                  </w:pPr>
                </w:p>
              </w:tc>
              <w:tc>
                <w:tcPr>
                  <w:tcW w:w="574" w:type="dxa"/>
                  <w:vAlign w:val="center"/>
                </w:tcPr>
                <w:p w14:paraId="520AC26C">
                  <w:pPr>
                    <w:adjustRightInd w:val="0"/>
                    <w:snapToGrid w:val="0"/>
                    <w:jc w:val="center"/>
                    <w:rPr>
                      <w:szCs w:val="21"/>
                    </w:rPr>
                  </w:pPr>
                  <w:r>
                    <w:rPr>
                      <w:rFonts w:hint="eastAsia"/>
                      <w:szCs w:val="21"/>
                    </w:rPr>
                    <w:t>2</w:t>
                  </w:r>
                  <w:r>
                    <w:rPr>
                      <w:szCs w:val="21"/>
                    </w:rPr>
                    <w:t>2</w:t>
                  </w:r>
                </w:p>
              </w:tc>
              <w:tc>
                <w:tcPr>
                  <w:tcW w:w="1579" w:type="dxa"/>
                  <w:vAlign w:val="center"/>
                </w:tcPr>
                <w:p w14:paraId="520AC26D">
                  <w:pPr>
                    <w:adjustRightInd w:val="0"/>
                    <w:snapToGrid w:val="0"/>
                    <w:jc w:val="center"/>
                    <w:rPr>
                      <w:szCs w:val="21"/>
                    </w:rPr>
                  </w:pPr>
                  <w:r>
                    <w:rPr>
                      <w:rFonts w:hint="eastAsia"/>
                      <w:szCs w:val="21"/>
                    </w:rPr>
                    <w:t>卫河公园</w:t>
                  </w:r>
                </w:p>
              </w:tc>
              <w:tc>
                <w:tcPr>
                  <w:tcW w:w="862" w:type="dxa"/>
                  <w:vAlign w:val="center"/>
                </w:tcPr>
                <w:p w14:paraId="520AC26E">
                  <w:pPr>
                    <w:adjustRightInd w:val="0"/>
                    <w:snapToGrid w:val="0"/>
                    <w:jc w:val="center"/>
                    <w:rPr>
                      <w:szCs w:val="21"/>
                    </w:rPr>
                  </w:pPr>
                  <w:r>
                    <w:rPr>
                      <w:rFonts w:hint="eastAsia"/>
                      <w:szCs w:val="21"/>
                    </w:rPr>
                    <w:t>文化区</w:t>
                  </w:r>
                </w:p>
              </w:tc>
              <w:tc>
                <w:tcPr>
                  <w:tcW w:w="770" w:type="dxa"/>
                  <w:vAlign w:val="center"/>
                </w:tcPr>
                <w:p w14:paraId="520AC26F">
                  <w:pPr>
                    <w:jc w:val="center"/>
                    <w:rPr>
                      <w:szCs w:val="21"/>
                    </w:rPr>
                  </w:pPr>
                  <w:r>
                    <w:rPr>
                      <w:rFonts w:hint="eastAsia"/>
                      <w:szCs w:val="21"/>
                    </w:rPr>
                    <w:t>游客</w:t>
                  </w:r>
                </w:p>
              </w:tc>
              <w:tc>
                <w:tcPr>
                  <w:tcW w:w="709" w:type="dxa"/>
                  <w:vAlign w:val="center"/>
                </w:tcPr>
                <w:p w14:paraId="520AC270">
                  <w:pPr>
                    <w:jc w:val="center"/>
                    <w:rPr>
                      <w:szCs w:val="21"/>
                    </w:rPr>
                  </w:pPr>
                  <w:r>
                    <w:rPr>
                      <w:rFonts w:hint="eastAsia"/>
                      <w:szCs w:val="21"/>
                    </w:rPr>
                    <w:t>东南</w:t>
                  </w:r>
                </w:p>
              </w:tc>
              <w:tc>
                <w:tcPr>
                  <w:tcW w:w="851" w:type="dxa"/>
                  <w:vAlign w:val="center"/>
                </w:tcPr>
                <w:p w14:paraId="520AC271">
                  <w:pPr>
                    <w:adjustRightInd w:val="0"/>
                    <w:snapToGrid w:val="0"/>
                    <w:jc w:val="center"/>
                    <w:rPr>
                      <w:szCs w:val="21"/>
                    </w:rPr>
                  </w:pPr>
                  <w:r>
                    <w:rPr>
                      <w:szCs w:val="21"/>
                    </w:rPr>
                    <w:t>90</w:t>
                  </w:r>
                </w:p>
              </w:tc>
              <w:tc>
                <w:tcPr>
                  <w:tcW w:w="2222" w:type="dxa"/>
                  <w:vMerge w:val="continue"/>
                  <w:vAlign w:val="center"/>
                </w:tcPr>
                <w:p w14:paraId="520AC272">
                  <w:pPr>
                    <w:adjustRightInd w:val="0"/>
                    <w:snapToGrid w:val="0"/>
                    <w:jc w:val="center"/>
                    <w:rPr>
                      <w:szCs w:val="21"/>
                    </w:rPr>
                  </w:pPr>
                </w:p>
              </w:tc>
            </w:tr>
            <w:tr w14:paraId="520AC27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74">
                  <w:pPr>
                    <w:jc w:val="center"/>
                    <w:rPr>
                      <w:szCs w:val="21"/>
                    </w:rPr>
                  </w:pPr>
                </w:p>
              </w:tc>
              <w:tc>
                <w:tcPr>
                  <w:tcW w:w="574" w:type="dxa"/>
                  <w:vAlign w:val="center"/>
                </w:tcPr>
                <w:p w14:paraId="520AC275">
                  <w:pPr>
                    <w:adjustRightInd w:val="0"/>
                    <w:snapToGrid w:val="0"/>
                    <w:jc w:val="center"/>
                    <w:rPr>
                      <w:szCs w:val="21"/>
                    </w:rPr>
                  </w:pPr>
                  <w:r>
                    <w:rPr>
                      <w:rFonts w:hint="eastAsia"/>
                      <w:szCs w:val="21"/>
                    </w:rPr>
                    <w:t>2</w:t>
                  </w:r>
                  <w:r>
                    <w:rPr>
                      <w:szCs w:val="21"/>
                    </w:rPr>
                    <w:t>3</w:t>
                  </w:r>
                </w:p>
              </w:tc>
              <w:tc>
                <w:tcPr>
                  <w:tcW w:w="1579" w:type="dxa"/>
                  <w:vAlign w:val="center"/>
                </w:tcPr>
                <w:p w14:paraId="520AC276">
                  <w:pPr>
                    <w:adjustRightInd w:val="0"/>
                    <w:snapToGrid w:val="0"/>
                    <w:jc w:val="center"/>
                    <w:rPr>
                      <w:szCs w:val="21"/>
                    </w:rPr>
                  </w:pPr>
                  <w:r>
                    <w:rPr>
                      <w:rFonts w:hint="eastAsia"/>
                      <w:szCs w:val="21"/>
                    </w:rPr>
                    <w:t>新乡市公安局犯罪侦查支队</w:t>
                  </w:r>
                </w:p>
              </w:tc>
              <w:tc>
                <w:tcPr>
                  <w:tcW w:w="862" w:type="dxa"/>
                  <w:vAlign w:val="center"/>
                </w:tcPr>
                <w:p w14:paraId="520AC277">
                  <w:pPr>
                    <w:adjustRightInd w:val="0"/>
                    <w:snapToGrid w:val="0"/>
                    <w:jc w:val="center"/>
                    <w:rPr>
                      <w:szCs w:val="21"/>
                    </w:rPr>
                  </w:pPr>
                  <w:r>
                    <w:rPr>
                      <w:rFonts w:hint="eastAsia"/>
                      <w:szCs w:val="21"/>
                    </w:rPr>
                    <w:t>行政事业单位</w:t>
                  </w:r>
                </w:p>
              </w:tc>
              <w:tc>
                <w:tcPr>
                  <w:tcW w:w="770" w:type="dxa"/>
                  <w:vAlign w:val="center"/>
                </w:tcPr>
                <w:p w14:paraId="520AC278">
                  <w:pPr>
                    <w:jc w:val="center"/>
                    <w:rPr>
                      <w:szCs w:val="21"/>
                    </w:rPr>
                  </w:pPr>
                  <w:r>
                    <w:rPr>
                      <w:rFonts w:hint="eastAsia"/>
                      <w:szCs w:val="21"/>
                    </w:rPr>
                    <w:t>职工</w:t>
                  </w:r>
                </w:p>
              </w:tc>
              <w:tc>
                <w:tcPr>
                  <w:tcW w:w="709" w:type="dxa"/>
                  <w:vAlign w:val="center"/>
                </w:tcPr>
                <w:p w14:paraId="520AC279">
                  <w:pPr>
                    <w:jc w:val="center"/>
                    <w:rPr>
                      <w:szCs w:val="21"/>
                    </w:rPr>
                  </w:pPr>
                  <w:r>
                    <w:rPr>
                      <w:rFonts w:hint="eastAsia"/>
                      <w:szCs w:val="21"/>
                    </w:rPr>
                    <w:t>东南</w:t>
                  </w:r>
                </w:p>
              </w:tc>
              <w:tc>
                <w:tcPr>
                  <w:tcW w:w="851" w:type="dxa"/>
                  <w:vAlign w:val="center"/>
                </w:tcPr>
                <w:p w14:paraId="520AC27A">
                  <w:pPr>
                    <w:adjustRightInd w:val="0"/>
                    <w:snapToGrid w:val="0"/>
                    <w:jc w:val="center"/>
                    <w:rPr>
                      <w:szCs w:val="21"/>
                    </w:rPr>
                  </w:pPr>
                  <w:r>
                    <w:rPr>
                      <w:rFonts w:hint="eastAsia"/>
                      <w:szCs w:val="21"/>
                    </w:rPr>
                    <w:t>2</w:t>
                  </w:r>
                  <w:r>
                    <w:rPr>
                      <w:szCs w:val="21"/>
                    </w:rPr>
                    <w:t>23</w:t>
                  </w:r>
                </w:p>
              </w:tc>
              <w:tc>
                <w:tcPr>
                  <w:tcW w:w="2222" w:type="dxa"/>
                  <w:vMerge w:val="continue"/>
                  <w:vAlign w:val="center"/>
                </w:tcPr>
                <w:p w14:paraId="520AC27B">
                  <w:pPr>
                    <w:adjustRightInd w:val="0"/>
                    <w:snapToGrid w:val="0"/>
                    <w:jc w:val="center"/>
                    <w:rPr>
                      <w:szCs w:val="21"/>
                    </w:rPr>
                  </w:pPr>
                </w:p>
              </w:tc>
            </w:tr>
            <w:tr w14:paraId="520AC28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7D">
                  <w:pPr>
                    <w:jc w:val="center"/>
                    <w:rPr>
                      <w:szCs w:val="21"/>
                    </w:rPr>
                  </w:pPr>
                </w:p>
              </w:tc>
              <w:tc>
                <w:tcPr>
                  <w:tcW w:w="574" w:type="dxa"/>
                  <w:vAlign w:val="center"/>
                </w:tcPr>
                <w:p w14:paraId="520AC27E">
                  <w:pPr>
                    <w:adjustRightInd w:val="0"/>
                    <w:snapToGrid w:val="0"/>
                    <w:jc w:val="center"/>
                    <w:rPr>
                      <w:szCs w:val="21"/>
                    </w:rPr>
                  </w:pPr>
                  <w:r>
                    <w:rPr>
                      <w:rFonts w:hint="eastAsia"/>
                      <w:szCs w:val="21"/>
                    </w:rPr>
                    <w:t>2</w:t>
                  </w:r>
                  <w:r>
                    <w:rPr>
                      <w:szCs w:val="21"/>
                    </w:rPr>
                    <w:t>4</w:t>
                  </w:r>
                </w:p>
              </w:tc>
              <w:tc>
                <w:tcPr>
                  <w:tcW w:w="1579" w:type="dxa"/>
                  <w:vAlign w:val="center"/>
                </w:tcPr>
                <w:p w14:paraId="520AC27F">
                  <w:pPr>
                    <w:adjustRightInd w:val="0"/>
                    <w:snapToGrid w:val="0"/>
                    <w:jc w:val="center"/>
                    <w:rPr>
                      <w:szCs w:val="21"/>
                    </w:rPr>
                  </w:pPr>
                  <w:r>
                    <w:rPr>
                      <w:rFonts w:hint="eastAsia"/>
                      <w:szCs w:val="21"/>
                    </w:rPr>
                    <w:t>和平巷居民区</w:t>
                  </w:r>
                </w:p>
              </w:tc>
              <w:tc>
                <w:tcPr>
                  <w:tcW w:w="862" w:type="dxa"/>
                  <w:vAlign w:val="center"/>
                </w:tcPr>
                <w:p w14:paraId="520AC280">
                  <w:pPr>
                    <w:adjustRightInd w:val="0"/>
                    <w:snapToGrid w:val="0"/>
                    <w:jc w:val="center"/>
                    <w:rPr>
                      <w:szCs w:val="21"/>
                    </w:rPr>
                  </w:pPr>
                  <w:r>
                    <w:rPr>
                      <w:szCs w:val="21"/>
                    </w:rPr>
                    <w:t>居住区</w:t>
                  </w:r>
                </w:p>
              </w:tc>
              <w:tc>
                <w:tcPr>
                  <w:tcW w:w="770" w:type="dxa"/>
                  <w:vAlign w:val="center"/>
                </w:tcPr>
                <w:p w14:paraId="520AC281">
                  <w:pPr>
                    <w:jc w:val="center"/>
                    <w:rPr>
                      <w:szCs w:val="21"/>
                    </w:rPr>
                  </w:pPr>
                  <w:r>
                    <w:rPr>
                      <w:szCs w:val="21"/>
                    </w:rPr>
                    <w:t>居民</w:t>
                  </w:r>
                </w:p>
              </w:tc>
              <w:tc>
                <w:tcPr>
                  <w:tcW w:w="709" w:type="dxa"/>
                  <w:vAlign w:val="center"/>
                </w:tcPr>
                <w:p w14:paraId="520AC282">
                  <w:pPr>
                    <w:jc w:val="center"/>
                    <w:rPr>
                      <w:szCs w:val="21"/>
                    </w:rPr>
                  </w:pPr>
                  <w:r>
                    <w:rPr>
                      <w:rFonts w:hint="eastAsia"/>
                      <w:szCs w:val="21"/>
                    </w:rPr>
                    <w:t>东南</w:t>
                  </w:r>
                </w:p>
              </w:tc>
              <w:tc>
                <w:tcPr>
                  <w:tcW w:w="851" w:type="dxa"/>
                  <w:vAlign w:val="center"/>
                </w:tcPr>
                <w:p w14:paraId="520AC283">
                  <w:pPr>
                    <w:adjustRightInd w:val="0"/>
                    <w:snapToGrid w:val="0"/>
                    <w:jc w:val="center"/>
                    <w:rPr>
                      <w:szCs w:val="21"/>
                    </w:rPr>
                  </w:pPr>
                  <w:r>
                    <w:rPr>
                      <w:rFonts w:hint="eastAsia"/>
                      <w:szCs w:val="21"/>
                    </w:rPr>
                    <w:t>2</w:t>
                  </w:r>
                  <w:r>
                    <w:rPr>
                      <w:szCs w:val="21"/>
                    </w:rPr>
                    <w:t>56</w:t>
                  </w:r>
                </w:p>
              </w:tc>
              <w:tc>
                <w:tcPr>
                  <w:tcW w:w="2222" w:type="dxa"/>
                  <w:vMerge w:val="continue"/>
                  <w:vAlign w:val="center"/>
                </w:tcPr>
                <w:p w14:paraId="520AC284">
                  <w:pPr>
                    <w:adjustRightInd w:val="0"/>
                    <w:snapToGrid w:val="0"/>
                    <w:jc w:val="center"/>
                    <w:rPr>
                      <w:szCs w:val="21"/>
                    </w:rPr>
                  </w:pPr>
                </w:p>
              </w:tc>
            </w:tr>
            <w:tr w14:paraId="520AC28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Merge w:val="continue"/>
                  <w:vAlign w:val="center"/>
                </w:tcPr>
                <w:p w14:paraId="520AC286">
                  <w:pPr>
                    <w:jc w:val="center"/>
                    <w:rPr>
                      <w:szCs w:val="21"/>
                    </w:rPr>
                  </w:pPr>
                </w:p>
              </w:tc>
              <w:tc>
                <w:tcPr>
                  <w:tcW w:w="574" w:type="dxa"/>
                  <w:vAlign w:val="center"/>
                </w:tcPr>
                <w:p w14:paraId="520AC287">
                  <w:pPr>
                    <w:adjustRightInd w:val="0"/>
                    <w:snapToGrid w:val="0"/>
                    <w:jc w:val="center"/>
                    <w:rPr>
                      <w:szCs w:val="21"/>
                    </w:rPr>
                  </w:pPr>
                  <w:r>
                    <w:rPr>
                      <w:rFonts w:hint="eastAsia"/>
                      <w:szCs w:val="21"/>
                    </w:rPr>
                    <w:t>2</w:t>
                  </w:r>
                  <w:r>
                    <w:rPr>
                      <w:szCs w:val="21"/>
                    </w:rPr>
                    <w:t>5</w:t>
                  </w:r>
                </w:p>
              </w:tc>
              <w:tc>
                <w:tcPr>
                  <w:tcW w:w="1579" w:type="dxa"/>
                  <w:vAlign w:val="center"/>
                </w:tcPr>
                <w:p w14:paraId="520AC288">
                  <w:pPr>
                    <w:adjustRightInd w:val="0"/>
                    <w:snapToGrid w:val="0"/>
                    <w:jc w:val="center"/>
                    <w:rPr>
                      <w:szCs w:val="21"/>
                    </w:rPr>
                  </w:pPr>
                  <w:r>
                    <w:rPr>
                      <w:rFonts w:hint="eastAsia"/>
                      <w:szCs w:val="21"/>
                    </w:rPr>
                    <w:t>豫兴龙湾小区</w:t>
                  </w:r>
                </w:p>
              </w:tc>
              <w:tc>
                <w:tcPr>
                  <w:tcW w:w="862" w:type="dxa"/>
                  <w:vAlign w:val="center"/>
                </w:tcPr>
                <w:p w14:paraId="520AC289">
                  <w:pPr>
                    <w:adjustRightInd w:val="0"/>
                    <w:snapToGrid w:val="0"/>
                    <w:jc w:val="center"/>
                    <w:rPr>
                      <w:szCs w:val="21"/>
                    </w:rPr>
                  </w:pPr>
                  <w:r>
                    <w:rPr>
                      <w:szCs w:val="21"/>
                    </w:rPr>
                    <w:t>居住区</w:t>
                  </w:r>
                </w:p>
              </w:tc>
              <w:tc>
                <w:tcPr>
                  <w:tcW w:w="770" w:type="dxa"/>
                  <w:vAlign w:val="center"/>
                </w:tcPr>
                <w:p w14:paraId="520AC28A">
                  <w:pPr>
                    <w:jc w:val="center"/>
                    <w:rPr>
                      <w:szCs w:val="21"/>
                    </w:rPr>
                  </w:pPr>
                  <w:r>
                    <w:rPr>
                      <w:szCs w:val="21"/>
                    </w:rPr>
                    <w:t>居民</w:t>
                  </w:r>
                </w:p>
              </w:tc>
              <w:tc>
                <w:tcPr>
                  <w:tcW w:w="709" w:type="dxa"/>
                  <w:vAlign w:val="center"/>
                </w:tcPr>
                <w:p w14:paraId="520AC28B">
                  <w:pPr>
                    <w:jc w:val="center"/>
                    <w:rPr>
                      <w:szCs w:val="21"/>
                    </w:rPr>
                  </w:pPr>
                  <w:r>
                    <w:rPr>
                      <w:rFonts w:hint="eastAsia"/>
                      <w:szCs w:val="21"/>
                    </w:rPr>
                    <w:t>东南</w:t>
                  </w:r>
                </w:p>
              </w:tc>
              <w:tc>
                <w:tcPr>
                  <w:tcW w:w="851" w:type="dxa"/>
                  <w:vAlign w:val="center"/>
                </w:tcPr>
                <w:p w14:paraId="520AC28C">
                  <w:pPr>
                    <w:adjustRightInd w:val="0"/>
                    <w:snapToGrid w:val="0"/>
                    <w:jc w:val="center"/>
                    <w:rPr>
                      <w:szCs w:val="21"/>
                    </w:rPr>
                  </w:pPr>
                  <w:r>
                    <w:rPr>
                      <w:rFonts w:hint="eastAsia"/>
                      <w:szCs w:val="21"/>
                    </w:rPr>
                    <w:t>3</w:t>
                  </w:r>
                  <w:r>
                    <w:rPr>
                      <w:szCs w:val="21"/>
                    </w:rPr>
                    <w:t>76</w:t>
                  </w:r>
                </w:p>
              </w:tc>
              <w:tc>
                <w:tcPr>
                  <w:tcW w:w="2222" w:type="dxa"/>
                  <w:vMerge w:val="continue"/>
                  <w:vAlign w:val="center"/>
                </w:tcPr>
                <w:p w14:paraId="520AC28D">
                  <w:pPr>
                    <w:adjustRightInd w:val="0"/>
                    <w:snapToGrid w:val="0"/>
                    <w:jc w:val="center"/>
                    <w:rPr>
                      <w:szCs w:val="21"/>
                    </w:rPr>
                  </w:pPr>
                </w:p>
              </w:tc>
            </w:tr>
            <w:tr w14:paraId="520AC29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8" w:type="dxa"/>
                  <w:vAlign w:val="center"/>
                </w:tcPr>
                <w:p w14:paraId="520AC28F">
                  <w:pPr>
                    <w:jc w:val="center"/>
                    <w:rPr>
                      <w:szCs w:val="21"/>
                    </w:rPr>
                  </w:pPr>
                  <w:r>
                    <w:rPr>
                      <w:rFonts w:hint="eastAsia"/>
                      <w:szCs w:val="21"/>
                    </w:rPr>
                    <w:t>水环境</w:t>
                  </w:r>
                </w:p>
              </w:tc>
              <w:tc>
                <w:tcPr>
                  <w:tcW w:w="574" w:type="dxa"/>
                  <w:vAlign w:val="center"/>
                </w:tcPr>
                <w:p w14:paraId="520AC290">
                  <w:pPr>
                    <w:adjustRightInd w:val="0"/>
                    <w:snapToGrid w:val="0"/>
                    <w:jc w:val="center"/>
                    <w:rPr>
                      <w:szCs w:val="21"/>
                    </w:rPr>
                  </w:pPr>
                  <w:r>
                    <w:rPr>
                      <w:rFonts w:hint="eastAsia"/>
                      <w:szCs w:val="21"/>
                    </w:rPr>
                    <w:t>1</w:t>
                  </w:r>
                </w:p>
              </w:tc>
              <w:tc>
                <w:tcPr>
                  <w:tcW w:w="1579" w:type="dxa"/>
                  <w:vAlign w:val="center"/>
                </w:tcPr>
                <w:p w14:paraId="520AC291">
                  <w:pPr>
                    <w:adjustRightInd w:val="0"/>
                    <w:snapToGrid w:val="0"/>
                    <w:jc w:val="center"/>
                    <w:rPr>
                      <w:szCs w:val="21"/>
                    </w:rPr>
                  </w:pPr>
                  <w:r>
                    <w:rPr>
                      <w:rFonts w:hint="eastAsia"/>
                      <w:szCs w:val="21"/>
                    </w:rPr>
                    <w:t>卫河</w:t>
                  </w:r>
                </w:p>
              </w:tc>
              <w:tc>
                <w:tcPr>
                  <w:tcW w:w="862" w:type="dxa"/>
                  <w:vAlign w:val="center"/>
                </w:tcPr>
                <w:p w14:paraId="520AC292">
                  <w:pPr>
                    <w:adjustRightInd w:val="0"/>
                    <w:snapToGrid w:val="0"/>
                    <w:jc w:val="center"/>
                    <w:rPr>
                      <w:szCs w:val="21"/>
                    </w:rPr>
                  </w:pPr>
                  <w:r>
                    <w:rPr>
                      <w:rFonts w:hint="eastAsia"/>
                      <w:szCs w:val="21"/>
                    </w:rPr>
                    <w:t>地表水</w:t>
                  </w:r>
                </w:p>
              </w:tc>
              <w:tc>
                <w:tcPr>
                  <w:tcW w:w="770" w:type="dxa"/>
                  <w:vAlign w:val="center"/>
                </w:tcPr>
                <w:p w14:paraId="520AC293">
                  <w:pPr>
                    <w:jc w:val="center"/>
                    <w:rPr>
                      <w:szCs w:val="21"/>
                    </w:rPr>
                  </w:pPr>
                  <w:r>
                    <w:rPr>
                      <w:rFonts w:hint="eastAsia"/>
                      <w:szCs w:val="21"/>
                    </w:rPr>
                    <w:t>地表水</w:t>
                  </w:r>
                </w:p>
              </w:tc>
              <w:tc>
                <w:tcPr>
                  <w:tcW w:w="709" w:type="dxa"/>
                  <w:vAlign w:val="center"/>
                </w:tcPr>
                <w:p w14:paraId="520AC294">
                  <w:pPr>
                    <w:jc w:val="center"/>
                    <w:rPr>
                      <w:szCs w:val="21"/>
                    </w:rPr>
                  </w:pPr>
                  <w:r>
                    <w:rPr>
                      <w:rFonts w:hint="eastAsia"/>
                      <w:szCs w:val="21"/>
                    </w:rPr>
                    <w:t>南</w:t>
                  </w:r>
                </w:p>
              </w:tc>
              <w:tc>
                <w:tcPr>
                  <w:tcW w:w="851" w:type="dxa"/>
                  <w:vAlign w:val="center"/>
                </w:tcPr>
                <w:p w14:paraId="520AC295">
                  <w:pPr>
                    <w:adjustRightInd w:val="0"/>
                    <w:snapToGrid w:val="0"/>
                    <w:jc w:val="center"/>
                    <w:rPr>
                      <w:szCs w:val="21"/>
                    </w:rPr>
                  </w:pPr>
                  <w:r>
                    <w:rPr>
                      <w:rFonts w:hint="eastAsia"/>
                      <w:szCs w:val="21"/>
                    </w:rPr>
                    <w:t>2</w:t>
                  </w:r>
                  <w:r>
                    <w:rPr>
                      <w:szCs w:val="21"/>
                    </w:rPr>
                    <w:t>0</w:t>
                  </w:r>
                </w:p>
              </w:tc>
              <w:tc>
                <w:tcPr>
                  <w:tcW w:w="2222" w:type="dxa"/>
                  <w:vAlign w:val="center"/>
                </w:tcPr>
                <w:p w14:paraId="520AC296">
                  <w:pPr>
                    <w:adjustRightInd w:val="0"/>
                    <w:snapToGrid w:val="0"/>
                    <w:jc w:val="center"/>
                    <w:rPr>
                      <w:szCs w:val="21"/>
                    </w:rPr>
                  </w:pPr>
                  <w:r>
                    <w:rPr>
                      <w:szCs w:val="21"/>
                    </w:rPr>
                    <w:t>《</w:t>
                  </w:r>
                  <w:r>
                    <w:rPr>
                      <w:rFonts w:hint="eastAsia"/>
                      <w:szCs w:val="21"/>
                    </w:rPr>
                    <w:t>地表水环境</w:t>
                  </w:r>
                  <w:r>
                    <w:rPr>
                      <w:szCs w:val="21"/>
                    </w:rPr>
                    <w:t>质量标准》（GB3838-2002）Ⅳ类</w:t>
                  </w:r>
                </w:p>
              </w:tc>
            </w:tr>
          </w:tbl>
          <w:p w14:paraId="520AC298">
            <w:pPr>
              <w:adjustRightInd w:val="0"/>
              <w:snapToGrid w:val="0"/>
              <w:spacing w:line="460" w:lineRule="exact"/>
              <w:ind w:firstLine="480" w:firstLineChars="200"/>
              <w:rPr>
                <w:sz w:val="24"/>
                <w:highlight w:val="yellow"/>
              </w:rPr>
            </w:pPr>
          </w:p>
          <w:p w14:paraId="520AC299">
            <w:pPr>
              <w:adjustRightInd w:val="0"/>
              <w:snapToGrid w:val="0"/>
              <w:spacing w:line="460" w:lineRule="exact"/>
              <w:ind w:firstLine="480" w:firstLineChars="200"/>
              <w:rPr>
                <w:sz w:val="24"/>
                <w:highlight w:val="yellow"/>
              </w:rPr>
            </w:pPr>
          </w:p>
          <w:p w14:paraId="520AC29A">
            <w:pPr>
              <w:adjustRightInd w:val="0"/>
              <w:snapToGrid w:val="0"/>
              <w:spacing w:line="460" w:lineRule="exact"/>
              <w:ind w:firstLine="480" w:firstLineChars="200"/>
              <w:rPr>
                <w:sz w:val="24"/>
                <w:highlight w:val="yellow"/>
              </w:rPr>
            </w:pPr>
          </w:p>
          <w:p w14:paraId="520AC2A0">
            <w:pPr>
              <w:adjustRightInd w:val="0"/>
              <w:snapToGrid w:val="0"/>
              <w:spacing w:line="460" w:lineRule="exact"/>
              <w:ind w:firstLine="480" w:firstLineChars="200"/>
              <w:rPr>
                <w:sz w:val="24"/>
                <w:highlight w:val="yellow"/>
              </w:rPr>
            </w:pPr>
          </w:p>
          <w:p w14:paraId="520AC2A1">
            <w:pPr>
              <w:adjustRightInd w:val="0"/>
              <w:snapToGrid w:val="0"/>
              <w:spacing w:line="460" w:lineRule="exact"/>
              <w:ind w:firstLine="480" w:firstLineChars="200"/>
              <w:rPr>
                <w:sz w:val="24"/>
                <w:highlight w:val="yellow"/>
              </w:rPr>
            </w:pPr>
          </w:p>
          <w:p w14:paraId="520AC2A9">
            <w:pPr>
              <w:adjustRightInd w:val="0"/>
              <w:snapToGrid w:val="0"/>
              <w:spacing w:line="460" w:lineRule="exact"/>
              <w:ind w:firstLine="480" w:firstLineChars="200"/>
              <w:rPr>
                <w:rFonts w:hint="eastAsia" w:ascii="宋体" w:hAnsi="宋体" w:cs="宋体"/>
                <w:kern w:val="0"/>
                <w:sz w:val="24"/>
                <w:highlight w:val="yellow"/>
              </w:rPr>
            </w:pPr>
          </w:p>
        </w:tc>
      </w:tr>
      <w:tr w14:paraId="520AC3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48" w:hRule="atLeast"/>
          <w:jc w:val="center"/>
        </w:trPr>
        <w:tc>
          <w:tcPr>
            <w:tcW w:w="800" w:type="dxa"/>
            <w:tcMar>
              <w:left w:w="28" w:type="dxa"/>
              <w:right w:w="28" w:type="dxa"/>
            </w:tcMar>
            <w:vAlign w:val="center"/>
          </w:tcPr>
          <w:p w14:paraId="520AC2AB">
            <w:pPr>
              <w:adjustRightInd w:val="0"/>
              <w:snapToGrid w:val="0"/>
              <w:jc w:val="center"/>
              <w:rPr>
                <w:rFonts w:hint="eastAsia" w:ascii="宋体" w:hAnsi="宋体" w:cs="宋体"/>
                <w:kern w:val="0"/>
                <w:szCs w:val="21"/>
              </w:rPr>
            </w:pPr>
            <w:r>
              <w:rPr>
                <w:rFonts w:hint="eastAsia" w:ascii="宋体" w:hAnsi="宋体" w:cs="宋体"/>
                <w:kern w:val="0"/>
                <w:szCs w:val="21"/>
              </w:rPr>
              <w:t>污染</w:t>
            </w:r>
          </w:p>
          <w:p w14:paraId="520AC2AC">
            <w:pPr>
              <w:adjustRightInd w:val="0"/>
              <w:snapToGrid w:val="0"/>
              <w:jc w:val="center"/>
              <w:rPr>
                <w:rFonts w:hint="eastAsia" w:ascii="宋体" w:hAnsi="宋体" w:cs="宋体"/>
                <w:kern w:val="0"/>
                <w:szCs w:val="21"/>
              </w:rPr>
            </w:pPr>
            <w:r>
              <w:rPr>
                <w:rFonts w:hint="eastAsia" w:ascii="宋体" w:hAnsi="宋体" w:cs="宋体"/>
                <w:kern w:val="0"/>
                <w:szCs w:val="21"/>
              </w:rPr>
              <w:t>物排</w:t>
            </w:r>
          </w:p>
          <w:p w14:paraId="520AC2AD">
            <w:pPr>
              <w:adjustRightInd w:val="0"/>
              <w:snapToGrid w:val="0"/>
              <w:jc w:val="center"/>
              <w:rPr>
                <w:rFonts w:hint="eastAsia" w:ascii="宋体" w:hAnsi="宋体" w:cs="宋体"/>
                <w:kern w:val="0"/>
                <w:szCs w:val="21"/>
              </w:rPr>
            </w:pPr>
            <w:r>
              <w:rPr>
                <w:rFonts w:hint="eastAsia" w:ascii="宋体" w:hAnsi="宋体" w:cs="宋体"/>
                <w:kern w:val="0"/>
                <w:szCs w:val="21"/>
              </w:rPr>
              <w:t>放控</w:t>
            </w:r>
          </w:p>
          <w:p w14:paraId="520AC2AE">
            <w:pPr>
              <w:adjustRightInd w:val="0"/>
              <w:snapToGrid w:val="0"/>
              <w:jc w:val="center"/>
              <w:rPr>
                <w:rFonts w:hint="eastAsia" w:ascii="宋体" w:hAnsi="宋体" w:cs="宋体"/>
                <w:kern w:val="0"/>
                <w:szCs w:val="21"/>
              </w:rPr>
            </w:pPr>
            <w:r>
              <w:rPr>
                <w:rFonts w:hint="eastAsia" w:ascii="宋体" w:hAnsi="宋体" w:cs="宋体"/>
                <w:kern w:val="0"/>
                <w:szCs w:val="21"/>
              </w:rPr>
              <w:t>制标</w:t>
            </w:r>
          </w:p>
          <w:p w14:paraId="520AC2AF">
            <w:pPr>
              <w:adjustRightInd w:val="0"/>
              <w:snapToGrid w:val="0"/>
              <w:jc w:val="center"/>
              <w:rPr>
                <w:rFonts w:hint="eastAsia" w:ascii="宋体" w:hAnsi="宋体" w:cs="宋体"/>
                <w:kern w:val="0"/>
                <w:szCs w:val="21"/>
                <w:highlight w:val="yellow"/>
              </w:rPr>
            </w:pPr>
            <w:r>
              <w:rPr>
                <w:rFonts w:hint="eastAsia" w:ascii="宋体" w:hAnsi="宋体" w:cs="宋体"/>
                <w:kern w:val="0"/>
                <w:szCs w:val="21"/>
              </w:rPr>
              <w:t>准</w:t>
            </w:r>
          </w:p>
        </w:tc>
        <w:tc>
          <w:tcPr>
            <w:tcW w:w="8190" w:type="dxa"/>
            <w:vAlign w:val="center"/>
          </w:tcPr>
          <w:p w14:paraId="520AC2B0">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46</w:t>
            </w:r>
            <w:r>
              <w:rPr>
                <w:rFonts w:eastAsia="黑体"/>
                <w:sz w:val="24"/>
              </w:rPr>
              <w:t xml:space="preserve">        </w:t>
            </w:r>
            <w:r>
              <w:rPr>
                <w:rFonts w:hint="eastAsia" w:eastAsia="黑体"/>
                <w:sz w:val="24"/>
              </w:rPr>
              <w:t xml:space="preserve">   </w:t>
            </w:r>
            <w:r>
              <w:rPr>
                <w:rFonts w:eastAsia="黑体"/>
                <w:sz w:val="24"/>
              </w:rPr>
              <w:t xml:space="preserve">    污染物排放标准</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785"/>
              <w:gridCol w:w="2836"/>
              <w:gridCol w:w="709"/>
              <w:gridCol w:w="1701"/>
              <w:gridCol w:w="1943"/>
            </w:tblGrid>
            <w:tr w14:paraId="520AC2B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tcBorders>
                    <w:top w:val="single" w:color="auto" w:sz="8" w:space="0"/>
                    <w:bottom w:val="single" w:color="auto" w:sz="4" w:space="0"/>
                    <w:right w:val="single" w:color="auto" w:sz="4" w:space="0"/>
                  </w:tcBorders>
                  <w:vAlign w:val="center"/>
                </w:tcPr>
                <w:p w14:paraId="520AC2B1">
                  <w:pPr>
                    <w:jc w:val="center"/>
                    <w:rPr>
                      <w:b/>
                      <w:szCs w:val="21"/>
                    </w:rPr>
                  </w:pPr>
                  <w:r>
                    <w:rPr>
                      <w:b/>
                      <w:szCs w:val="21"/>
                    </w:rPr>
                    <w:t>污染物</w:t>
                  </w:r>
                </w:p>
              </w:tc>
              <w:tc>
                <w:tcPr>
                  <w:tcW w:w="2836" w:type="dxa"/>
                  <w:tcBorders>
                    <w:top w:val="single" w:color="auto" w:sz="8" w:space="0"/>
                    <w:left w:val="single" w:color="auto" w:sz="4" w:space="0"/>
                    <w:bottom w:val="single" w:color="auto" w:sz="4" w:space="0"/>
                    <w:right w:val="single" w:color="auto" w:sz="4" w:space="0"/>
                  </w:tcBorders>
                  <w:vAlign w:val="center"/>
                </w:tcPr>
                <w:p w14:paraId="520AC2B2">
                  <w:pPr>
                    <w:jc w:val="center"/>
                    <w:rPr>
                      <w:b/>
                      <w:szCs w:val="21"/>
                    </w:rPr>
                  </w:pPr>
                  <w:r>
                    <w:rPr>
                      <w:b/>
                      <w:szCs w:val="21"/>
                    </w:rPr>
                    <w:t>标准名称</w:t>
                  </w:r>
                </w:p>
              </w:tc>
              <w:tc>
                <w:tcPr>
                  <w:tcW w:w="2410" w:type="dxa"/>
                  <w:gridSpan w:val="2"/>
                  <w:tcBorders>
                    <w:top w:val="single" w:color="auto" w:sz="8" w:space="0"/>
                    <w:left w:val="single" w:color="auto" w:sz="4" w:space="0"/>
                    <w:bottom w:val="single" w:color="auto" w:sz="4" w:space="0"/>
                    <w:right w:val="single" w:color="auto" w:sz="4" w:space="0"/>
                  </w:tcBorders>
                  <w:vAlign w:val="center"/>
                </w:tcPr>
                <w:p w14:paraId="520AC2B3">
                  <w:pPr>
                    <w:jc w:val="center"/>
                    <w:rPr>
                      <w:b/>
                      <w:szCs w:val="21"/>
                    </w:rPr>
                  </w:pPr>
                  <w:r>
                    <w:rPr>
                      <w:b/>
                      <w:szCs w:val="21"/>
                    </w:rPr>
                    <w:t>污染因子</w:t>
                  </w:r>
                </w:p>
              </w:tc>
              <w:tc>
                <w:tcPr>
                  <w:tcW w:w="1943" w:type="dxa"/>
                  <w:tcBorders>
                    <w:top w:val="single" w:color="auto" w:sz="8" w:space="0"/>
                    <w:left w:val="single" w:color="auto" w:sz="4" w:space="0"/>
                    <w:bottom w:val="single" w:color="auto" w:sz="4" w:space="0"/>
                  </w:tcBorders>
                  <w:vAlign w:val="center"/>
                </w:tcPr>
                <w:p w14:paraId="520AC2B4">
                  <w:pPr>
                    <w:jc w:val="center"/>
                    <w:rPr>
                      <w:b/>
                      <w:szCs w:val="21"/>
                    </w:rPr>
                  </w:pPr>
                  <w:r>
                    <w:rPr>
                      <w:b/>
                      <w:szCs w:val="21"/>
                    </w:rPr>
                    <w:t>标准限值</w:t>
                  </w:r>
                </w:p>
              </w:tc>
            </w:tr>
            <w:tr w14:paraId="520AC2B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restart"/>
                  <w:tcBorders>
                    <w:right w:val="single" w:color="auto" w:sz="4" w:space="0"/>
                  </w:tcBorders>
                  <w:vAlign w:val="center"/>
                </w:tcPr>
                <w:p w14:paraId="520AC2B6">
                  <w:pPr>
                    <w:jc w:val="center"/>
                    <w:rPr>
                      <w:szCs w:val="21"/>
                    </w:rPr>
                  </w:pPr>
                  <w:r>
                    <w:rPr>
                      <w:rFonts w:hint="eastAsia"/>
                      <w:szCs w:val="21"/>
                    </w:rPr>
                    <w:t>废水</w:t>
                  </w:r>
                </w:p>
              </w:tc>
              <w:tc>
                <w:tcPr>
                  <w:tcW w:w="2836" w:type="dxa"/>
                  <w:vMerge w:val="restart"/>
                  <w:tcBorders>
                    <w:left w:val="single" w:color="auto" w:sz="4" w:space="0"/>
                    <w:right w:val="single" w:color="auto" w:sz="4" w:space="0"/>
                  </w:tcBorders>
                  <w:vAlign w:val="center"/>
                </w:tcPr>
                <w:p w14:paraId="520AC2B7">
                  <w:pPr>
                    <w:jc w:val="center"/>
                  </w:pPr>
                  <w:r>
                    <w:rPr>
                      <w:rFonts w:hint="eastAsia"/>
                    </w:rPr>
                    <w:t>《</w:t>
                  </w:r>
                  <w:r>
                    <w:rPr>
                      <w:bCs/>
                    </w:rPr>
                    <w:t>污水综合排放标准</w:t>
                  </w:r>
                  <w:r>
                    <w:rPr>
                      <w:rFonts w:hint="eastAsia"/>
                    </w:rPr>
                    <w:t>》</w:t>
                  </w:r>
                  <w:r>
                    <w:rPr>
                      <w:bCs/>
                    </w:rPr>
                    <w:t>（GB8978-1996）</w:t>
                  </w:r>
                  <w:r>
                    <w:rPr>
                      <w:rFonts w:hint="eastAsia"/>
                      <w:bCs/>
                    </w:rPr>
                    <w:t>表4二级</w:t>
                  </w:r>
                </w:p>
              </w:tc>
              <w:tc>
                <w:tcPr>
                  <w:tcW w:w="2410" w:type="dxa"/>
                  <w:gridSpan w:val="2"/>
                  <w:tcBorders>
                    <w:left w:val="single" w:color="auto" w:sz="4" w:space="0"/>
                    <w:right w:val="single" w:color="auto" w:sz="4" w:space="0"/>
                  </w:tcBorders>
                  <w:vAlign w:val="center"/>
                </w:tcPr>
                <w:p w14:paraId="520AC2B8">
                  <w:pPr>
                    <w:jc w:val="center"/>
                    <w:rPr>
                      <w:bCs/>
                      <w:kern w:val="0"/>
                      <w:szCs w:val="21"/>
                    </w:rPr>
                  </w:pPr>
                  <w:r>
                    <w:rPr>
                      <w:rFonts w:hint="eastAsia"/>
                      <w:bCs/>
                      <w:kern w:val="0"/>
                      <w:szCs w:val="21"/>
                    </w:rPr>
                    <w:t>pH</w:t>
                  </w:r>
                </w:p>
              </w:tc>
              <w:tc>
                <w:tcPr>
                  <w:tcW w:w="1943" w:type="dxa"/>
                  <w:tcBorders>
                    <w:top w:val="single" w:color="auto" w:sz="4" w:space="0"/>
                    <w:left w:val="single" w:color="auto" w:sz="4" w:space="0"/>
                    <w:bottom w:val="single" w:color="auto" w:sz="4" w:space="0"/>
                  </w:tcBorders>
                  <w:vAlign w:val="center"/>
                </w:tcPr>
                <w:p w14:paraId="520AC2B9">
                  <w:pPr>
                    <w:jc w:val="center"/>
                    <w:rPr>
                      <w:kern w:val="0"/>
                      <w:szCs w:val="21"/>
                    </w:rPr>
                  </w:pPr>
                  <w:r>
                    <w:rPr>
                      <w:rFonts w:hint="eastAsia"/>
                      <w:kern w:val="0"/>
                      <w:szCs w:val="21"/>
                    </w:rPr>
                    <w:t>6</w:t>
                  </w:r>
                  <w:r>
                    <w:rPr>
                      <w:kern w:val="0"/>
                      <w:szCs w:val="21"/>
                    </w:rPr>
                    <w:t>~9</w:t>
                  </w:r>
                  <w:r>
                    <w:rPr>
                      <w:rFonts w:hint="eastAsia"/>
                      <w:kern w:val="0"/>
                      <w:szCs w:val="21"/>
                    </w:rPr>
                    <w:t>（无量纲）</w:t>
                  </w:r>
                </w:p>
              </w:tc>
            </w:tr>
            <w:tr w14:paraId="520AC2B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BB">
                  <w:pPr>
                    <w:jc w:val="center"/>
                    <w:rPr>
                      <w:szCs w:val="21"/>
                    </w:rPr>
                  </w:pPr>
                </w:p>
              </w:tc>
              <w:tc>
                <w:tcPr>
                  <w:tcW w:w="2836" w:type="dxa"/>
                  <w:vMerge w:val="continue"/>
                  <w:tcBorders>
                    <w:left w:val="single" w:color="auto" w:sz="4" w:space="0"/>
                    <w:right w:val="single" w:color="auto" w:sz="4" w:space="0"/>
                  </w:tcBorders>
                  <w:vAlign w:val="center"/>
                </w:tcPr>
                <w:p w14:paraId="520AC2BC">
                  <w:pPr>
                    <w:jc w:val="center"/>
                  </w:pPr>
                </w:p>
              </w:tc>
              <w:tc>
                <w:tcPr>
                  <w:tcW w:w="2410" w:type="dxa"/>
                  <w:gridSpan w:val="2"/>
                  <w:tcBorders>
                    <w:left w:val="single" w:color="auto" w:sz="4" w:space="0"/>
                    <w:right w:val="single" w:color="auto" w:sz="4" w:space="0"/>
                  </w:tcBorders>
                  <w:vAlign w:val="center"/>
                </w:tcPr>
                <w:p w14:paraId="520AC2BD">
                  <w:pPr>
                    <w:jc w:val="center"/>
                    <w:rPr>
                      <w:kern w:val="0"/>
                      <w:szCs w:val="21"/>
                    </w:rPr>
                  </w:pPr>
                  <w:r>
                    <w:rPr>
                      <w:kern w:val="0"/>
                      <w:szCs w:val="21"/>
                    </w:rPr>
                    <w:t>COD</w:t>
                  </w:r>
                </w:p>
              </w:tc>
              <w:tc>
                <w:tcPr>
                  <w:tcW w:w="1943" w:type="dxa"/>
                  <w:tcBorders>
                    <w:top w:val="single" w:color="auto" w:sz="4" w:space="0"/>
                    <w:left w:val="single" w:color="auto" w:sz="4" w:space="0"/>
                    <w:bottom w:val="single" w:color="auto" w:sz="4" w:space="0"/>
                  </w:tcBorders>
                  <w:vAlign w:val="center"/>
                </w:tcPr>
                <w:p w14:paraId="520AC2BE">
                  <w:pPr>
                    <w:jc w:val="center"/>
                  </w:pPr>
                  <w:r>
                    <w:rPr>
                      <w:rFonts w:hint="eastAsia"/>
                    </w:rPr>
                    <w:t>150</w:t>
                  </w:r>
                  <w:r>
                    <w:t>mg/L</w:t>
                  </w:r>
                </w:p>
              </w:tc>
            </w:tr>
            <w:tr w14:paraId="520AC2C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C0">
                  <w:pPr>
                    <w:jc w:val="center"/>
                    <w:rPr>
                      <w:szCs w:val="21"/>
                    </w:rPr>
                  </w:pPr>
                </w:p>
              </w:tc>
              <w:tc>
                <w:tcPr>
                  <w:tcW w:w="2836" w:type="dxa"/>
                  <w:vMerge w:val="continue"/>
                  <w:tcBorders>
                    <w:left w:val="single" w:color="auto" w:sz="4" w:space="0"/>
                    <w:right w:val="single" w:color="auto" w:sz="4" w:space="0"/>
                  </w:tcBorders>
                  <w:vAlign w:val="center"/>
                </w:tcPr>
                <w:p w14:paraId="520AC2C1">
                  <w:pPr>
                    <w:jc w:val="center"/>
                  </w:pPr>
                </w:p>
              </w:tc>
              <w:tc>
                <w:tcPr>
                  <w:tcW w:w="2410" w:type="dxa"/>
                  <w:gridSpan w:val="2"/>
                  <w:tcBorders>
                    <w:left w:val="single" w:color="auto" w:sz="4" w:space="0"/>
                    <w:right w:val="single" w:color="auto" w:sz="4" w:space="0"/>
                  </w:tcBorders>
                  <w:vAlign w:val="center"/>
                </w:tcPr>
                <w:p w14:paraId="520AC2C2">
                  <w:pPr>
                    <w:jc w:val="center"/>
                    <w:rPr>
                      <w:bCs/>
                      <w:kern w:val="0"/>
                      <w:szCs w:val="21"/>
                    </w:rPr>
                  </w:pPr>
                  <w:r>
                    <w:rPr>
                      <w:rFonts w:hint="eastAsia"/>
                      <w:kern w:val="0"/>
                      <w:szCs w:val="21"/>
                    </w:rPr>
                    <w:t>SS</w:t>
                  </w:r>
                </w:p>
              </w:tc>
              <w:tc>
                <w:tcPr>
                  <w:tcW w:w="1943" w:type="dxa"/>
                  <w:tcBorders>
                    <w:top w:val="single" w:color="auto" w:sz="4" w:space="0"/>
                    <w:left w:val="single" w:color="auto" w:sz="4" w:space="0"/>
                    <w:bottom w:val="single" w:color="auto" w:sz="4" w:space="0"/>
                  </w:tcBorders>
                  <w:vAlign w:val="center"/>
                </w:tcPr>
                <w:p w14:paraId="520AC2C3">
                  <w:pPr>
                    <w:jc w:val="center"/>
                    <w:rPr>
                      <w:kern w:val="0"/>
                      <w:szCs w:val="21"/>
                    </w:rPr>
                  </w:pPr>
                  <w:r>
                    <w:rPr>
                      <w:rFonts w:hint="eastAsia"/>
                    </w:rPr>
                    <w:t>150</w:t>
                  </w:r>
                  <w:r>
                    <w:t>mg/L</w:t>
                  </w:r>
                </w:p>
              </w:tc>
            </w:tr>
            <w:tr w14:paraId="520AC2C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C5">
                  <w:pPr>
                    <w:jc w:val="center"/>
                    <w:rPr>
                      <w:szCs w:val="21"/>
                    </w:rPr>
                  </w:pPr>
                </w:p>
              </w:tc>
              <w:tc>
                <w:tcPr>
                  <w:tcW w:w="2836" w:type="dxa"/>
                  <w:vMerge w:val="continue"/>
                  <w:tcBorders>
                    <w:left w:val="single" w:color="auto" w:sz="4" w:space="0"/>
                    <w:right w:val="single" w:color="auto" w:sz="4" w:space="0"/>
                  </w:tcBorders>
                  <w:vAlign w:val="center"/>
                </w:tcPr>
                <w:p w14:paraId="520AC2C6">
                  <w:pPr>
                    <w:jc w:val="center"/>
                  </w:pPr>
                </w:p>
              </w:tc>
              <w:tc>
                <w:tcPr>
                  <w:tcW w:w="2410" w:type="dxa"/>
                  <w:gridSpan w:val="2"/>
                  <w:tcBorders>
                    <w:left w:val="single" w:color="auto" w:sz="4" w:space="0"/>
                    <w:right w:val="single" w:color="auto" w:sz="4" w:space="0"/>
                  </w:tcBorders>
                  <w:vAlign w:val="center"/>
                </w:tcPr>
                <w:p w14:paraId="520AC2C7">
                  <w:pPr>
                    <w:jc w:val="center"/>
                    <w:rPr>
                      <w:kern w:val="0"/>
                      <w:szCs w:val="21"/>
                    </w:rPr>
                  </w:pPr>
                  <w:r>
                    <w:rPr>
                      <w:kern w:val="0"/>
                      <w:szCs w:val="21"/>
                    </w:rPr>
                    <w:t>NH</w:t>
                  </w:r>
                  <w:r>
                    <w:rPr>
                      <w:kern w:val="0"/>
                      <w:szCs w:val="21"/>
                      <w:vertAlign w:val="subscript"/>
                    </w:rPr>
                    <w:t>3</w:t>
                  </w:r>
                  <w:r>
                    <w:rPr>
                      <w:kern w:val="0"/>
                      <w:szCs w:val="21"/>
                    </w:rPr>
                    <w:t>-N</w:t>
                  </w:r>
                </w:p>
              </w:tc>
              <w:tc>
                <w:tcPr>
                  <w:tcW w:w="1943" w:type="dxa"/>
                  <w:tcBorders>
                    <w:top w:val="single" w:color="auto" w:sz="4" w:space="0"/>
                    <w:left w:val="single" w:color="auto" w:sz="4" w:space="0"/>
                    <w:bottom w:val="single" w:color="auto" w:sz="4" w:space="0"/>
                  </w:tcBorders>
                  <w:vAlign w:val="center"/>
                </w:tcPr>
                <w:p w14:paraId="520AC2C8">
                  <w:pPr>
                    <w:jc w:val="center"/>
                  </w:pPr>
                  <w:r>
                    <w:rPr>
                      <w:rFonts w:hint="eastAsia"/>
                    </w:rPr>
                    <w:t>25</w:t>
                  </w:r>
                  <w:r>
                    <w:t>mg/L</w:t>
                  </w:r>
                </w:p>
              </w:tc>
            </w:tr>
            <w:tr w14:paraId="520AC2C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CA">
                  <w:pPr>
                    <w:jc w:val="center"/>
                    <w:rPr>
                      <w:szCs w:val="21"/>
                    </w:rPr>
                  </w:pPr>
                </w:p>
              </w:tc>
              <w:tc>
                <w:tcPr>
                  <w:tcW w:w="2836" w:type="dxa"/>
                  <w:vMerge w:val="continue"/>
                  <w:tcBorders>
                    <w:left w:val="single" w:color="auto" w:sz="4" w:space="0"/>
                    <w:right w:val="single" w:color="auto" w:sz="4" w:space="0"/>
                  </w:tcBorders>
                  <w:vAlign w:val="center"/>
                </w:tcPr>
                <w:p w14:paraId="520AC2CB">
                  <w:pPr>
                    <w:jc w:val="center"/>
                  </w:pPr>
                </w:p>
              </w:tc>
              <w:tc>
                <w:tcPr>
                  <w:tcW w:w="2410" w:type="dxa"/>
                  <w:gridSpan w:val="2"/>
                  <w:tcBorders>
                    <w:left w:val="single" w:color="auto" w:sz="4" w:space="0"/>
                    <w:right w:val="single" w:color="auto" w:sz="4" w:space="0"/>
                  </w:tcBorders>
                  <w:vAlign w:val="center"/>
                </w:tcPr>
                <w:p w14:paraId="520AC2CC">
                  <w:pPr>
                    <w:jc w:val="center"/>
                    <w:rPr>
                      <w:bCs/>
                      <w:kern w:val="0"/>
                      <w:szCs w:val="21"/>
                    </w:rPr>
                  </w:pPr>
                  <w:r>
                    <w:rPr>
                      <w:rFonts w:hint="eastAsia"/>
                      <w:bCs/>
                      <w:kern w:val="0"/>
                      <w:szCs w:val="21"/>
                    </w:rPr>
                    <w:t>T</w:t>
                  </w:r>
                  <w:r>
                    <w:rPr>
                      <w:bCs/>
                      <w:kern w:val="0"/>
                      <w:szCs w:val="21"/>
                    </w:rPr>
                    <w:t>P</w:t>
                  </w:r>
                </w:p>
              </w:tc>
              <w:tc>
                <w:tcPr>
                  <w:tcW w:w="1943" w:type="dxa"/>
                  <w:tcBorders>
                    <w:top w:val="single" w:color="auto" w:sz="4" w:space="0"/>
                    <w:left w:val="single" w:color="auto" w:sz="4" w:space="0"/>
                    <w:bottom w:val="single" w:color="auto" w:sz="4" w:space="0"/>
                  </w:tcBorders>
                  <w:vAlign w:val="center"/>
                </w:tcPr>
                <w:p w14:paraId="520AC2CD">
                  <w:pPr>
                    <w:jc w:val="center"/>
                  </w:pPr>
                  <w:r>
                    <w:t>1mg/L</w:t>
                  </w:r>
                </w:p>
              </w:tc>
            </w:tr>
            <w:tr w14:paraId="520AC2D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CF">
                  <w:pPr>
                    <w:jc w:val="center"/>
                    <w:rPr>
                      <w:szCs w:val="21"/>
                    </w:rPr>
                  </w:pPr>
                </w:p>
              </w:tc>
              <w:tc>
                <w:tcPr>
                  <w:tcW w:w="2836" w:type="dxa"/>
                  <w:tcBorders>
                    <w:left w:val="single" w:color="auto" w:sz="4" w:space="0"/>
                    <w:right w:val="single" w:color="auto" w:sz="4" w:space="0"/>
                  </w:tcBorders>
                  <w:vAlign w:val="center"/>
                </w:tcPr>
                <w:p w14:paraId="520AC2D0">
                  <w:pPr>
                    <w:jc w:val="center"/>
                  </w:pPr>
                  <w:r>
                    <w:rPr>
                      <w:rFonts w:hint="eastAsia"/>
                    </w:rPr>
                    <w:t>《电镀污染物排放标准》（GB21900-2008）表2</w:t>
                  </w:r>
                </w:p>
              </w:tc>
              <w:tc>
                <w:tcPr>
                  <w:tcW w:w="2410" w:type="dxa"/>
                  <w:gridSpan w:val="2"/>
                  <w:tcBorders>
                    <w:left w:val="single" w:color="auto" w:sz="4" w:space="0"/>
                    <w:right w:val="single" w:color="auto" w:sz="4" w:space="0"/>
                  </w:tcBorders>
                  <w:vAlign w:val="center"/>
                </w:tcPr>
                <w:p w14:paraId="520AC2D1">
                  <w:pPr>
                    <w:jc w:val="center"/>
                    <w:rPr>
                      <w:bCs/>
                      <w:kern w:val="0"/>
                      <w:szCs w:val="21"/>
                    </w:rPr>
                  </w:pPr>
                  <w:r>
                    <w:rPr>
                      <w:rFonts w:hint="eastAsia"/>
                      <w:bCs/>
                      <w:kern w:val="0"/>
                      <w:szCs w:val="21"/>
                    </w:rPr>
                    <w:t>石油类</w:t>
                  </w:r>
                </w:p>
              </w:tc>
              <w:tc>
                <w:tcPr>
                  <w:tcW w:w="1943" w:type="dxa"/>
                  <w:tcBorders>
                    <w:top w:val="single" w:color="auto" w:sz="4" w:space="0"/>
                    <w:left w:val="single" w:color="auto" w:sz="4" w:space="0"/>
                    <w:bottom w:val="single" w:color="auto" w:sz="4" w:space="0"/>
                  </w:tcBorders>
                  <w:vAlign w:val="center"/>
                </w:tcPr>
                <w:p w14:paraId="520AC2D2">
                  <w:pPr>
                    <w:jc w:val="center"/>
                  </w:pPr>
                  <w:r>
                    <w:t>3.0mg/L</w:t>
                  </w:r>
                </w:p>
              </w:tc>
            </w:tr>
            <w:tr w14:paraId="520AC2D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D4">
                  <w:pPr>
                    <w:jc w:val="center"/>
                    <w:rPr>
                      <w:szCs w:val="21"/>
                      <w:highlight w:val="yellow"/>
                    </w:rPr>
                  </w:pPr>
                </w:p>
              </w:tc>
              <w:tc>
                <w:tcPr>
                  <w:tcW w:w="2836" w:type="dxa"/>
                  <w:vMerge w:val="restart"/>
                  <w:tcBorders>
                    <w:left w:val="single" w:color="auto" w:sz="4" w:space="0"/>
                    <w:right w:val="single" w:color="auto" w:sz="4" w:space="0"/>
                  </w:tcBorders>
                  <w:vAlign w:val="center"/>
                </w:tcPr>
                <w:p w14:paraId="520AC2D5">
                  <w:pPr>
                    <w:jc w:val="center"/>
                  </w:pPr>
                  <w:r>
                    <w:rPr>
                      <w:rFonts w:hint="eastAsia"/>
                    </w:rPr>
                    <w:t>小尚庄污水处理厂收水标准</w:t>
                  </w:r>
                </w:p>
              </w:tc>
              <w:tc>
                <w:tcPr>
                  <w:tcW w:w="2410" w:type="dxa"/>
                  <w:gridSpan w:val="2"/>
                  <w:tcBorders>
                    <w:left w:val="single" w:color="auto" w:sz="4" w:space="0"/>
                    <w:right w:val="single" w:color="auto" w:sz="4" w:space="0"/>
                  </w:tcBorders>
                  <w:vAlign w:val="center"/>
                </w:tcPr>
                <w:p w14:paraId="520AC2D6">
                  <w:pPr>
                    <w:jc w:val="center"/>
                    <w:rPr>
                      <w:bCs/>
                      <w:kern w:val="0"/>
                      <w:szCs w:val="21"/>
                    </w:rPr>
                  </w:pPr>
                  <w:r>
                    <w:rPr>
                      <w:rFonts w:hint="eastAsia"/>
                      <w:bCs/>
                      <w:kern w:val="0"/>
                      <w:szCs w:val="21"/>
                    </w:rPr>
                    <w:t>pH</w:t>
                  </w:r>
                </w:p>
              </w:tc>
              <w:tc>
                <w:tcPr>
                  <w:tcW w:w="1943" w:type="dxa"/>
                  <w:tcBorders>
                    <w:top w:val="single" w:color="auto" w:sz="4" w:space="0"/>
                    <w:left w:val="single" w:color="auto" w:sz="4" w:space="0"/>
                    <w:bottom w:val="single" w:color="auto" w:sz="4" w:space="0"/>
                  </w:tcBorders>
                  <w:vAlign w:val="center"/>
                </w:tcPr>
                <w:p w14:paraId="520AC2D7">
                  <w:pPr>
                    <w:jc w:val="center"/>
                    <w:rPr>
                      <w:kern w:val="0"/>
                      <w:szCs w:val="21"/>
                    </w:rPr>
                  </w:pPr>
                  <w:r>
                    <w:rPr>
                      <w:rFonts w:hint="eastAsia"/>
                      <w:kern w:val="0"/>
                      <w:szCs w:val="21"/>
                    </w:rPr>
                    <w:t>6</w:t>
                  </w:r>
                  <w:r>
                    <w:rPr>
                      <w:kern w:val="0"/>
                      <w:szCs w:val="21"/>
                    </w:rPr>
                    <w:t>~9</w:t>
                  </w:r>
                  <w:r>
                    <w:rPr>
                      <w:rFonts w:hint="eastAsia"/>
                      <w:kern w:val="0"/>
                      <w:szCs w:val="21"/>
                    </w:rPr>
                    <w:t>（无量纲）</w:t>
                  </w:r>
                </w:p>
              </w:tc>
            </w:tr>
            <w:tr w14:paraId="520AC2D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D9">
                  <w:pPr>
                    <w:jc w:val="center"/>
                    <w:rPr>
                      <w:szCs w:val="21"/>
                      <w:highlight w:val="yellow"/>
                    </w:rPr>
                  </w:pPr>
                </w:p>
              </w:tc>
              <w:tc>
                <w:tcPr>
                  <w:tcW w:w="2836" w:type="dxa"/>
                  <w:vMerge w:val="continue"/>
                  <w:tcBorders>
                    <w:left w:val="single" w:color="auto" w:sz="4" w:space="0"/>
                    <w:right w:val="single" w:color="auto" w:sz="4" w:space="0"/>
                  </w:tcBorders>
                  <w:vAlign w:val="center"/>
                </w:tcPr>
                <w:p w14:paraId="520AC2DA">
                  <w:pPr>
                    <w:jc w:val="center"/>
                  </w:pPr>
                </w:p>
              </w:tc>
              <w:tc>
                <w:tcPr>
                  <w:tcW w:w="2410" w:type="dxa"/>
                  <w:gridSpan w:val="2"/>
                  <w:tcBorders>
                    <w:left w:val="single" w:color="auto" w:sz="4" w:space="0"/>
                    <w:right w:val="single" w:color="auto" w:sz="4" w:space="0"/>
                  </w:tcBorders>
                  <w:vAlign w:val="center"/>
                </w:tcPr>
                <w:p w14:paraId="520AC2DB">
                  <w:pPr>
                    <w:jc w:val="center"/>
                    <w:rPr>
                      <w:bCs/>
                      <w:kern w:val="0"/>
                      <w:szCs w:val="21"/>
                    </w:rPr>
                  </w:pPr>
                  <w:r>
                    <w:rPr>
                      <w:kern w:val="0"/>
                      <w:szCs w:val="21"/>
                    </w:rPr>
                    <w:t>COD</w:t>
                  </w:r>
                </w:p>
              </w:tc>
              <w:tc>
                <w:tcPr>
                  <w:tcW w:w="1943" w:type="dxa"/>
                  <w:tcBorders>
                    <w:top w:val="single" w:color="auto" w:sz="4" w:space="0"/>
                    <w:left w:val="single" w:color="auto" w:sz="4" w:space="0"/>
                    <w:bottom w:val="single" w:color="auto" w:sz="4" w:space="0"/>
                  </w:tcBorders>
                  <w:vAlign w:val="center"/>
                </w:tcPr>
                <w:p w14:paraId="520AC2DC">
                  <w:pPr>
                    <w:jc w:val="center"/>
                    <w:rPr>
                      <w:kern w:val="0"/>
                      <w:szCs w:val="21"/>
                    </w:rPr>
                  </w:pPr>
                  <w:r>
                    <w:rPr>
                      <w:rFonts w:hint="eastAsia"/>
                    </w:rPr>
                    <w:t>350</w:t>
                  </w:r>
                  <w:r>
                    <w:t>mg/L</w:t>
                  </w:r>
                </w:p>
              </w:tc>
            </w:tr>
            <w:tr w14:paraId="520AC2E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DE">
                  <w:pPr>
                    <w:jc w:val="center"/>
                    <w:rPr>
                      <w:szCs w:val="21"/>
                      <w:highlight w:val="yellow"/>
                    </w:rPr>
                  </w:pPr>
                </w:p>
              </w:tc>
              <w:tc>
                <w:tcPr>
                  <w:tcW w:w="2836" w:type="dxa"/>
                  <w:vMerge w:val="continue"/>
                  <w:tcBorders>
                    <w:left w:val="single" w:color="auto" w:sz="4" w:space="0"/>
                    <w:right w:val="single" w:color="auto" w:sz="4" w:space="0"/>
                  </w:tcBorders>
                  <w:vAlign w:val="center"/>
                </w:tcPr>
                <w:p w14:paraId="520AC2DF">
                  <w:pPr>
                    <w:jc w:val="center"/>
                  </w:pPr>
                </w:p>
              </w:tc>
              <w:tc>
                <w:tcPr>
                  <w:tcW w:w="2410" w:type="dxa"/>
                  <w:gridSpan w:val="2"/>
                  <w:tcBorders>
                    <w:left w:val="single" w:color="auto" w:sz="4" w:space="0"/>
                    <w:right w:val="single" w:color="auto" w:sz="4" w:space="0"/>
                  </w:tcBorders>
                  <w:vAlign w:val="center"/>
                </w:tcPr>
                <w:p w14:paraId="520AC2E0">
                  <w:pPr>
                    <w:jc w:val="center"/>
                    <w:rPr>
                      <w:bCs/>
                      <w:kern w:val="0"/>
                      <w:szCs w:val="21"/>
                    </w:rPr>
                  </w:pPr>
                  <w:r>
                    <w:rPr>
                      <w:rFonts w:hint="eastAsia"/>
                      <w:kern w:val="0"/>
                      <w:szCs w:val="21"/>
                    </w:rPr>
                    <w:t>SS</w:t>
                  </w:r>
                </w:p>
              </w:tc>
              <w:tc>
                <w:tcPr>
                  <w:tcW w:w="1943" w:type="dxa"/>
                  <w:tcBorders>
                    <w:top w:val="single" w:color="auto" w:sz="4" w:space="0"/>
                    <w:left w:val="single" w:color="auto" w:sz="4" w:space="0"/>
                    <w:bottom w:val="single" w:color="auto" w:sz="4" w:space="0"/>
                  </w:tcBorders>
                  <w:vAlign w:val="center"/>
                </w:tcPr>
                <w:p w14:paraId="520AC2E1">
                  <w:pPr>
                    <w:jc w:val="center"/>
                    <w:rPr>
                      <w:kern w:val="0"/>
                      <w:szCs w:val="21"/>
                    </w:rPr>
                  </w:pPr>
                  <w:r>
                    <w:rPr>
                      <w:rFonts w:hint="eastAsia"/>
                    </w:rPr>
                    <w:t>250</w:t>
                  </w:r>
                  <w:r>
                    <w:t>mg/L</w:t>
                  </w:r>
                </w:p>
              </w:tc>
            </w:tr>
            <w:tr w14:paraId="520AC2E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E3">
                  <w:pPr>
                    <w:jc w:val="center"/>
                    <w:rPr>
                      <w:szCs w:val="21"/>
                      <w:highlight w:val="yellow"/>
                    </w:rPr>
                  </w:pPr>
                </w:p>
              </w:tc>
              <w:tc>
                <w:tcPr>
                  <w:tcW w:w="2836" w:type="dxa"/>
                  <w:vMerge w:val="continue"/>
                  <w:tcBorders>
                    <w:left w:val="single" w:color="auto" w:sz="4" w:space="0"/>
                    <w:right w:val="single" w:color="auto" w:sz="4" w:space="0"/>
                  </w:tcBorders>
                  <w:vAlign w:val="center"/>
                </w:tcPr>
                <w:p w14:paraId="520AC2E4">
                  <w:pPr>
                    <w:jc w:val="center"/>
                  </w:pPr>
                </w:p>
              </w:tc>
              <w:tc>
                <w:tcPr>
                  <w:tcW w:w="2410" w:type="dxa"/>
                  <w:gridSpan w:val="2"/>
                  <w:tcBorders>
                    <w:left w:val="single" w:color="auto" w:sz="4" w:space="0"/>
                    <w:right w:val="single" w:color="auto" w:sz="4" w:space="0"/>
                  </w:tcBorders>
                  <w:vAlign w:val="center"/>
                </w:tcPr>
                <w:p w14:paraId="520AC2E5">
                  <w:pPr>
                    <w:jc w:val="center"/>
                    <w:rPr>
                      <w:bCs/>
                      <w:kern w:val="0"/>
                      <w:szCs w:val="21"/>
                    </w:rPr>
                  </w:pPr>
                  <w:r>
                    <w:rPr>
                      <w:kern w:val="0"/>
                      <w:szCs w:val="21"/>
                    </w:rPr>
                    <w:t>NH</w:t>
                  </w:r>
                  <w:r>
                    <w:rPr>
                      <w:kern w:val="0"/>
                      <w:szCs w:val="21"/>
                      <w:vertAlign w:val="subscript"/>
                    </w:rPr>
                    <w:t>3</w:t>
                  </w:r>
                  <w:r>
                    <w:rPr>
                      <w:kern w:val="0"/>
                      <w:szCs w:val="21"/>
                    </w:rPr>
                    <w:t>-N</w:t>
                  </w:r>
                </w:p>
              </w:tc>
              <w:tc>
                <w:tcPr>
                  <w:tcW w:w="1943" w:type="dxa"/>
                  <w:tcBorders>
                    <w:top w:val="single" w:color="auto" w:sz="4" w:space="0"/>
                    <w:left w:val="single" w:color="auto" w:sz="4" w:space="0"/>
                    <w:bottom w:val="single" w:color="auto" w:sz="4" w:space="0"/>
                  </w:tcBorders>
                  <w:vAlign w:val="center"/>
                </w:tcPr>
                <w:p w14:paraId="520AC2E6">
                  <w:pPr>
                    <w:jc w:val="center"/>
                    <w:rPr>
                      <w:kern w:val="0"/>
                      <w:szCs w:val="21"/>
                    </w:rPr>
                  </w:pPr>
                  <w:r>
                    <w:rPr>
                      <w:rFonts w:hint="eastAsia"/>
                    </w:rPr>
                    <w:t>30</w:t>
                  </w:r>
                  <w:r>
                    <w:t>mg/L</w:t>
                  </w:r>
                </w:p>
              </w:tc>
            </w:tr>
            <w:tr w14:paraId="520AC2E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E8">
                  <w:pPr>
                    <w:jc w:val="center"/>
                    <w:rPr>
                      <w:szCs w:val="21"/>
                      <w:highlight w:val="yellow"/>
                    </w:rPr>
                  </w:pPr>
                </w:p>
              </w:tc>
              <w:tc>
                <w:tcPr>
                  <w:tcW w:w="2836" w:type="dxa"/>
                  <w:vMerge w:val="continue"/>
                  <w:tcBorders>
                    <w:left w:val="single" w:color="auto" w:sz="4" w:space="0"/>
                    <w:right w:val="single" w:color="auto" w:sz="4" w:space="0"/>
                  </w:tcBorders>
                  <w:vAlign w:val="center"/>
                </w:tcPr>
                <w:p w14:paraId="520AC2E9">
                  <w:pPr>
                    <w:jc w:val="center"/>
                  </w:pPr>
                </w:p>
              </w:tc>
              <w:tc>
                <w:tcPr>
                  <w:tcW w:w="2410" w:type="dxa"/>
                  <w:gridSpan w:val="2"/>
                  <w:tcBorders>
                    <w:left w:val="single" w:color="auto" w:sz="4" w:space="0"/>
                    <w:right w:val="single" w:color="auto" w:sz="4" w:space="0"/>
                  </w:tcBorders>
                  <w:vAlign w:val="center"/>
                </w:tcPr>
                <w:p w14:paraId="520AC2EA">
                  <w:pPr>
                    <w:jc w:val="center"/>
                    <w:rPr>
                      <w:bCs/>
                      <w:kern w:val="0"/>
                      <w:szCs w:val="21"/>
                    </w:rPr>
                  </w:pPr>
                  <w:r>
                    <w:rPr>
                      <w:rFonts w:hint="eastAsia"/>
                    </w:rPr>
                    <w:t>TN</w:t>
                  </w:r>
                </w:p>
              </w:tc>
              <w:tc>
                <w:tcPr>
                  <w:tcW w:w="1943" w:type="dxa"/>
                  <w:tcBorders>
                    <w:top w:val="single" w:color="auto" w:sz="4" w:space="0"/>
                    <w:left w:val="single" w:color="auto" w:sz="4" w:space="0"/>
                    <w:bottom w:val="single" w:color="auto" w:sz="4" w:space="0"/>
                  </w:tcBorders>
                  <w:vAlign w:val="center"/>
                </w:tcPr>
                <w:p w14:paraId="520AC2EB">
                  <w:pPr>
                    <w:jc w:val="center"/>
                    <w:rPr>
                      <w:kern w:val="0"/>
                      <w:szCs w:val="21"/>
                    </w:rPr>
                  </w:pPr>
                  <w:r>
                    <w:rPr>
                      <w:rFonts w:hint="eastAsia"/>
                    </w:rPr>
                    <w:t>40</w:t>
                  </w:r>
                  <w:r>
                    <w:t>mg/L</w:t>
                  </w:r>
                </w:p>
              </w:tc>
            </w:tr>
            <w:tr w14:paraId="520AC2F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ED">
                  <w:pPr>
                    <w:jc w:val="center"/>
                    <w:rPr>
                      <w:szCs w:val="21"/>
                      <w:highlight w:val="yellow"/>
                    </w:rPr>
                  </w:pPr>
                </w:p>
              </w:tc>
              <w:tc>
                <w:tcPr>
                  <w:tcW w:w="2836" w:type="dxa"/>
                  <w:vMerge w:val="continue"/>
                  <w:tcBorders>
                    <w:left w:val="single" w:color="auto" w:sz="4" w:space="0"/>
                    <w:right w:val="single" w:color="auto" w:sz="4" w:space="0"/>
                  </w:tcBorders>
                  <w:vAlign w:val="center"/>
                </w:tcPr>
                <w:p w14:paraId="520AC2EE">
                  <w:pPr>
                    <w:jc w:val="center"/>
                  </w:pPr>
                </w:p>
              </w:tc>
              <w:tc>
                <w:tcPr>
                  <w:tcW w:w="2410" w:type="dxa"/>
                  <w:gridSpan w:val="2"/>
                  <w:tcBorders>
                    <w:left w:val="single" w:color="auto" w:sz="4" w:space="0"/>
                    <w:right w:val="single" w:color="auto" w:sz="4" w:space="0"/>
                  </w:tcBorders>
                  <w:vAlign w:val="center"/>
                </w:tcPr>
                <w:p w14:paraId="520AC2EF">
                  <w:pPr>
                    <w:jc w:val="center"/>
                    <w:rPr>
                      <w:bCs/>
                      <w:kern w:val="0"/>
                      <w:szCs w:val="21"/>
                    </w:rPr>
                  </w:pPr>
                  <w:r>
                    <w:rPr>
                      <w:rFonts w:hint="eastAsia"/>
                      <w:bCs/>
                      <w:kern w:val="0"/>
                      <w:szCs w:val="21"/>
                    </w:rPr>
                    <w:t>T</w:t>
                  </w:r>
                  <w:r>
                    <w:rPr>
                      <w:bCs/>
                      <w:kern w:val="0"/>
                      <w:szCs w:val="21"/>
                    </w:rPr>
                    <w:t>P</w:t>
                  </w:r>
                </w:p>
              </w:tc>
              <w:tc>
                <w:tcPr>
                  <w:tcW w:w="1943" w:type="dxa"/>
                  <w:tcBorders>
                    <w:top w:val="single" w:color="auto" w:sz="4" w:space="0"/>
                    <w:left w:val="single" w:color="auto" w:sz="4" w:space="0"/>
                    <w:bottom w:val="single" w:color="auto" w:sz="4" w:space="0"/>
                  </w:tcBorders>
                  <w:vAlign w:val="center"/>
                </w:tcPr>
                <w:p w14:paraId="520AC2F0">
                  <w:pPr>
                    <w:jc w:val="center"/>
                    <w:rPr>
                      <w:kern w:val="0"/>
                      <w:szCs w:val="21"/>
                    </w:rPr>
                  </w:pPr>
                  <w:r>
                    <w:rPr>
                      <w:rFonts w:hint="eastAsia"/>
                    </w:rPr>
                    <w:t>3</w:t>
                  </w:r>
                  <w:r>
                    <w:t>mg/L</w:t>
                  </w:r>
                </w:p>
              </w:tc>
            </w:tr>
            <w:tr w14:paraId="520AC2F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restart"/>
                  <w:tcBorders>
                    <w:right w:val="single" w:color="auto" w:sz="4" w:space="0"/>
                  </w:tcBorders>
                  <w:vAlign w:val="center"/>
                </w:tcPr>
                <w:p w14:paraId="520AC2F2">
                  <w:pPr>
                    <w:jc w:val="center"/>
                    <w:rPr>
                      <w:szCs w:val="21"/>
                      <w:highlight w:val="yellow"/>
                    </w:rPr>
                  </w:pPr>
                  <w:r>
                    <w:rPr>
                      <w:szCs w:val="21"/>
                    </w:rPr>
                    <w:t>废气</w:t>
                  </w:r>
                </w:p>
              </w:tc>
              <w:tc>
                <w:tcPr>
                  <w:tcW w:w="2836" w:type="dxa"/>
                  <w:vMerge w:val="restart"/>
                  <w:tcBorders>
                    <w:left w:val="single" w:color="auto" w:sz="4" w:space="0"/>
                    <w:right w:val="single" w:color="auto" w:sz="4" w:space="0"/>
                  </w:tcBorders>
                  <w:vAlign w:val="center"/>
                </w:tcPr>
                <w:p w14:paraId="520AC2F3">
                  <w:pPr>
                    <w:jc w:val="center"/>
                    <w:rPr>
                      <w:rFonts w:ascii="Calibri" w:hAnsi="Calibri" w:cs="Calibri"/>
                      <w:szCs w:val="21"/>
                    </w:rPr>
                  </w:pPr>
                  <w:r>
                    <w:rPr>
                      <w:rFonts w:hint="eastAsia"/>
                      <w:bCs/>
                    </w:rPr>
                    <w:t>《挥发性有机物无组织排放控制标准》（GB37822-2019）在厂房外设置监控点</w:t>
                  </w:r>
                </w:p>
              </w:tc>
              <w:tc>
                <w:tcPr>
                  <w:tcW w:w="709" w:type="dxa"/>
                  <w:vMerge w:val="restart"/>
                  <w:tcBorders>
                    <w:left w:val="single" w:color="auto" w:sz="4" w:space="0"/>
                    <w:right w:val="single" w:color="auto" w:sz="4" w:space="0"/>
                  </w:tcBorders>
                  <w:vAlign w:val="center"/>
                </w:tcPr>
                <w:p w14:paraId="520AC2F4">
                  <w:pPr>
                    <w:jc w:val="center"/>
                    <w:rPr>
                      <w:rFonts w:ascii="Calibri" w:hAnsi="Calibri" w:cs="Calibri"/>
                      <w:szCs w:val="21"/>
                    </w:rPr>
                  </w:pPr>
                  <w:r>
                    <w:rPr>
                      <w:bCs/>
                    </w:rPr>
                    <w:t>非甲烷总烃</w:t>
                  </w:r>
                </w:p>
              </w:tc>
              <w:tc>
                <w:tcPr>
                  <w:tcW w:w="1701" w:type="dxa"/>
                  <w:tcBorders>
                    <w:left w:val="single" w:color="auto" w:sz="4" w:space="0"/>
                    <w:right w:val="single" w:color="auto" w:sz="4" w:space="0"/>
                  </w:tcBorders>
                  <w:vAlign w:val="center"/>
                </w:tcPr>
                <w:p w14:paraId="520AC2F5">
                  <w:pPr>
                    <w:jc w:val="center"/>
                    <w:rPr>
                      <w:rFonts w:ascii="Calibri" w:hAnsi="Calibri" w:cs="Calibri"/>
                      <w:szCs w:val="21"/>
                    </w:rPr>
                  </w:pPr>
                  <w:r>
                    <w:rPr>
                      <w:rFonts w:hint="eastAsia"/>
                      <w:bCs/>
                    </w:rPr>
                    <w:t>监控点处1h平均浓度值</w:t>
                  </w:r>
                </w:p>
              </w:tc>
              <w:tc>
                <w:tcPr>
                  <w:tcW w:w="1943" w:type="dxa"/>
                  <w:tcBorders>
                    <w:top w:val="single" w:color="auto" w:sz="4" w:space="0"/>
                    <w:left w:val="single" w:color="auto" w:sz="4" w:space="0"/>
                    <w:bottom w:val="single" w:color="auto" w:sz="4" w:space="0"/>
                  </w:tcBorders>
                  <w:vAlign w:val="center"/>
                </w:tcPr>
                <w:p w14:paraId="520AC2F6">
                  <w:pPr>
                    <w:jc w:val="center"/>
                    <w:rPr>
                      <w:szCs w:val="21"/>
                    </w:rPr>
                  </w:pPr>
                  <w:r>
                    <w:rPr>
                      <w:rFonts w:hint="eastAsia"/>
                      <w:bCs/>
                    </w:rPr>
                    <w:t>6</w:t>
                  </w:r>
                  <w:r>
                    <w:rPr>
                      <w:bCs/>
                    </w:rPr>
                    <w:t>mg/m</w:t>
                  </w:r>
                  <w:r>
                    <w:rPr>
                      <w:bCs/>
                      <w:vertAlign w:val="superscript"/>
                    </w:rPr>
                    <w:t>3</w:t>
                  </w:r>
                </w:p>
              </w:tc>
            </w:tr>
            <w:tr w14:paraId="520AC2F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F8">
                  <w:pPr>
                    <w:jc w:val="center"/>
                    <w:rPr>
                      <w:szCs w:val="21"/>
                      <w:highlight w:val="yellow"/>
                    </w:rPr>
                  </w:pPr>
                </w:p>
              </w:tc>
              <w:tc>
                <w:tcPr>
                  <w:tcW w:w="2836" w:type="dxa"/>
                  <w:vMerge w:val="continue"/>
                  <w:tcBorders>
                    <w:left w:val="single" w:color="auto" w:sz="4" w:space="0"/>
                    <w:right w:val="single" w:color="auto" w:sz="4" w:space="0"/>
                  </w:tcBorders>
                  <w:vAlign w:val="center"/>
                </w:tcPr>
                <w:p w14:paraId="520AC2F9">
                  <w:pPr>
                    <w:jc w:val="center"/>
                    <w:rPr>
                      <w:rFonts w:ascii="Calibri" w:hAnsi="Calibri" w:cs="Calibri"/>
                      <w:szCs w:val="21"/>
                    </w:rPr>
                  </w:pPr>
                </w:p>
              </w:tc>
              <w:tc>
                <w:tcPr>
                  <w:tcW w:w="709" w:type="dxa"/>
                  <w:vMerge w:val="continue"/>
                  <w:tcBorders>
                    <w:left w:val="single" w:color="auto" w:sz="4" w:space="0"/>
                    <w:right w:val="single" w:color="auto" w:sz="4" w:space="0"/>
                  </w:tcBorders>
                  <w:vAlign w:val="center"/>
                </w:tcPr>
                <w:p w14:paraId="520AC2FA">
                  <w:pPr>
                    <w:jc w:val="center"/>
                    <w:rPr>
                      <w:rFonts w:ascii="Calibri" w:hAnsi="Calibri" w:cs="Calibri"/>
                      <w:szCs w:val="21"/>
                    </w:rPr>
                  </w:pPr>
                </w:p>
              </w:tc>
              <w:tc>
                <w:tcPr>
                  <w:tcW w:w="1701" w:type="dxa"/>
                  <w:tcBorders>
                    <w:left w:val="single" w:color="auto" w:sz="4" w:space="0"/>
                    <w:right w:val="single" w:color="auto" w:sz="4" w:space="0"/>
                  </w:tcBorders>
                  <w:vAlign w:val="center"/>
                </w:tcPr>
                <w:p w14:paraId="520AC2FB">
                  <w:pPr>
                    <w:jc w:val="center"/>
                    <w:rPr>
                      <w:rFonts w:ascii="Calibri" w:hAnsi="Calibri" w:cs="Calibri"/>
                      <w:szCs w:val="21"/>
                    </w:rPr>
                  </w:pPr>
                  <w:r>
                    <w:rPr>
                      <w:rFonts w:hint="eastAsia"/>
                      <w:bCs/>
                    </w:rPr>
                    <w:t>监控点处任意一次浓度值</w:t>
                  </w:r>
                </w:p>
              </w:tc>
              <w:tc>
                <w:tcPr>
                  <w:tcW w:w="1943" w:type="dxa"/>
                  <w:tcBorders>
                    <w:top w:val="single" w:color="auto" w:sz="4" w:space="0"/>
                    <w:left w:val="single" w:color="auto" w:sz="4" w:space="0"/>
                    <w:bottom w:val="single" w:color="auto" w:sz="4" w:space="0"/>
                  </w:tcBorders>
                  <w:vAlign w:val="center"/>
                </w:tcPr>
                <w:p w14:paraId="520AC2FC">
                  <w:pPr>
                    <w:jc w:val="center"/>
                    <w:rPr>
                      <w:szCs w:val="21"/>
                    </w:rPr>
                  </w:pPr>
                  <w:r>
                    <w:rPr>
                      <w:rFonts w:hint="eastAsia"/>
                      <w:bCs/>
                    </w:rPr>
                    <w:t>20</w:t>
                  </w:r>
                  <w:r>
                    <w:rPr>
                      <w:bCs/>
                    </w:rPr>
                    <w:t>mg/m</w:t>
                  </w:r>
                  <w:r>
                    <w:rPr>
                      <w:bCs/>
                      <w:vertAlign w:val="superscript"/>
                    </w:rPr>
                    <w:t>3</w:t>
                  </w:r>
                </w:p>
              </w:tc>
            </w:tr>
            <w:tr w14:paraId="520AC30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2FE">
                  <w:pPr>
                    <w:jc w:val="center"/>
                    <w:rPr>
                      <w:szCs w:val="21"/>
                      <w:highlight w:val="yellow"/>
                    </w:rPr>
                  </w:pPr>
                </w:p>
              </w:tc>
              <w:tc>
                <w:tcPr>
                  <w:tcW w:w="2836" w:type="dxa"/>
                  <w:vMerge w:val="restart"/>
                  <w:tcBorders>
                    <w:left w:val="single" w:color="auto" w:sz="4" w:space="0"/>
                    <w:right w:val="single" w:color="auto" w:sz="4" w:space="0"/>
                  </w:tcBorders>
                  <w:vAlign w:val="center"/>
                </w:tcPr>
                <w:p w14:paraId="520AC2FF">
                  <w:pPr>
                    <w:jc w:val="center"/>
                    <w:rPr>
                      <w:rFonts w:ascii="Calibri" w:hAnsi="Calibri" w:cs="Calibri"/>
                      <w:szCs w:val="21"/>
                    </w:rPr>
                  </w:pPr>
                  <w:r>
                    <w:rPr>
                      <w:szCs w:val="21"/>
                    </w:rPr>
                    <w:t>《大气污染物综合排放标准》（GB16297-1996）表2二级</w:t>
                  </w:r>
                </w:p>
              </w:tc>
              <w:tc>
                <w:tcPr>
                  <w:tcW w:w="709" w:type="dxa"/>
                  <w:vMerge w:val="restart"/>
                  <w:tcBorders>
                    <w:left w:val="single" w:color="auto" w:sz="4" w:space="0"/>
                    <w:right w:val="single" w:color="auto" w:sz="4" w:space="0"/>
                  </w:tcBorders>
                  <w:vAlign w:val="center"/>
                </w:tcPr>
                <w:p w14:paraId="520AC300">
                  <w:pPr>
                    <w:jc w:val="center"/>
                    <w:rPr>
                      <w:rFonts w:ascii="Calibri" w:hAnsi="Calibri" w:cs="Calibri"/>
                      <w:szCs w:val="21"/>
                    </w:rPr>
                  </w:pPr>
                  <w:r>
                    <w:rPr>
                      <w:szCs w:val="21"/>
                    </w:rPr>
                    <w:t>非甲烷总烃</w:t>
                  </w:r>
                </w:p>
              </w:tc>
              <w:tc>
                <w:tcPr>
                  <w:tcW w:w="1701" w:type="dxa"/>
                  <w:tcBorders>
                    <w:left w:val="single" w:color="auto" w:sz="4" w:space="0"/>
                    <w:right w:val="single" w:color="auto" w:sz="4" w:space="0"/>
                  </w:tcBorders>
                  <w:vAlign w:val="center"/>
                </w:tcPr>
                <w:p w14:paraId="520AC301">
                  <w:pPr>
                    <w:jc w:val="center"/>
                    <w:rPr>
                      <w:rFonts w:ascii="Calibri" w:hAnsi="Calibri" w:cs="Calibri"/>
                      <w:szCs w:val="21"/>
                    </w:rPr>
                  </w:pPr>
                  <w:r>
                    <w:rPr>
                      <w:szCs w:val="21"/>
                    </w:rPr>
                    <w:t>有组织</w:t>
                  </w:r>
                </w:p>
              </w:tc>
              <w:tc>
                <w:tcPr>
                  <w:tcW w:w="1943" w:type="dxa"/>
                  <w:tcBorders>
                    <w:top w:val="single" w:color="auto" w:sz="4" w:space="0"/>
                    <w:left w:val="single" w:color="auto" w:sz="4" w:space="0"/>
                    <w:bottom w:val="single" w:color="auto" w:sz="4" w:space="0"/>
                  </w:tcBorders>
                  <w:vAlign w:val="center"/>
                </w:tcPr>
                <w:p w14:paraId="520AC302">
                  <w:pPr>
                    <w:jc w:val="center"/>
                    <w:rPr>
                      <w:szCs w:val="21"/>
                    </w:rPr>
                  </w:pPr>
                  <w:r>
                    <w:rPr>
                      <w:rFonts w:hint="eastAsia"/>
                    </w:rPr>
                    <w:t>120</w:t>
                  </w:r>
                  <w:r>
                    <w:t>mg/m</w:t>
                  </w:r>
                  <w:r>
                    <w:rPr>
                      <w:vertAlign w:val="superscript"/>
                    </w:rPr>
                    <w:t>3</w:t>
                  </w:r>
                  <w:r>
                    <w:rPr>
                      <w:rFonts w:hint="eastAsia"/>
                      <w:szCs w:val="21"/>
                    </w:rPr>
                    <w:t>、10</w:t>
                  </w:r>
                  <w:r>
                    <w:rPr>
                      <w:szCs w:val="21"/>
                    </w:rPr>
                    <w:t>kg/h（</w:t>
                  </w:r>
                  <w:r>
                    <w:rPr>
                      <w:rFonts w:hint="eastAsia"/>
                      <w:szCs w:val="21"/>
                    </w:rPr>
                    <w:t>1</w:t>
                  </w:r>
                  <w:r>
                    <w:rPr>
                      <w:szCs w:val="21"/>
                    </w:rPr>
                    <w:t>5m高排气筒）</w:t>
                  </w:r>
                </w:p>
              </w:tc>
            </w:tr>
            <w:tr w14:paraId="520AC30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20AC304">
                  <w:pPr>
                    <w:jc w:val="center"/>
                    <w:rPr>
                      <w:szCs w:val="21"/>
                      <w:highlight w:val="yellow"/>
                    </w:rPr>
                  </w:pPr>
                </w:p>
              </w:tc>
              <w:tc>
                <w:tcPr>
                  <w:tcW w:w="2836" w:type="dxa"/>
                  <w:vMerge w:val="continue"/>
                  <w:tcBorders>
                    <w:left w:val="single" w:color="auto" w:sz="4" w:space="0"/>
                    <w:right w:val="single" w:color="auto" w:sz="4" w:space="0"/>
                  </w:tcBorders>
                  <w:vAlign w:val="center"/>
                </w:tcPr>
                <w:p w14:paraId="520AC305">
                  <w:pPr>
                    <w:jc w:val="center"/>
                    <w:rPr>
                      <w:szCs w:val="21"/>
                    </w:rPr>
                  </w:pPr>
                </w:p>
              </w:tc>
              <w:tc>
                <w:tcPr>
                  <w:tcW w:w="709" w:type="dxa"/>
                  <w:vMerge w:val="continue"/>
                  <w:tcBorders>
                    <w:left w:val="single" w:color="auto" w:sz="4" w:space="0"/>
                    <w:right w:val="single" w:color="auto" w:sz="4" w:space="0"/>
                  </w:tcBorders>
                  <w:vAlign w:val="center"/>
                </w:tcPr>
                <w:p w14:paraId="520AC306">
                  <w:pPr>
                    <w:jc w:val="center"/>
                    <w:rPr>
                      <w:szCs w:val="21"/>
                    </w:rPr>
                  </w:pPr>
                </w:p>
              </w:tc>
              <w:tc>
                <w:tcPr>
                  <w:tcW w:w="1701" w:type="dxa"/>
                  <w:tcBorders>
                    <w:left w:val="single" w:color="auto" w:sz="4" w:space="0"/>
                    <w:right w:val="single" w:color="auto" w:sz="4" w:space="0"/>
                  </w:tcBorders>
                  <w:vAlign w:val="center"/>
                </w:tcPr>
                <w:p w14:paraId="520AC307">
                  <w:pPr>
                    <w:jc w:val="center"/>
                    <w:rPr>
                      <w:szCs w:val="21"/>
                    </w:rPr>
                  </w:pPr>
                  <w:r>
                    <w:rPr>
                      <w:rFonts w:hint="eastAsia"/>
                      <w:szCs w:val="21"/>
                    </w:rPr>
                    <w:t>无组织</w:t>
                  </w:r>
                </w:p>
              </w:tc>
              <w:tc>
                <w:tcPr>
                  <w:tcW w:w="1943" w:type="dxa"/>
                  <w:tcBorders>
                    <w:top w:val="single" w:color="auto" w:sz="4" w:space="0"/>
                    <w:left w:val="single" w:color="auto" w:sz="4" w:space="0"/>
                    <w:bottom w:val="single" w:color="auto" w:sz="4" w:space="0"/>
                  </w:tcBorders>
                  <w:vAlign w:val="center"/>
                </w:tcPr>
                <w:p w14:paraId="520AC308">
                  <w:pPr>
                    <w:jc w:val="center"/>
                  </w:pPr>
                  <w:r>
                    <w:rPr>
                      <w:rFonts w:hint="eastAsia"/>
                    </w:rPr>
                    <w:t>4</w:t>
                  </w:r>
                  <w:r>
                    <w:t>mg/m</w:t>
                  </w:r>
                  <w:r>
                    <w:rPr>
                      <w:vertAlign w:val="superscript"/>
                    </w:rPr>
                    <w:t>3</w:t>
                  </w:r>
                </w:p>
              </w:tc>
            </w:tr>
            <w:tr w14:paraId="30B85A0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4A17E7D0">
                  <w:pPr>
                    <w:jc w:val="center"/>
                    <w:rPr>
                      <w:szCs w:val="21"/>
                      <w:highlight w:val="yellow"/>
                    </w:rPr>
                  </w:pPr>
                </w:p>
              </w:tc>
              <w:tc>
                <w:tcPr>
                  <w:tcW w:w="2836" w:type="dxa"/>
                  <w:vMerge w:val="continue"/>
                  <w:tcBorders>
                    <w:left w:val="single" w:color="auto" w:sz="4" w:space="0"/>
                    <w:right w:val="single" w:color="auto" w:sz="4" w:space="0"/>
                  </w:tcBorders>
                  <w:vAlign w:val="center"/>
                </w:tcPr>
                <w:p w14:paraId="122501B7">
                  <w:pPr>
                    <w:jc w:val="center"/>
                    <w:rPr>
                      <w:szCs w:val="21"/>
                    </w:rPr>
                  </w:pPr>
                </w:p>
              </w:tc>
              <w:tc>
                <w:tcPr>
                  <w:tcW w:w="709" w:type="dxa"/>
                  <w:tcBorders>
                    <w:left w:val="single" w:color="auto" w:sz="4" w:space="0"/>
                    <w:right w:val="single" w:color="auto" w:sz="4" w:space="0"/>
                  </w:tcBorders>
                  <w:vAlign w:val="center"/>
                </w:tcPr>
                <w:p w14:paraId="30BF7337">
                  <w:pPr>
                    <w:jc w:val="center"/>
                    <w:rPr>
                      <w:szCs w:val="21"/>
                    </w:rPr>
                  </w:pPr>
                  <w:r>
                    <w:rPr>
                      <w:rFonts w:hint="eastAsia"/>
                      <w:szCs w:val="21"/>
                    </w:rPr>
                    <w:t>颗粒物</w:t>
                  </w:r>
                </w:p>
              </w:tc>
              <w:tc>
                <w:tcPr>
                  <w:tcW w:w="1701" w:type="dxa"/>
                  <w:tcBorders>
                    <w:left w:val="single" w:color="auto" w:sz="4" w:space="0"/>
                    <w:right w:val="single" w:color="auto" w:sz="4" w:space="0"/>
                  </w:tcBorders>
                  <w:vAlign w:val="center"/>
                </w:tcPr>
                <w:p w14:paraId="3BB3E57D">
                  <w:pPr>
                    <w:jc w:val="center"/>
                    <w:rPr>
                      <w:szCs w:val="21"/>
                    </w:rPr>
                  </w:pPr>
                  <w:r>
                    <w:rPr>
                      <w:szCs w:val="21"/>
                    </w:rPr>
                    <w:t>有组织</w:t>
                  </w:r>
                </w:p>
              </w:tc>
              <w:tc>
                <w:tcPr>
                  <w:tcW w:w="1943" w:type="dxa"/>
                  <w:tcBorders>
                    <w:top w:val="single" w:color="auto" w:sz="4" w:space="0"/>
                    <w:left w:val="single" w:color="auto" w:sz="4" w:space="0"/>
                    <w:bottom w:val="single" w:color="auto" w:sz="4" w:space="0"/>
                  </w:tcBorders>
                  <w:vAlign w:val="center"/>
                </w:tcPr>
                <w:p w14:paraId="7F77C473">
                  <w:pPr>
                    <w:jc w:val="center"/>
                  </w:pPr>
                  <w:r>
                    <w:rPr>
                      <w:rFonts w:hint="eastAsia"/>
                    </w:rPr>
                    <w:t>120</w:t>
                  </w:r>
                  <w:r>
                    <w:t>mg/m</w:t>
                  </w:r>
                  <w:r>
                    <w:rPr>
                      <w:vertAlign w:val="superscript"/>
                    </w:rPr>
                    <w:t>3</w:t>
                  </w:r>
                  <w:r>
                    <w:rPr>
                      <w:rFonts w:hint="eastAsia"/>
                      <w:szCs w:val="21"/>
                    </w:rPr>
                    <w:t>、3.5</w:t>
                  </w:r>
                  <w:r>
                    <w:rPr>
                      <w:szCs w:val="21"/>
                    </w:rPr>
                    <w:t>kg/h（</w:t>
                  </w:r>
                  <w:r>
                    <w:rPr>
                      <w:rFonts w:hint="eastAsia"/>
                      <w:szCs w:val="21"/>
                    </w:rPr>
                    <w:t>1</w:t>
                  </w:r>
                  <w:r>
                    <w:rPr>
                      <w:szCs w:val="21"/>
                    </w:rPr>
                    <w:t>5m高排气筒）</w:t>
                  </w:r>
                </w:p>
              </w:tc>
            </w:tr>
            <w:tr w14:paraId="78B9160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418308BD">
                  <w:pPr>
                    <w:jc w:val="center"/>
                    <w:rPr>
                      <w:szCs w:val="21"/>
                      <w:highlight w:val="yellow"/>
                    </w:rPr>
                  </w:pPr>
                </w:p>
              </w:tc>
              <w:tc>
                <w:tcPr>
                  <w:tcW w:w="2836" w:type="dxa"/>
                  <w:vMerge w:val="continue"/>
                  <w:tcBorders>
                    <w:left w:val="single" w:color="auto" w:sz="4" w:space="0"/>
                    <w:right w:val="single" w:color="auto" w:sz="4" w:space="0"/>
                  </w:tcBorders>
                  <w:vAlign w:val="center"/>
                </w:tcPr>
                <w:p w14:paraId="5AF32176">
                  <w:pPr>
                    <w:jc w:val="center"/>
                    <w:rPr>
                      <w:szCs w:val="21"/>
                    </w:rPr>
                  </w:pPr>
                </w:p>
              </w:tc>
              <w:tc>
                <w:tcPr>
                  <w:tcW w:w="709" w:type="dxa"/>
                  <w:tcBorders>
                    <w:left w:val="single" w:color="auto" w:sz="4" w:space="0"/>
                    <w:right w:val="single" w:color="auto" w:sz="4" w:space="0"/>
                  </w:tcBorders>
                  <w:vAlign w:val="center"/>
                </w:tcPr>
                <w:p w14:paraId="3C578DCD">
                  <w:pPr>
                    <w:jc w:val="center"/>
                    <w:rPr>
                      <w:szCs w:val="21"/>
                    </w:rPr>
                  </w:pPr>
                  <w:r>
                    <w:rPr>
                      <w:rFonts w:hint="eastAsia"/>
                      <w:szCs w:val="21"/>
                    </w:rPr>
                    <w:t>SO</w:t>
                  </w:r>
                  <w:r>
                    <w:rPr>
                      <w:rFonts w:hint="eastAsia"/>
                      <w:szCs w:val="21"/>
                      <w:vertAlign w:val="subscript"/>
                    </w:rPr>
                    <w:t>2</w:t>
                  </w:r>
                </w:p>
              </w:tc>
              <w:tc>
                <w:tcPr>
                  <w:tcW w:w="1701" w:type="dxa"/>
                  <w:tcBorders>
                    <w:left w:val="single" w:color="auto" w:sz="4" w:space="0"/>
                    <w:right w:val="single" w:color="auto" w:sz="4" w:space="0"/>
                  </w:tcBorders>
                  <w:vAlign w:val="center"/>
                </w:tcPr>
                <w:p w14:paraId="05E7B476">
                  <w:pPr>
                    <w:jc w:val="center"/>
                    <w:rPr>
                      <w:szCs w:val="21"/>
                    </w:rPr>
                  </w:pPr>
                  <w:r>
                    <w:rPr>
                      <w:szCs w:val="21"/>
                    </w:rPr>
                    <w:t>有组织</w:t>
                  </w:r>
                </w:p>
              </w:tc>
              <w:tc>
                <w:tcPr>
                  <w:tcW w:w="1943" w:type="dxa"/>
                  <w:tcBorders>
                    <w:top w:val="single" w:color="auto" w:sz="4" w:space="0"/>
                    <w:left w:val="single" w:color="auto" w:sz="4" w:space="0"/>
                    <w:bottom w:val="single" w:color="auto" w:sz="4" w:space="0"/>
                  </w:tcBorders>
                  <w:vAlign w:val="center"/>
                </w:tcPr>
                <w:p w14:paraId="2502D52E">
                  <w:pPr>
                    <w:jc w:val="center"/>
                  </w:pPr>
                  <w:r>
                    <w:rPr>
                      <w:rFonts w:hint="eastAsia"/>
                    </w:rPr>
                    <w:t>550</w:t>
                  </w:r>
                  <w:r>
                    <w:t>mg/m</w:t>
                  </w:r>
                  <w:r>
                    <w:rPr>
                      <w:vertAlign w:val="superscript"/>
                    </w:rPr>
                    <w:t>3</w:t>
                  </w:r>
                  <w:r>
                    <w:rPr>
                      <w:rFonts w:hint="eastAsia"/>
                      <w:szCs w:val="21"/>
                    </w:rPr>
                    <w:t>、2.6</w:t>
                  </w:r>
                  <w:r>
                    <w:rPr>
                      <w:szCs w:val="21"/>
                    </w:rPr>
                    <w:t>kg/h（</w:t>
                  </w:r>
                  <w:r>
                    <w:rPr>
                      <w:rFonts w:hint="eastAsia"/>
                      <w:szCs w:val="21"/>
                    </w:rPr>
                    <w:t>1</w:t>
                  </w:r>
                  <w:r>
                    <w:rPr>
                      <w:szCs w:val="21"/>
                    </w:rPr>
                    <w:t>5m高排气筒）</w:t>
                  </w:r>
                </w:p>
              </w:tc>
            </w:tr>
            <w:tr w14:paraId="511BC73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17CB161A">
                  <w:pPr>
                    <w:jc w:val="center"/>
                    <w:rPr>
                      <w:szCs w:val="21"/>
                      <w:highlight w:val="yellow"/>
                    </w:rPr>
                  </w:pPr>
                </w:p>
              </w:tc>
              <w:tc>
                <w:tcPr>
                  <w:tcW w:w="2836" w:type="dxa"/>
                  <w:vMerge w:val="restart"/>
                  <w:tcBorders>
                    <w:left w:val="single" w:color="auto" w:sz="4" w:space="0"/>
                    <w:right w:val="single" w:color="auto" w:sz="4" w:space="0"/>
                  </w:tcBorders>
                  <w:vAlign w:val="center"/>
                </w:tcPr>
                <w:p w14:paraId="651B944C">
                  <w:pPr>
                    <w:jc w:val="center"/>
                    <w:rPr>
                      <w:szCs w:val="21"/>
                    </w:rPr>
                  </w:pPr>
                  <w:r>
                    <w:rPr>
                      <w:rFonts w:hint="eastAsia"/>
                      <w:szCs w:val="21"/>
                    </w:rPr>
                    <w:t>《橡胶制品工业污染物排放标准》（GB27632-2011）</w:t>
                  </w:r>
                </w:p>
              </w:tc>
              <w:tc>
                <w:tcPr>
                  <w:tcW w:w="709" w:type="dxa"/>
                  <w:vMerge w:val="restart"/>
                  <w:tcBorders>
                    <w:left w:val="single" w:color="auto" w:sz="4" w:space="0"/>
                    <w:right w:val="single" w:color="auto" w:sz="4" w:space="0"/>
                  </w:tcBorders>
                  <w:vAlign w:val="center"/>
                </w:tcPr>
                <w:p w14:paraId="6E1511EE">
                  <w:pPr>
                    <w:jc w:val="center"/>
                    <w:rPr>
                      <w:szCs w:val="21"/>
                    </w:rPr>
                  </w:pPr>
                  <w:r>
                    <w:rPr>
                      <w:szCs w:val="21"/>
                    </w:rPr>
                    <w:t>非甲烷总烃</w:t>
                  </w:r>
                </w:p>
              </w:tc>
              <w:tc>
                <w:tcPr>
                  <w:tcW w:w="1701" w:type="dxa"/>
                  <w:tcBorders>
                    <w:left w:val="single" w:color="auto" w:sz="4" w:space="0"/>
                    <w:right w:val="single" w:color="auto" w:sz="4" w:space="0"/>
                  </w:tcBorders>
                  <w:vAlign w:val="center"/>
                </w:tcPr>
                <w:p w14:paraId="395DCE00">
                  <w:pPr>
                    <w:jc w:val="center"/>
                    <w:rPr>
                      <w:szCs w:val="21"/>
                    </w:rPr>
                  </w:pPr>
                  <w:r>
                    <w:rPr>
                      <w:szCs w:val="21"/>
                    </w:rPr>
                    <w:t>有组织</w:t>
                  </w:r>
                </w:p>
              </w:tc>
              <w:tc>
                <w:tcPr>
                  <w:tcW w:w="1943" w:type="dxa"/>
                  <w:tcBorders>
                    <w:top w:val="single" w:color="auto" w:sz="4" w:space="0"/>
                    <w:left w:val="single" w:color="auto" w:sz="4" w:space="0"/>
                    <w:bottom w:val="single" w:color="auto" w:sz="4" w:space="0"/>
                  </w:tcBorders>
                  <w:vAlign w:val="center"/>
                </w:tcPr>
                <w:p w14:paraId="5EB49743">
                  <w:pPr>
                    <w:jc w:val="center"/>
                  </w:pPr>
                  <w:r>
                    <w:rPr>
                      <w:rFonts w:hint="eastAsia"/>
                    </w:rPr>
                    <w:t>10</w:t>
                  </w:r>
                  <w:r>
                    <w:t>mg/m</w:t>
                  </w:r>
                  <w:r>
                    <w:rPr>
                      <w:vertAlign w:val="superscript"/>
                    </w:rPr>
                    <w:t>3</w:t>
                  </w:r>
                  <w:r>
                    <w:rPr>
                      <w:rFonts w:hint="eastAsia"/>
                    </w:rPr>
                    <w:t>、</w:t>
                  </w:r>
                  <w:r>
                    <w:rPr>
                      <w:rFonts w:hint="eastAsia"/>
                      <w:bCs/>
                    </w:rPr>
                    <w:t>基准排气量2000m</w:t>
                  </w:r>
                  <w:r>
                    <w:rPr>
                      <w:rFonts w:hint="eastAsia"/>
                      <w:bCs/>
                      <w:vertAlign w:val="superscript"/>
                    </w:rPr>
                    <w:t>3</w:t>
                  </w:r>
                  <w:r>
                    <w:rPr>
                      <w:rFonts w:hint="eastAsia"/>
                      <w:bCs/>
                    </w:rPr>
                    <w:t>/t胶</w:t>
                  </w:r>
                </w:p>
              </w:tc>
            </w:tr>
            <w:tr w14:paraId="1E52BBF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0F706445">
                  <w:pPr>
                    <w:jc w:val="center"/>
                    <w:rPr>
                      <w:szCs w:val="21"/>
                      <w:highlight w:val="yellow"/>
                    </w:rPr>
                  </w:pPr>
                </w:p>
              </w:tc>
              <w:tc>
                <w:tcPr>
                  <w:tcW w:w="2836" w:type="dxa"/>
                  <w:vMerge w:val="continue"/>
                  <w:tcBorders>
                    <w:left w:val="single" w:color="auto" w:sz="4" w:space="0"/>
                    <w:right w:val="single" w:color="auto" w:sz="4" w:space="0"/>
                  </w:tcBorders>
                  <w:vAlign w:val="center"/>
                </w:tcPr>
                <w:p w14:paraId="65C354F3">
                  <w:pPr>
                    <w:jc w:val="center"/>
                    <w:rPr>
                      <w:szCs w:val="21"/>
                    </w:rPr>
                  </w:pPr>
                </w:p>
              </w:tc>
              <w:tc>
                <w:tcPr>
                  <w:tcW w:w="709" w:type="dxa"/>
                  <w:vMerge w:val="continue"/>
                  <w:tcBorders>
                    <w:left w:val="single" w:color="auto" w:sz="4" w:space="0"/>
                    <w:right w:val="single" w:color="auto" w:sz="4" w:space="0"/>
                  </w:tcBorders>
                  <w:vAlign w:val="center"/>
                </w:tcPr>
                <w:p w14:paraId="119EDCBA">
                  <w:pPr>
                    <w:jc w:val="center"/>
                    <w:rPr>
                      <w:szCs w:val="21"/>
                    </w:rPr>
                  </w:pPr>
                </w:p>
              </w:tc>
              <w:tc>
                <w:tcPr>
                  <w:tcW w:w="1701" w:type="dxa"/>
                  <w:tcBorders>
                    <w:left w:val="single" w:color="auto" w:sz="4" w:space="0"/>
                    <w:right w:val="single" w:color="auto" w:sz="4" w:space="0"/>
                  </w:tcBorders>
                  <w:vAlign w:val="center"/>
                </w:tcPr>
                <w:p w14:paraId="16867502">
                  <w:pPr>
                    <w:jc w:val="center"/>
                    <w:rPr>
                      <w:szCs w:val="21"/>
                    </w:rPr>
                  </w:pPr>
                  <w:r>
                    <w:rPr>
                      <w:rFonts w:hint="eastAsia"/>
                      <w:szCs w:val="21"/>
                    </w:rPr>
                    <w:t>无组织</w:t>
                  </w:r>
                </w:p>
              </w:tc>
              <w:tc>
                <w:tcPr>
                  <w:tcW w:w="1943" w:type="dxa"/>
                  <w:tcBorders>
                    <w:top w:val="single" w:color="auto" w:sz="4" w:space="0"/>
                    <w:left w:val="single" w:color="auto" w:sz="4" w:space="0"/>
                    <w:bottom w:val="single" w:color="auto" w:sz="4" w:space="0"/>
                  </w:tcBorders>
                  <w:vAlign w:val="center"/>
                </w:tcPr>
                <w:p w14:paraId="3F43925C">
                  <w:pPr>
                    <w:jc w:val="center"/>
                  </w:pPr>
                  <w:r>
                    <w:rPr>
                      <w:rFonts w:hint="eastAsia"/>
                    </w:rPr>
                    <w:t>4</w:t>
                  </w:r>
                  <w:r>
                    <w:t>mg/m</w:t>
                  </w:r>
                  <w:r>
                    <w:rPr>
                      <w:vertAlign w:val="superscript"/>
                    </w:rPr>
                    <w:t>3</w:t>
                  </w:r>
                </w:p>
              </w:tc>
            </w:tr>
            <w:tr w14:paraId="1D0763D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38D8B6B1">
                  <w:pPr>
                    <w:jc w:val="center"/>
                    <w:rPr>
                      <w:szCs w:val="21"/>
                      <w:highlight w:val="yellow"/>
                    </w:rPr>
                  </w:pPr>
                </w:p>
              </w:tc>
              <w:tc>
                <w:tcPr>
                  <w:tcW w:w="2836" w:type="dxa"/>
                  <w:vMerge w:val="restart"/>
                  <w:tcBorders>
                    <w:left w:val="single" w:color="auto" w:sz="4" w:space="0"/>
                    <w:right w:val="single" w:color="auto" w:sz="4" w:space="0"/>
                  </w:tcBorders>
                  <w:vAlign w:val="center"/>
                </w:tcPr>
                <w:p w14:paraId="6CE56BA1">
                  <w:pPr>
                    <w:jc w:val="center"/>
                    <w:rPr>
                      <w:szCs w:val="21"/>
                    </w:rPr>
                  </w:pPr>
                  <w:r>
                    <w:rPr>
                      <w:rFonts w:hint="eastAsia"/>
                      <w:bCs/>
                      <w:szCs w:val="21"/>
                    </w:rPr>
                    <w:t>《恶臭污染物排放标准》（GB 14554-93）</w:t>
                  </w:r>
                </w:p>
              </w:tc>
              <w:tc>
                <w:tcPr>
                  <w:tcW w:w="709" w:type="dxa"/>
                  <w:vMerge w:val="restart"/>
                  <w:tcBorders>
                    <w:left w:val="single" w:color="auto" w:sz="4" w:space="0"/>
                    <w:right w:val="single" w:color="auto" w:sz="4" w:space="0"/>
                  </w:tcBorders>
                  <w:vAlign w:val="center"/>
                </w:tcPr>
                <w:p w14:paraId="385EFCB2">
                  <w:pPr>
                    <w:jc w:val="center"/>
                    <w:rPr>
                      <w:szCs w:val="21"/>
                    </w:rPr>
                  </w:pPr>
                  <w:r>
                    <w:rPr>
                      <w:rFonts w:hint="eastAsia"/>
                      <w:szCs w:val="21"/>
                    </w:rPr>
                    <w:t>硫化氢</w:t>
                  </w:r>
                </w:p>
              </w:tc>
              <w:tc>
                <w:tcPr>
                  <w:tcW w:w="1701" w:type="dxa"/>
                  <w:tcBorders>
                    <w:left w:val="single" w:color="auto" w:sz="4" w:space="0"/>
                    <w:right w:val="single" w:color="auto" w:sz="4" w:space="0"/>
                  </w:tcBorders>
                  <w:vAlign w:val="center"/>
                </w:tcPr>
                <w:p w14:paraId="2F110039">
                  <w:pPr>
                    <w:jc w:val="center"/>
                    <w:rPr>
                      <w:szCs w:val="21"/>
                    </w:rPr>
                  </w:pPr>
                  <w:r>
                    <w:rPr>
                      <w:szCs w:val="21"/>
                    </w:rPr>
                    <w:t>有组织</w:t>
                  </w:r>
                </w:p>
              </w:tc>
              <w:tc>
                <w:tcPr>
                  <w:tcW w:w="1943" w:type="dxa"/>
                  <w:tcBorders>
                    <w:top w:val="single" w:color="auto" w:sz="4" w:space="0"/>
                    <w:left w:val="single" w:color="auto" w:sz="4" w:space="0"/>
                    <w:bottom w:val="single" w:color="auto" w:sz="4" w:space="0"/>
                  </w:tcBorders>
                  <w:vAlign w:val="center"/>
                </w:tcPr>
                <w:p w14:paraId="3A425017">
                  <w:pPr>
                    <w:jc w:val="center"/>
                  </w:pPr>
                  <w:r>
                    <w:t>0.33kg/h</w:t>
                  </w:r>
                </w:p>
              </w:tc>
            </w:tr>
            <w:tr w14:paraId="4EABA2F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44B238E2">
                  <w:pPr>
                    <w:jc w:val="center"/>
                    <w:rPr>
                      <w:szCs w:val="21"/>
                      <w:highlight w:val="yellow"/>
                    </w:rPr>
                  </w:pPr>
                </w:p>
              </w:tc>
              <w:tc>
                <w:tcPr>
                  <w:tcW w:w="2836" w:type="dxa"/>
                  <w:vMerge w:val="continue"/>
                  <w:tcBorders>
                    <w:left w:val="single" w:color="auto" w:sz="4" w:space="0"/>
                    <w:right w:val="single" w:color="auto" w:sz="4" w:space="0"/>
                  </w:tcBorders>
                  <w:vAlign w:val="center"/>
                </w:tcPr>
                <w:p w14:paraId="043D11AB">
                  <w:pPr>
                    <w:jc w:val="center"/>
                    <w:rPr>
                      <w:szCs w:val="21"/>
                    </w:rPr>
                  </w:pPr>
                </w:p>
              </w:tc>
              <w:tc>
                <w:tcPr>
                  <w:tcW w:w="709" w:type="dxa"/>
                  <w:vMerge w:val="continue"/>
                  <w:tcBorders>
                    <w:left w:val="single" w:color="auto" w:sz="4" w:space="0"/>
                    <w:right w:val="single" w:color="auto" w:sz="4" w:space="0"/>
                  </w:tcBorders>
                  <w:vAlign w:val="center"/>
                </w:tcPr>
                <w:p w14:paraId="35DB7F40">
                  <w:pPr>
                    <w:jc w:val="center"/>
                    <w:rPr>
                      <w:szCs w:val="21"/>
                    </w:rPr>
                  </w:pPr>
                </w:p>
              </w:tc>
              <w:tc>
                <w:tcPr>
                  <w:tcW w:w="1701" w:type="dxa"/>
                  <w:tcBorders>
                    <w:left w:val="single" w:color="auto" w:sz="4" w:space="0"/>
                    <w:right w:val="single" w:color="auto" w:sz="4" w:space="0"/>
                  </w:tcBorders>
                  <w:vAlign w:val="center"/>
                </w:tcPr>
                <w:p w14:paraId="40AD8195">
                  <w:pPr>
                    <w:jc w:val="center"/>
                    <w:rPr>
                      <w:szCs w:val="21"/>
                    </w:rPr>
                  </w:pPr>
                  <w:r>
                    <w:rPr>
                      <w:rFonts w:hint="eastAsia"/>
                      <w:szCs w:val="21"/>
                    </w:rPr>
                    <w:t>无组织</w:t>
                  </w:r>
                </w:p>
              </w:tc>
              <w:tc>
                <w:tcPr>
                  <w:tcW w:w="1943" w:type="dxa"/>
                  <w:tcBorders>
                    <w:top w:val="single" w:color="auto" w:sz="4" w:space="0"/>
                    <w:left w:val="single" w:color="auto" w:sz="4" w:space="0"/>
                    <w:bottom w:val="single" w:color="auto" w:sz="4" w:space="0"/>
                  </w:tcBorders>
                  <w:vAlign w:val="center"/>
                </w:tcPr>
                <w:p w14:paraId="5B5107F8">
                  <w:pPr>
                    <w:jc w:val="center"/>
                  </w:pPr>
                  <w:r>
                    <w:rPr>
                      <w:rFonts w:hint="eastAsia"/>
                    </w:rPr>
                    <w:t>0.06</w:t>
                  </w:r>
                  <w:r>
                    <w:t>mg/m</w:t>
                  </w:r>
                  <w:r>
                    <w:rPr>
                      <w:vertAlign w:val="superscript"/>
                    </w:rPr>
                    <w:t>3</w:t>
                  </w:r>
                </w:p>
              </w:tc>
            </w:tr>
            <w:tr w14:paraId="0455D10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5DA70E7A">
                  <w:pPr>
                    <w:jc w:val="center"/>
                    <w:rPr>
                      <w:szCs w:val="21"/>
                      <w:highlight w:val="yellow"/>
                    </w:rPr>
                  </w:pPr>
                </w:p>
              </w:tc>
              <w:tc>
                <w:tcPr>
                  <w:tcW w:w="2836" w:type="dxa"/>
                  <w:vMerge w:val="continue"/>
                  <w:tcBorders>
                    <w:left w:val="single" w:color="auto" w:sz="4" w:space="0"/>
                    <w:right w:val="single" w:color="auto" w:sz="4" w:space="0"/>
                  </w:tcBorders>
                  <w:vAlign w:val="center"/>
                </w:tcPr>
                <w:p w14:paraId="6CE34FAF">
                  <w:pPr>
                    <w:jc w:val="center"/>
                    <w:rPr>
                      <w:szCs w:val="21"/>
                    </w:rPr>
                  </w:pPr>
                </w:p>
              </w:tc>
              <w:tc>
                <w:tcPr>
                  <w:tcW w:w="709" w:type="dxa"/>
                  <w:vMerge w:val="restart"/>
                  <w:tcBorders>
                    <w:left w:val="single" w:color="auto" w:sz="4" w:space="0"/>
                    <w:right w:val="single" w:color="auto" w:sz="4" w:space="0"/>
                  </w:tcBorders>
                  <w:vAlign w:val="center"/>
                </w:tcPr>
                <w:p w14:paraId="6774E5F5">
                  <w:pPr>
                    <w:jc w:val="center"/>
                    <w:rPr>
                      <w:szCs w:val="21"/>
                    </w:rPr>
                  </w:pPr>
                  <w:r>
                    <w:rPr>
                      <w:rFonts w:hint="eastAsia"/>
                      <w:szCs w:val="21"/>
                    </w:rPr>
                    <w:t>臭气浓度</w:t>
                  </w:r>
                </w:p>
              </w:tc>
              <w:tc>
                <w:tcPr>
                  <w:tcW w:w="1701" w:type="dxa"/>
                  <w:tcBorders>
                    <w:left w:val="single" w:color="auto" w:sz="4" w:space="0"/>
                    <w:right w:val="single" w:color="auto" w:sz="4" w:space="0"/>
                  </w:tcBorders>
                  <w:vAlign w:val="center"/>
                </w:tcPr>
                <w:p w14:paraId="0AA6CBBD">
                  <w:pPr>
                    <w:jc w:val="center"/>
                    <w:rPr>
                      <w:szCs w:val="21"/>
                    </w:rPr>
                  </w:pPr>
                  <w:r>
                    <w:rPr>
                      <w:szCs w:val="21"/>
                    </w:rPr>
                    <w:t>有组织</w:t>
                  </w:r>
                </w:p>
              </w:tc>
              <w:tc>
                <w:tcPr>
                  <w:tcW w:w="1943" w:type="dxa"/>
                  <w:tcBorders>
                    <w:top w:val="single" w:color="auto" w:sz="4" w:space="0"/>
                    <w:left w:val="single" w:color="auto" w:sz="4" w:space="0"/>
                    <w:bottom w:val="single" w:color="auto" w:sz="4" w:space="0"/>
                  </w:tcBorders>
                  <w:vAlign w:val="center"/>
                </w:tcPr>
                <w:p w14:paraId="3BE2BC12">
                  <w:pPr>
                    <w:jc w:val="center"/>
                  </w:pPr>
                  <w:r>
                    <w:rPr>
                      <w:rFonts w:hint="eastAsia"/>
                    </w:rPr>
                    <w:t>2000（无量纲）</w:t>
                  </w:r>
                </w:p>
              </w:tc>
            </w:tr>
            <w:tr w14:paraId="0ED583B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right w:val="single" w:color="auto" w:sz="4" w:space="0"/>
                  </w:tcBorders>
                  <w:vAlign w:val="center"/>
                </w:tcPr>
                <w:p w14:paraId="73C3BADB">
                  <w:pPr>
                    <w:jc w:val="center"/>
                    <w:rPr>
                      <w:szCs w:val="21"/>
                      <w:highlight w:val="yellow"/>
                    </w:rPr>
                  </w:pPr>
                </w:p>
              </w:tc>
              <w:tc>
                <w:tcPr>
                  <w:tcW w:w="2836" w:type="dxa"/>
                  <w:vMerge w:val="continue"/>
                  <w:tcBorders>
                    <w:left w:val="single" w:color="auto" w:sz="4" w:space="0"/>
                    <w:right w:val="single" w:color="auto" w:sz="4" w:space="0"/>
                  </w:tcBorders>
                  <w:vAlign w:val="center"/>
                </w:tcPr>
                <w:p w14:paraId="36E46124">
                  <w:pPr>
                    <w:jc w:val="center"/>
                    <w:rPr>
                      <w:szCs w:val="21"/>
                    </w:rPr>
                  </w:pPr>
                </w:p>
              </w:tc>
              <w:tc>
                <w:tcPr>
                  <w:tcW w:w="709" w:type="dxa"/>
                  <w:vMerge w:val="continue"/>
                  <w:tcBorders>
                    <w:left w:val="single" w:color="auto" w:sz="4" w:space="0"/>
                    <w:right w:val="single" w:color="auto" w:sz="4" w:space="0"/>
                  </w:tcBorders>
                  <w:vAlign w:val="center"/>
                </w:tcPr>
                <w:p w14:paraId="726F6609">
                  <w:pPr>
                    <w:jc w:val="center"/>
                    <w:rPr>
                      <w:szCs w:val="21"/>
                    </w:rPr>
                  </w:pPr>
                </w:p>
              </w:tc>
              <w:tc>
                <w:tcPr>
                  <w:tcW w:w="1701" w:type="dxa"/>
                  <w:tcBorders>
                    <w:left w:val="single" w:color="auto" w:sz="4" w:space="0"/>
                    <w:right w:val="single" w:color="auto" w:sz="4" w:space="0"/>
                  </w:tcBorders>
                  <w:vAlign w:val="center"/>
                </w:tcPr>
                <w:p w14:paraId="36AA5DCF">
                  <w:pPr>
                    <w:jc w:val="center"/>
                    <w:rPr>
                      <w:szCs w:val="21"/>
                    </w:rPr>
                  </w:pPr>
                  <w:r>
                    <w:rPr>
                      <w:rFonts w:hint="eastAsia"/>
                      <w:szCs w:val="21"/>
                    </w:rPr>
                    <w:t>无组织</w:t>
                  </w:r>
                </w:p>
              </w:tc>
              <w:tc>
                <w:tcPr>
                  <w:tcW w:w="1943" w:type="dxa"/>
                  <w:tcBorders>
                    <w:top w:val="single" w:color="auto" w:sz="4" w:space="0"/>
                    <w:left w:val="single" w:color="auto" w:sz="4" w:space="0"/>
                    <w:bottom w:val="single" w:color="auto" w:sz="4" w:space="0"/>
                  </w:tcBorders>
                  <w:vAlign w:val="center"/>
                </w:tcPr>
                <w:p w14:paraId="40DD8F76">
                  <w:pPr>
                    <w:jc w:val="center"/>
                  </w:pPr>
                  <w:r>
                    <w:rPr>
                      <w:rFonts w:hint="eastAsia"/>
                    </w:rPr>
                    <w:t>20（无量纲）</w:t>
                  </w:r>
                </w:p>
              </w:tc>
            </w:tr>
            <w:tr w14:paraId="520AC30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restart"/>
                  <w:tcBorders>
                    <w:top w:val="single" w:color="auto" w:sz="4" w:space="0"/>
                    <w:right w:val="single" w:color="auto" w:sz="4" w:space="0"/>
                  </w:tcBorders>
                  <w:vAlign w:val="center"/>
                </w:tcPr>
                <w:p w14:paraId="520AC30A">
                  <w:pPr>
                    <w:jc w:val="center"/>
                    <w:rPr>
                      <w:szCs w:val="21"/>
                    </w:rPr>
                  </w:pPr>
                  <w:r>
                    <w:rPr>
                      <w:szCs w:val="21"/>
                    </w:rPr>
                    <w:t>噪声</w:t>
                  </w:r>
                </w:p>
              </w:tc>
              <w:tc>
                <w:tcPr>
                  <w:tcW w:w="2836" w:type="dxa"/>
                  <w:vMerge w:val="restart"/>
                  <w:tcBorders>
                    <w:top w:val="single" w:color="auto" w:sz="4" w:space="0"/>
                    <w:left w:val="single" w:color="auto" w:sz="4" w:space="0"/>
                    <w:right w:val="single" w:color="auto" w:sz="4" w:space="0"/>
                  </w:tcBorders>
                  <w:vAlign w:val="center"/>
                </w:tcPr>
                <w:p w14:paraId="520AC30B">
                  <w:pPr>
                    <w:jc w:val="center"/>
                    <w:rPr>
                      <w:szCs w:val="21"/>
                    </w:rPr>
                  </w:pPr>
                  <w:r>
                    <w:rPr>
                      <w:szCs w:val="21"/>
                    </w:rPr>
                    <w:t>《工业企业厂界环境噪声排放标准》（GB12348-2008）</w:t>
                  </w:r>
                  <w:r>
                    <w:rPr>
                      <w:rFonts w:hint="eastAsia"/>
                      <w:szCs w:val="21"/>
                    </w:rPr>
                    <w:t>2</w:t>
                  </w:r>
                  <w:r>
                    <w:rPr>
                      <w:szCs w:val="21"/>
                    </w:rPr>
                    <w:t>类</w:t>
                  </w:r>
                </w:p>
              </w:tc>
              <w:tc>
                <w:tcPr>
                  <w:tcW w:w="2410" w:type="dxa"/>
                  <w:gridSpan w:val="2"/>
                  <w:vMerge w:val="restart"/>
                  <w:tcBorders>
                    <w:top w:val="single" w:color="auto" w:sz="4" w:space="0"/>
                    <w:left w:val="single" w:color="auto" w:sz="4" w:space="0"/>
                    <w:right w:val="single" w:color="auto" w:sz="4" w:space="0"/>
                  </w:tcBorders>
                  <w:vAlign w:val="center"/>
                </w:tcPr>
                <w:p w14:paraId="520AC30C">
                  <w:pPr>
                    <w:jc w:val="center"/>
                    <w:rPr>
                      <w:szCs w:val="21"/>
                    </w:rPr>
                  </w:pPr>
                  <w:r>
                    <w:rPr>
                      <w:szCs w:val="21"/>
                    </w:rPr>
                    <w:t>噪声</w:t>
                  </w:r>
                </w:p>
              </w:tc>
              <w:tc>
                <w:tcPr>
                  <w:tcW w:w="1943" w:type="dxa"/>
                  <w:tcBorders>
                    <w:top w:val="single" w:color="auto" w:sz="4" w:space="0"/>
                    <w:left w:val="single" w:color="auto" w:sz="4" w:space="0"/>
                    <w:bottom w:val="single" w:color="auto" w:sz="4" w:space="0"/>
                  </w:tcBorders>
                  <w:vAlign w:val="center"/>
                </w:tcPr>
                <w:p w14:paraId="520AC30D">
                  <w:pPr>
                    <w:jc w:val="center"/>
                    <w:rPr>
                      <w:bCs/>
                      <w:szCs w:val="21"/>
                    </w:rPr>
                  </w:pPr>
                  <w:r>
                    <w:rPr>
                      <w:bCs/>
                      <w:szCs w:val="21"/>
                    </w:rPr>
                    <w:t>昼间</w:t>
                  </w:r>
                  <w:r>
                    <w:rPr>
                      <w:rFonts w:hint="eastAsia"/>
                      <w:bCs/>
                      <w:szCs w:val="21"/>
                    </w:rPr>
                    <w:t>60</w:t>
                  </w:r>
                  <w:r>
                    <w:rPr>
                      <w:bCs/>
                      <w:szCs w:val="21"/>
                    </w:rPr>
                    <w:t>dB(A)</w:t>
                  </w:r>
                </w:p>
              </w:tc>
            </w:tr>
            <w:tr w14:paraId="520AC31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top w:val="single" w:color="auto" w:sz="4" w:space="0"/>
                    <w:right w:val="single" w:color="auto" w:sz="4" w:space="0"/>
                  </w:tcBorders>
                  <w:vAlign w:val="center"/>
                </w:tcPr>
                <w:p w14:paraId="520AC30F">
                  <w:pPr>
                    <w:jc w:val="center"/>
                    <w:rPr>
                      <w:szCs w:val="21"/>
                    </w:rPr>
                  </w:pPr>
                </w:p>
              </w:tc>
              <w:tc>
                <w:tcPr>
                  <w:tcW w:w="2836" w:type="dxa"/>
                  <w:vMerge w:val="continue"/>
                  <w:tcBorders>
                    <w:left w:val="single" w:color="auto" w:sz="4" w:space="0"/>
                    <w:right w:val="single" w:color="auto" w:sz="4" w:space="0"/>
                  </w:tcBorders>
                  <w:vAlign w:val="center"/>
                </w:tcPr>
                <w:p w14:paraId="520AC310">
                  <w:pPr>
                    <w:jc w:val="center"/>
                    <w:rPr>
                      <w:szCs w:val="21"/>
                    </w:rPr>
                  </w:pPr>
                </w:p>
              </w:tc>
              <w:tc>
                <w:tcPr>
                  <w:tcW w:w="2410" w:type="dxa"/>
                  <w:gridSpan w:val="2"/>
                  <w:vMerge w:val="continue"/>
                  <w:tcBorders>
                    <w:left w:val="single" w:color="auto" w:sz="4" w:space="0"/>
                    <w:right w:val="single" w:color="auto" w:sz="4" w:space="0"/>
                  </w:tcBorders>
                  <w:vAlign w:val="center"/>
                </w:tcPr>
                <w:p w14:paraId="520AC311">
                  <w:pPr>
                    <w:jc w:val="center"/>
                    <w:rPr>
                      <w:szCs w:val="21"/>
                    </w:rPr>
                  </w:pPr>
                </w:p>
              </w:tc>
              <w:tc>
                <w:tcPr>
                  <w:tcW w:w="1943" w:type="dxa"/>
                  <w:tcBorders>
                    <w:top w:val="single" w:color="auto" w:sz="4" w:space="0"/>
                    <w:left w:val="single" w:color="auto" w:sz="4" w:space="0"/>
                    <w:bottom w:val="single" w:color="auto" w:sz="4" w:space="0"/>
                  </w:tcBorders>
                  <w:vAlign w:val="center"/>
                </w:tcPr>
                <w:p w14:paraId="520AC312">
                  <w:pPr>
                    <w:jc w:val="center"/>
                    <w:rPr>
                      <w:bCs/>
                      <w:szCs w:val="21"/>
                    </w:rPr>
                  </w:pPr>
                  <w:r>
                    <w:rPr>
                      <w:rFonts w:hint="eastAsia"/>
                      <w:bCs/>
                      <w:szCs w:val="21"/>
                    </w:rPr>
                    <w:t>夜</w:t>
                  </w:r>
                  <w:r>
                    <w:rPr>
                      <w:bCs/>
                      <w:szCs w:val="21"/>
                    </w:rPr>
                    <w:t>间</w:t>
                  </w:r>
                  <w:r>
                    <w:rPr>
                      <w:rFonts w:hint="eastAsia"/>
                      <w:bCs/>
                      <w:szCs w:val="21"/>
                    </w:rPr>
                    <w:t>50</w:t>
                  </w:r>
                  <w:r>
                    <w:rPr>
                      <w:bCs/>
                      <w:szCs w:val="21"/>
                    </w:rPr>
                    <w:t>dB(A)</w:t>
                  </w:r>
                </w:p>
              </w:tc>
            </w:tr>
            <w:tr w14:paraId="520AC31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restart"/>
                  <w:tcBorders>
                    <w:top w:val="single" w:color="auto" w:sz="4" w:space="0"/>
                    <w:right w:val="single" w:color="auto" w:sz="4" w:space="0"/>
                  </w:tcBorders>
                  <w:vAlign w:val="center"/>
                </w:tcPr>
                <w:p w14:paraId="520AC314">
                  <w:pPr>
                    <w:jc w:val="center"/>
                    <w:rPr>
                      <w:szCs w:val="21"/>
                    </w:rPr>
                  </w:pPr>
                  <w:r>
                    <w:rPr>
                      <w:szCs w:val="21"/>
                    </w:rPr>
                    <w:t>固废</w:t>
                  </w:r>
                </w:p>
              </w:tc>
              <w:tc>
                <w:tcPr>
                  <w:tcW w:w="7189" w:type="dxa"/>
                  <w:gridSpan w:val="4"/>
                  <w:tcBorders>
                    <w:left w:val="single" w:color="auto" w:sz="4" w:space="0"/>
                  </w:tcBorders>
                  <w:vAlign w:val="center"/>
                </w:tcPr>
                <w:p w14:paraId="520AC315">
                  <w:pPr>
                    <w:jc w:val="center"/>
                    <w:rPr>
                      <w:bCs/>
                      <w:szCs w:val="21"/>
                    </w:rPr>
                  </w:pPr>
                  <w:r>
                    <w:rPr>
                      <w:rFonts w:hint="eastAsia"/>
                      <w:bCs/>
                      <w:szCs w:val="21"/>
                    </w:rPr>
                    <w:t>《一般工业固体废物贮存和填埋污染控制标准》（GB18599-2020）的防渗漏、防雨淋、防扬尘的要求</w:t>
                  </w:r>
                </w:p>
              </w:tc>
            </w:tr>
            <w:tr w14:paraId="520AC31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785" w:type="dxa"/>
                  <w:vMerge w:val="continue"/>
                  <w:tcBorders>
                    <w:bottom w:val="single" w:color="auto" w:sz="4" w:space="0"/>
                    <w:right w:val="single" w:color="auto" w:sz="4" w:space="0"/>
                  </w:tcBorders>
                  <w:vAlign w:val="center"/>
                </w:tcPr>
                <w:p w14:paraId="520AC317">
                  <w:pPr>
                    <w:jc w:val="center"/>
                    <w:rPr>
                      <w:szCs w:val="21"/>
                    </w:rPr>
                  </w:pPr>
                </w:p>
              </w:tc>
              <w:tc>
                <w:tcPr>
                  <w:tcW w:w="7189" w:type="dxa"/>
                  <w:gridSpan w:val="4"/>
                  <w:tcBorders>
                    <w:top w:val="single" w:color="auto" w:sz="4" w:space="0"/>
                    <w:left w:val="single" w:color="auto" w:sz="4" w:space="0"/>
                    <w:bottom w:val="single" w:color="auto" w:sz="4" w:space="0"/>
                  </w:tcBorders>
                  <w:vAlign w:val="center"/>
                </w:tcPr>
                <w:p w14:paraId="520AC318">
                  <w:pPr>
                    <w:jc w:val="center"/>
                    <w:rPr>
                      <w:szCs w:val="21"/>
                    </w:rPr>
                  </w:pPr>
                  <w:r>
                    <w:rPr>
                      <w:rFonts w:hint="eastAsia"/>
                      <w:szCs w:val="21"/>
                    </w:rPr>
                    <w:t>《危险废物贮存污染控制标准》（GB18597-2023）</w:t>
                  </w:r>
                </w:p>
              </w:tc>
            </w:tr>
          </w:tbl>
          <w:p w14:paraId="520AC31A">
            <w:pPr>
              <w:adjustRightInd w:val="0"/>
              <w:snapToGrid w:val="0"/>
              <w:spacing w:line="460" w:lineRule="exact"/>
              <w:ind w:firstLine="480" w:firstLineChars="200"/>
              <w:rPr>
                <w:sz w:val="24"/>
              </w:rPr>
            </w:pPr>
            <w:r>
              <w:rPr>
                <w:sz w:val="24"/>
              </w:rPr>
              <w:t>除上表执行标准外，企业需满足以下文件相关要求：</w:t>
            </w:r>
          </w:p>
          <w:p w14:paraId="45F0EDA0">
            <w:pPr>
              <w:adjustRightInd w:val="0"/>
              <w:snapToGrid w:val="0"/>
              <w:spacing w:line="460" w:lineRule="exact"/>
              <w:ind w:firstLine="480" w:firstLineChars="200"/>
              <w:rPr>
                <w:bCs/>
                <w:sz w:val="24"/>
              </w:rPr>
            </w:pPr>
            <w:r>
              <w:rPr>
                <w:rFonts w:hint="eastAsia"/>
                <w:sz w:val="24"/>
              </w:rPr>
              <w:t>试验工段产生的</w:t>
            </w:r>
            <w:r>
              <w:rPr>
                <w:sz w:val="24"/>
              </w:rPr>
              <w:t>非甲烷总烃需满足</w:t>
            </w:r>
            <w:r>
              <w:rPr>
                <w:bCs/>
                <w:sz w:val="24"/>
              </w:rPr>
              <w:t>《河南省重污染天气通用行业应急减排措施制定技术指南》（2024年修订版）涉VOCs企业</w:t>
            </w:r>
            <w:r>
              <w:rPr>
                <w:rFonts w:hint="eastAsia"/>
                <w:bCs/>
                <w:sz w:val="24"/>
              </w:rPr>
              <w:t>非甲烷总烃有组织排放浓度3</w:t>
            </w:r>
            <w:r>
              <w:rPr>
                <w:bCs/>
                <w:sz w:val="24"/>
              </w:rPr>
              <w:t>0mg/m</w:t>
            </w:r>
            <w:r>
              <w:rPr>
                <w:bCs/>
                <w:sz w:val="24"/>
                <w:vertAlign w:val="superscript"/>
              </w:rPr>
              <w:t>3</w:t>
            </w:r>
            <w:r>
              <w:rPr>
                <w:rFonts w:hint="eastAsia"/>
                <w:bCs/>
                <w:sz w:val="24"/>
              </w:rPr>
              <w:t>的限值要求，</w:t>
            </w:r>
            <w:r>
              <w:rPr>
                <w:bCs/>
                <w:sz w:val="24"/>
              </w:rPr>
              <w:t>同时满足关于全省开展工业企业挥发性有机物专项治理工作中排放建议值的通知》（豫环攻坚办[2017]162号）</w:t>
            </w:r>
            <w:r>
              <w:rPr>
                <w:rFonts w:hint="eastAsia"/>
                <w:bCs/>
                <w:sz w:val="24"/>
              </w:rPr>
              <w:t>附件1-其他企业非甲烷总烃有组织排放浓度80</w:t>
            </w:r>
            <w:r>
              <w:rPr>
                <w:bCs/>
                <w:sz w:val="24"/>
              </w:rPr>
              <w:t>mg/m</w:t>
            </w:r>
            <w:r>
              <w:rPr>
                <w:bCs/>
                <w:sz w:val="24"/>
                <w:vertAlign w:val="superscript"/>
              </w:rPr>
              <w:t>3</w:t>
            </w:r>
            <w:r>
              <w:rPr>
                <w:rFonts w:hint="eastAsia"/>
                <w:bCs/>
                <w:sz w:val="24"/>
              </w:rPr>
              <w:t>（处理效率70%）</w:t>
            </w:r>
            <w:r>
              <w:rPr>
                <w:bCs/>
                <w:sz w:val="24"/>
              </w:rPr>
              <w:t>的限值要求</w:t>
            </w:r>
            <w:r>
              <w:rPr>
                <w:rFonts w:hint="eastAsia"/>
                <w:bCs/>
                <w:sz w:val="24"/>
              </w:rPr>
              <w:t>、</w:t>
            </w:r>
            <w:r>
              <w:rPr>
                <w:bCs/>
                <w:sz w:val="24"/>
              </w:rPr>
              <w:t>附件2-其他企业边界非甲烷总烃2</w:t>
            </w:r>
            <w:r>
              <w:rPr>
                <w:rFonts w:hint="eastAsia"/>
                <w:bCs/>
                <w:sz w:val="24"/>
              </w:rPr>
              <w:t>.0</w:t>
            </w:r>
            <w:r>
              <w:rPr>
                <w:bCs/>
                <w:sz w:val="24"/>
              </w:rPr>
              <w:t>mg/m</w:t>
            </w:r>
            <w:r>
              <w:rPr>
                <w:bCs/>
                <w:sz w:val="24"/>
                <w:vertAlign w:val="superscript"/>
              </w:rPr>
              <w:t>3</w:t>
            </w:r>
            <w:r>
              <w:rPr>
                <w:bCs/>
                <w:sz w:val="24"/>
              </w:rPr>
              <w:t>的限值要求。</w:t>
            </w:r>
          </w:p>
          <w:p w14:paraId="223A85AD">
            <w:pPr>
              <w:adjustRightInd w:val="0"/>
              <w:snapToGrid w:val="0"/>
              <w:spacing w:line="460" w:lineRule="exact"/>
              <w:ind w:firstLine="480" w:firstLineChars="200"/>
              <w:rPr>
                <w:bCs/>
                <w:sz w:val="24"/>
              </w:rPr>
            </w:pPr>
            <w:r>
              <w:rPr>
                <w:rFonts w:hint="eastAsia"/>
                <w:bCs/>
                <w:sz w:val="24"/>
              </w:rPr>
              <w:t>硫化工段产生的废气</w:t>
            </w:r>
            <w:r>
              <w:rPr>
                <w:sz w:val="24"/>
              </w:rPr>
              <w:t>非甲烷总烃</w:t>
            </w:r>
            <w:r>
              <w:rPr>
                <w:rFonts w:hint="eastAsia"/>
                <w:sz w:val="24"/>
              </w:rPr>
              <w:t>还</w:t>
            </w:r>
            <w:r>
              <w:rPr>
                <w:sz w:val="24"/>
              </w:rPr>
              <w:t>需满足</w:t>
            </w:r>
            <w:r>
              <w:rPr>
                <w:rFonts w:hint="eastAsia"/>
                <w:sz w:val="24"/>
              </w:rPr>
              <w:t>《重污染天气重点行业应急减排措施制度技术指南》（2020年修订版）中橡胶制品行业非甲烷总烃10</w:t>
            </w:r>
            <w:r>
              <w:rPr>
                <w:sz w:val="24"/>
              </w:rPr>
              <w:t>mg/m</w:t>
            </w:r>
            <w:r>
              <w:rPr>
                <w:sz w:val="24"/>
                <w:vertAlign w:val="superscript"/>
              </w:rPr>
              <w:t>3</w:t>
            </w:r>
            <w:r>
              <w:rPr>
                <w:rFonts w:hint="eastAsia"/>
                <w:sz w:val="24"/>
              </w:rPr>
              <w:t>的标准限值要求和</w:t>
            </w:r>
            <w:r>
              <w:rPr>
                <w:rFonts w:hint="eastAsia"/>
                <w:bCs/>
                <w:sz w:val="24"/>
              </w:rPr>
              <w:t>《关于全省开展工业企业挥发性有机物专项治理工作中排放建议值的通知》（豫环攻坚办[2017]162号）其他行业</w:t>
            </w:r>
            <w:r>
              <w:rPr>
                <w:rFonts w:hint="eastAsia"/>
                <w:sz w:val="24"/>
              </w:rPr>
              <w:t>80</w:t>
            </w:r>
            <w:r>
              <w:rPr>
                <w:sz w:val="24"/>
              </w:rPr>
              <w:t>mg/m</w:t>
            </w:r>
            <w:r>
              <w:rPr>
                <w:sz w:val="24"/>
                <w:vertAlign w:val="superscript"/>
              </w:rPr>
              <w:t>3</w:t>
            </w:r>
            <w:r>
              <w:rPr>
                <w:sz w:val="24"/>
              </w:rPr>
              <w:t>（</w:t>
            </w:r>
            <w:r>
              <w:rPr>
                <w:rFonts w:hint="eastAsia"/>
                <w:sz w:val="24"/>
              </w:rPr>
              <w:t>去除效率70%</w:t>
            </w:r>
            <w:r>
              <w:rPr>
                <w:sz w:val="24"/>
              </w:rPr>
              <w:t>）</w:t>
            </w:r>
            <w:r>
              <w:rPr>
                <w:rFonts w:hint="eastAsia"/>
                <w:bCs/>
                <w:sz w:val="24"/>
              </w:rPr>
              <w:t>、</w:t>
            </w:r>
            <w:r>
              <w:rPr>
                <w:bCs/>
                <w:sz w:val="24"/>
              </w:rPr>
              <w:t>附件2-其他企业边界非甲烷总烃2</w:t>
            </w:r>
            <w:r>
              <w:rPr>
                <w:rFonts w:hint="eastAsia"/>
                <w:bCs/>
                <w:sz w:val="24"/>
              </w:rPr>
              <w:t>.0</w:t>
            </w:r>
            <w:r>
              <w:rPr>
                <w:bCs/>
                <w:sz w:val="24"/>
              </w:rPr>
              <w:t>mg/m</w:t>
            </w:r>
            <w:r>
              <w:rPr>
                <w:bCs/>
                <w:sz w:val="24"/>
                <w:vertAlign w:val="superscript"/>
              </w:rPr>
              <w:t>3</w:t>
            </w:r>
            <w:r>
              <w:rPr>
                <w:rFonts w:hint="eastAsia"/>
                <w:sz w:val="24"/>
              </w:rPr>
              <w:t>的标准限值要求。SO</w:t>
            </w:r>
            <w:r>
              <w:rPr>
                <w:rFonts w:hint="eastAsia"/>
                <w:sz w:val="24"/>
                <w:vertAlign w:val="subscript"/>
              </w:rPr>
              <w:t>2</w:t>
            </w:r>
            <w:r>
              <w:rPr>
                <w:rFonts w:hint="eastAsia"/>
                <w:sz w:val="24"/>
              </w:rPr>
              <w:t>还需满足</w:t>
            </w:r>
            <w:r>
              <w:rPr>
                <w:rFonts w:hint="eastAsia"/>
                <w:bCs/>
                <w:sz w:val="24"/>
              </w:rPr>
              <w:t>《新乡市环境污染防治攻坚指挥部办公室关于规范焚烧炉正常运行的环保管理意见》废气焚烧炉（SO</w:t>
            </w:r>
            <w:r>
              <w:rPr>
                <w:rFonts w:hint="eastAsia"/>
                <w:bCs/>
                <w:sz w:val="24"/>
                <w:vertAlign w:val="subscript"/>
              </w:rPr>
              <w:t>2</w:t>
            </w:r>
            <w:r>
              <w:rPr>
                <w:rFonts w:hint="eastAsia"/>
                <w:bCs/>
                <w:sz w:val="24"/>
              </w:rPr>
              <w:t xml:space="preserve"> 20mg/m</w:t>
            </w:r>
            <w:r>
              <w:rPr>
                <w:rFonts w:hint="eastAsia"/>
                <w:bCs/>
                <w:sz w:val="24"/>
                <w:vertAlign w:val="superscript"/>
              </w:rPr>
              <w:t>3</w:t>
            </w:r>
            <w:r>
              <w:rPr>
                <w:rFonts w:hint="eastAsia"/>
                <w:bCs/>
                <w:sz w:val="24"/>
              </w:rPr>
              <w:t>）的限值要求。</w:t>
            </w:r>
          </w:p>
          <w:p w14:paraId="09A1B618">
            <w:pPr>
              <w:adjustRightInd w:val="0"/>
              <w:snapToGrid w:val="0"/>
              <w:spacing w:line="460" w:lineRule="exact"/>
              <w:ind w:firstLine="480" w:firstLineChars="200"/>
              <w:rPr>
                <w:bCs/>
                <w:sz w:val="24"/>
              </w:rPr>
            </w:pPr>
            <w:r>
              <w:rPr>
                <w:rFonts w:hint="eastAsia"/>
                <w:bCs/>
                <w:sz w:val="24"/>
              </w:rPr>
              <w:t>颗粒物还需满足</w:t>
            </w:r>
            <w:r>
              <w:rPr>
                <w:bCs/>
                <w:sz w:val="24"/>
              </w:rPr>
              <w:t>《新乡市生态环境局关于进一步规范工业企业颗粒物排放限值的通知》其他涉气工业企业</w:t>
            </w:r>
            <w:r>
              <w:rPr>
                <w:rFonts w:hint="eastAsia"/>
                <w:bCs/>
                <w:sz w:val="24"/>
              </w:rPr>
              <w:t>有组织10mg/m</w:t>
            </w:r>
            <w:r>
              <w:rPr>
                <w:rFonts w:hint="eastAsia"/>
                <w:bCs/>
                <w:sz w:val="24"/>
                <w:vertAlign w:val="superscript"/>
              </w:rPr>
              <w:t>3</w:t>
            </w:r>
            <w:r>
              <w:rPr>
                <w:rFonts w:hint="eastAsia"/>
                <w:bCs/>
                <w:sz w:val="24"/>
              </w:rPr>
              <w:t>。</w:t>
            </w:r>
          </w:p>
          <w:p w14:paraId="520AC31B">
            <w:pPr>
              <w:adjustRightInd w:val="0"/>
              <w:snapToGrid w:val="0"/>
              <w:spacing w:line="460" w:lineRule="exact"/>
              <w:ind w:firstLine="420" w:firstLineChars="200"/>
              <w:rPr>
                <w:rFonts w:hint="eastAsia" w:ascii="宋体" w:hAnsi="宋体" w:cs="宋体"/>
                <w:kern w:val="0"/>
                <w:szCs w:val="21"/>
                <w:highlight w:val="yellow"/>
              </w:rPr>
            </w:pPr>
          </w:p>
        </w:tc>
      </w:tr>
      <w:tr w14:paraId="520AC4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800" w:type="dxa"/>
            <w:vAlign w:val="center"/>
          </w:tcPr>
          <w:p w14:paraId="520AC31D">
            <w:pPr>
              <w:adjustRightInd w:val="0"/>
              <w:snapToGrid w:val="0"/>
              <w:jc w:val="center"/>
              <w:rPr>
                <w:rFonts w:hint="eastAsia" w:ascii="宋体" w:hAnsi="宋体" w:cs="宋体"/>
                <w:kern w:val="0"/>
                <w:szCs w:val="21"/>
              </w:rPr>
            </w:pPr>
            <w:r>
              <w:rPr>
                <w:rFonts w:hint="eastAsia" w:ascii="宋体" w:hAnsi="宋体" w:cs="宋体"/>
                <w:kern w:val="0"/>
                <w:szCs w:val="21"/>
              </w:rPr>
              <w:t>总量</w:t>
            </w:r>
          </w:p>
          <w:p w14:paraId="520AC31E">
            <w:pPr>
              <w:adjustRightInd w:val="0"/>
              <w:snapToGrid w:val="0"/>
              <w:jc w:val="center"/>
              <w:rPr>
                <w:rFonts w:hint="eastAsia" w:ascii="宋体" w:hAnsi="宋体" w:cs="宋体"/>
                <w:kern w:val="0"/>
                <w:szCs w:val="21"/>
              </w:rPr>
            </w:pPr>
            <w:r>
              <w:rPr>
                <w:rFonts w:hint="eastAsia" w:ascii="宋体" w:hAnsi="宋体" w:cs="宋体"/>
                <w:kern w:val="0"/>
                <w:szCs w:val="21"/>
              </w:rPr>
              <w:t>控制</w:t>
            </w:r>
          </w:p>
          <w:p w14:paraId="520AC31F">
            <w:pPr>
              <w:adjustRightInd w:val="0"/>
              <w:snapToGrid w:val="0"/>
              <w:jc w:val="center"/>
              <w:rPr>
                <w:rFonts w:hint="eastAsia" w:ascii="宋体" w:hAnsi="宋体" w:cs="宋体"/>
                <w:kern w:val="0"/>
                <w:szCs w:val="21"/>
                <w:highlight w:val="yellow"/>
              </w:rPr>
            </w:pPr>
            <w:r>
              <w:rPr>
                <w:rFonts w:hint="eastAsia" w:ascii="宋体" w:hAnsi="宋体" w:cs="宋体"/>
                <w:kern w:val="0"/>
                <w:szCs w:val="21"/>
              </w:rPr>
              <w:t>指标</w:t>
            </w:r>
          </w:p>
        </w:tc>
        <w:tc>
          <w:tcPr>
            <w:tcW w:w="8190" w:type="dxa"/>
            <w:vAlign w:val="center"/>
          </w:tcPr>
          <w:p w14:paraId="520AC320">
            <w:pPr>
              <w:adjustRightInd w:val="0"/>
              <w:snapToGrid w:val="0"/>
              <w:spacing w:line="460" w:lineRule="exact"/>
              <w:ind w:firstLine="480" w:firstLineChars="200"/>
              <w:rPr>
                <w:sz w:val="24"/>
              </w:rPr>
            </w:pPr>
            <w:r>
              <w:rPr>
                <w:sz w:val="24"/>
              </w:rPr>
              <w:t>根据《新乡市生态环境局关于转发&lt;河南省生态环境厅关于印发建设项目主要污染物排放总量指标管理工作内部规程的通知&gt;的通知》，建设项目环境影响评价文件中应明确建设项目主要污染物排放总量及替代方案。</w:t>
            </w:r>
          </w:p>
          <w:p w14:paraId="520AC321">
            <w:pPr>
              <w:adjustRightInd w:val="0"/>
              <w:snapToGrid w:val="0"/>
              <w:spacing w:line="460" w:lineRule="exact"/>
              <w:ind w:firstLine="480" w:firstLineChars="200"/>
              <w:rPr>
                <w:sz w:val="24"/>
              </w:rPr>
            </w:pPr>
            <w:r>
              <w:rPr>
                <w:rFonts w:cs="Calibri"/>
                <w:sz w:val="24"/>
              </w:rPr>
              <w:t>项目建成后全厂污染物排放情况见下表。</w:t>
            </w:r>
          </w:p>
          <w:p w14:paraId="520AC322">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47</w:t>
            </w:r>
            <w:r>
              <w:rPr>
                <w:rFonts w:eastAsia="黑体"/>
                <w:sz w:val="24"/>
              </w:rPr>
              <w:t xml:space="preserve">    本项目建成后</w:t>
            </w:r>
            <w:r>
              <w:rPr>
                <w:rFonts w:hint="eastAsia" w:eastAsia="黑体"/>
                <w:sz w:val="24"/>
              </w:rPr>
              <w:t>全厂</w:t>
            </w:r>
            <w:r>
              <w:rPr>
                <w:rFonts w:eastAsia="黑体"/>
                <w:sz w:val="24"/>
              </w:rPr>
              <w:t>污染物排放情况一览表    单位：t/a</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20"/>
              <w:gridCol w:w="975"/>
              <w:gridCol w:w="851"/>
              <w:gridCol w:w="850"/>
              <w:gridCol w:w="992"/>
              <w:gridCol w:w="851"/>
              <w:gridCol w:w="851"/>
              <w:gridCol w:w="1159"/>
              <w:gridCol w:w="925"/>
            </w:tblGrid>
            <w:tr w14:paraId="520AC32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1495" w:type="dxa"/>
                  <w:gridSpan w:val="2"/>
                  <w:vMerge w:val="restart"/>
                  <w:tcMar>
                    <w:left w:w="28" w:type="dxa"/>
                    <w:right w:w="28" w:type="dxa"/>
                  </w:tcMar>
                  <w:vAlign w:val="center"/>
                </w:tcPr>
                <w:p w14:paraId="520AC323">
                  <w:pPr>
                    <w:jc w:val="center"/>
                    <w:rPr>
                      <w:b/>
                      <w:kern w:val="0"/>
                      <w:szCs w:val="21"/>
                    </w:rPr>
                  </w:pPr>
                  <w:r>
                    <w:rPr>
                      <w:b/>
                      <w:kern w:val="0"/>
                      <w:szCs w:val="21"/>
                    </w:rPr>
                    <w:t>污染物</w:t>
                  </w:r>
                </w:p>
              </w:tc>
              <w:tc>
                <w:tcPr>
                  <w:tcW w:w="1701" w:type="dxa"/>
                  <w:gridSpan w:val="2"/>
                  <w:tcMar>
                    <w:left w:w="28" w:type="dxa"/>
                    <w:right w:w="28" w:type="dxa"/>
                  </w:tcMar>
                  <w:vAlign w:val="center"/>
                </w:tcPr>
                <w:p w14:paraId="520AC324">
                  <w:pPr>
                    <w:widowControl/>
                    <w:jc w:val="center"/>
                    <w:rPr>
                      <w:b/>
                      <w:kern w:val="0"/>
                      <w:szCs w:val="21"/>
                    </w:rPr>
                  </w:pPr>
                  <w:r>
                    <w:rPr>
                      <w:b/>
                      <w:kern w:val="0"/>
                      <w:szCs w:val="21"/>
                    </w:rPr>
                    <w:t>现有</w:t>
                  </w:r>
                  <w:r>
                    <w:rPr>
                      <w:rFonts w:hint="eastAsia"/>
                      <w:b/>
                      <w:kern w:val="0"/>
                      <w:szCs w:val="21"/>
                    </w:rPr>
                    <w:t>已建</w:t>
                  </w:r>
                  <w:r>
                    <w:rPr>
                      <w:b/>
                      <w:kern w:val="0"/>
                      <w:szCs w:val="21"/>
                    </w:rPr>
                    <w:t>工程</w:t>
                  </w:r>
                </w:p>
              </w:tc>
              <w:tc>
                <w:tcPr>
                  <w:tcW w:w="992" w:type="dxa"/>
                  <w:vMerge w:val="restart"/>
                  <w:vAlign w:val="center"/>
                </w:tcPr>
                <w:p w14:paraId="520AC325">
                  <w:pPr>
                    <w:widowControl/>
                    <w:jc w:val="center"/>
                    <w:rPr>
                      <w:b/>
                      <w:kern w:val="0"/>
                      <w:szCs w:val="21"/>
                    </w:rPr>
                  </w:pPr>
                  <w:r>
                    <w:rPr>
                      <w:rFonts w:hint="eastAsia"/>
                      <w:b/>
                      <w:szCs w:val="21"/>
                    </w:rPr>
                    <w:t>在建工程</w:t>
                  </w:r>
                  <w:r>
                    <w:rPr>
                      <w:rFonts w:hint="eastAsia"/>
                      <w:b/>
                      <w:szCs w:val="20"/>
                    </w:rPr>
                    <w:t>环评批复量</w:t>
                  </w:r>
                </w:p>
              </w:tc>
              <w:tc>
                <w:tcPr>
                  <w:tcW w:w="851" w:type="dxa"/>
                  <w:vMerge w:val="restart"/>
                  <w:tcMar>
                    <w:left w:w="28" w:type="dxa"/>
                    <w:right w:w="28" w:type="dxa"/>
                  </w:tcMar>
                  <w:vAlign w:val="center"/>
                </w:tcPr>
                <w:p w14:paraId="520AC326">
                  <w:pPr>
                    <w:widowControl/>
                    <w:jc w:val="center"/>
                    <w:rPr>
                      <w:b/>
                      <w:kern w:val="0"/>
                      <w:szCs w:val="21"/>
                    </w:rPr>
                  </w:pPr>
                  <w:r>
                    <w:rPr>
                      <w:b/>
                      <w:kern w:val="0"/>
                      <w:szCs w:val="21"/>
                    </w:rPr>
                    <w:t>本工程</w:t>
                  </w:r>
                </w:p>
                <w:p w14:paraId="520AC327">
                  <w:pPr>
                    <w:jc w:val="center"/>
                    <w:rPr>
                      <w:b/>
                      <w:kern w:val="0"/>
                      <w:szCs w:val="21"/>
                    </w:rPr>
                  </w:pPr>
                  <w:r>
                    <w:rPr>
                      <w:b/>
                      <w:kern w:val="0"/>
                      <w:szCs w:val="21"/>
                    </w:rPr>
                    <w:t>排放量</w:t>
                  </w:r>
                </w:p>
              </w:tc>
              <w:tc>
                <w:tcPr>
                  <w:tcW w:w="851" w:type="dxa"/>
                  <w:vMerge w:val="restart"/>
                  <w:tcMar>
                    <w:left w:w="28" w:type="dxa"/>
                    <w:right w:w="28" w:type="dxa"/>
                  </w:tcMar>
                  <w:vAlign w:val="center"/>
                </w:tcPr>
                <w:p w14:paraId="520AC328">
                  <w:pPr>
                    <w:jc w:val="center"/>
                    <w:rPr>
                      <w:b/>
                      <w:kern w:val="0"/>
                      <w:szCs w:val="21"/>
                    </w:rPr>
                  </w:pPr>
                  <w:r>
                    <w:rPr>
                      <w:b/>
                      <w:kern w:val="0"/>
                      <w:szCs w:val="21"/>
                    </w:rPr>
                    <w:t>以新</w:t>
                  </w:r>
                  <w:r>
                    <w:rPr>
                      <w:rFonts w:hint="eastAsia"/>
                      <w:b/>
                      <w:kern w:val="0"/>
                      <w:szCs w:val="21"/>
                    </w:rPr>
                    <w:t>代</w:t>
                  </w:r>
                  <w:r>
                    <w:rPr>
                      <w:b/>
                      <w:kern w:val="0"/>
                      <w:szCs w:val="21"/>
                    </w:rPr>
                    <w:t>老削减量</w:t>
                  </w:r>
                </w:p>
              </w:tc>
              <w:tc>
                <w:tcPr>
                  <w:tcW w:w="1159" w:type="dxa"/>
                  <w:vMerge w:val="restart"/>
                  <w:tcMar>
                    <w:left w:w="28" w:type="dxa"/>
                    <w:right w:w="28" w:type="dxa"/>
                  </w:tcMar>
                  <w:vAlign w:val="center"/>
                </w:tcPr>
                <w:p w14:paraId="520AC329">
                  <w:pPr>
                    <w:jc w:val="center"/>
                    <w:rPr>
                      <w:b/>
                      <w:kern w:val="0"/>
                      <w:szCs w:val="21"/>
                    </w:rPr>
                  </w:pPr>
                  <w:r>
                    <w:rPr>
                      <w:b/>
                      <w:kern w:val="0"/>
                      <w:szCs w:val="21"/>
                    </w:rPr>
                    <w:t>全厂排</w:t>
                  </w:r>
                </w:p>
                <w:p w14:paraId="520AC32A">
                  <w:pPr>
                    <w:jc w:val="center"/>
                    <w:rPr>
                      <w:b/>
                      <w:kern w:val="0"/>
                      <w:szCs w:val="21"/>
                    </w:rPr>
                  </w:pPr>
                  <w:r>
                    <w:rPr>
                      <w:b/>
                      <w:kern w:val="0"/>
                      <w:szCs w:val="21"/>
                    </w:rPr>
                    <w:t>放总量</w:t>
                  </w:r>
                </w:p>
              </w:tc>
              <w:tc>
                <w:tcPr>
                  <w:tcW w:w="925" w:type="dxa"/>
                  <w:vMerge w:val="restart"/>
                  <w:tcMar>
                    <w:left w:w="28" w:type="dxa"/>
                    <w:right w:w="28" w:type="dxa"/>
                  </w:tcMar>
                  <w:vAlign w:val="center"/>
                </w:tcPr>
                <w:p w14:paraId="520AC32B">
                  <w:pPr>
                    <w:jc w:val="center"/>
                    <w:rPr>
                      <w:b/>
                      <w:kern w:val="0"/>
                      <w:szCs w:val="21"/>
                    </w:rPr>
                  </w:pPr>
                  <w:r>
                    <w:rPr>
                      <w:rFonts w:hint="eastAsia"/>
                      <w:b/>
                      <w:kern w:val="0"/>
                      <w:szCs w:val="21"/>
                    </w:rPr>
                    <w:t>排放</w:t>
                  </w:r>
                </w:p>
                <w:p w14:paraId="520AC32C">
                  <w:pPr>
                    <w:jc w:val="center"/>
                    <w:rPr>
                      <w:b/>
                      <w:kern w:val="0"/>
                      <w:szCs w:val="21"/>
                    </w:rPr>
                  </w:pPr>
                  <w:r>
                    <w:rPr>
                      <w:b/>
                      <w:kern w:val="0"/>
                      <w:szCs w:val="21"/>
                    </w:rPr>
                    <w:t>增减量</w:t>
                  </w:r>
                </w:p>
              </w:tc>
            </w:tr>
            <w:tr w14:paraId="520AC33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1495" w:type="dxa"/>
                  <w:gridSpan w:val="2"/>
                  <w:vMerge w:val="continue"/>
                  <w:tcMar>
                    <w:left w:w="28" w:type="dxa"/>
                    <w:right w:w="28" w:type="dxa"/>
                  </w:tcMar>
                  <w:vAlign w:val="center"/>
                </w:tcPr>
                <w:p w14:paraId="520AC32E">
                  <w:pPr>
                    <w:widowControl/>
                    <w:jc w:val="center"/>
                    <w:rPr>
                      <w:b/>
                      <w:kern w:val="0"/>
                      <w:szCs w:val="21"/>
                    </w:rPr>
                  </w:pPr>
                </w:p>
              </w:tc>
              <w:tc>
                <w:tcPr>
                  <w:tcW w:w="851" w:type="dxa"/>
                  <w:tcMar>
                    <w:left w:w="28" w:type="dxa"/>
                    <w:right w:w="28" w:type="dxa"/>
                  </w:tcMar>
                  <w:vAlign w:val="center"/>
                </w:tcPr>
                <w:p w14:paraId="520AC32F">
                  <w:pPr>
                    <w:widowControl/>
                    <w:jc w:val="center"/>
                    <w:rPr>
                      <w:b/>
                      <w:kern w:val="0"/>
                      <w:szCs w:val="21"/>
                    </w:rPr>
                  </w:pPr>
                  <w:r>
                    <w:rPr>
                      <w:b/>
                      <w:kern w:val="0"/>
                      <w:szCs w:val="21"/>
                    </w:rPr>
                    <w:t>实际排放量</w:t>
                  </w:r>
                </w:p>
              </w:tc>
              <w:tc>
                <w:tcPr>
                  <w:tcW w:w="850" w:type="dxa"/>
                  <w:tcMar>
                    <w:left w:w="28" w:type="dxa"/>
                    <w:right w:w="28" w:type="dxa"/>
                  </w:tcMar>
                  <w:vAlign w:val="center"/>
                </w:tcPr>
                <w:p w14:paraId="520AC330">
                  <w:pPr>
                    <w:widowControl/>
                    <w:jc w:val="center"/>
                    <w:rPr>
                      <w:b/>
                      <w:kern w:val="0"/>
                      <w:szCs w:val="21"/>
                    </w:rPr>
                  </w:pPr>
                  <w:r>
                    <w:rPr>
                      <w:rFonts w:hint="eastAsia"/>
                      <w:b/>
                      <w:szCs w:val="21"/>
                    </w:rPr>
                    <w:t>许可</w:t>
                  </w:r>
                  <w:r>
                    <w:rPr>
                      <w:b/>
                      <w:szCs w:val="21"/>
                    </w:rPr>
                    <w:t>排放量</w:t>
                  </w:r>
                </w:p>
              </w:tc>
              <w:tc>
                <w:tcPr>
                  <w:tcW w:w="992" w:type="dxa"/>
                  <w:vMerge w:val="continue"/>
                  <w:vAlign w:val="center"/>
                </w:tcPr>
                <w:p w14:paraId="520AC331">
                  <w:pPr>
                    <w:widowControl/>
                    <w:jc w:val="center"/>
                    <w:rPr>
                      <w:b/>
                      <w:kern w:val="0"/>
                      <w:szCs w:val="21"/>
                    </w:rPr>
                  </w:pPr>
                </w:p>
              </w:tc>
              <w:tc>
                <w:tcPr>
                  <w:tcW w:w="851" w:type="dxa"/>
                  <w:vMerge w:val="continue"/>
                  <w:tcMar>
                    <w:left w:w="28" w:type="dxa"/>
                    <w:right w:w="28" w:type="dxa"/>
                  </w:tcMar>
                  <w:vAlign w:val="center"/>
                </w:tcPr>
                <w:p w14:paraId="520AC332">
                  <w:pPr>
                    <w:widowControl/>
                    <w:jc w:val="center"/>
                    <w:rPr>
                      <w:b/>
                      <w:kern w:val="0"/>
                      <w:szCs w:val="21"/>
                    </w:rPr>
                  </w:pPr>
                </w:p>
              </w:tc>
              <w:tc>
                <w:tcPr>
                  <w:tcW w:w="851" w:type="dxa"/>
                  <w:vMerge w:val="continue"/>
                  <w:tcMar>
                    <w:left w:w="28" w:type="dxa"/>
                    <w:right w:w="28" w:type="dxa"/>
                  </w:tcMar>
                  <w:vAlign w:val="center"/>
                </w:tcPr>
                <w:p w14:paraId="520AC333">
                  <w:pPr>
                    <w:widowControl/>
                    <w:jc w:val="center"/>
                    <w:rPr>
                      <w:b/>
                      <w:kern w:val="0"/>
                      <w:szCs w:val="21"/>
                    </w:rPr>
                  </w:pPr>
                </w:p>
              </w:tc>
              <w:tc>
                <w:tcPr>
                  <w:tcW w:w="1159" w:type="dxa"/>
                  <w:vMerge w:val="continue"/>
                  <w:tcMar>
                    <w:left w:w="28" w:type="dxa"/>
                    <w:right w:w="28" w:type="dxa"/>
                  </w:tcMar>
                  <w:vAlign w:val="center"/>
                </w:tcPr>
                <w:p w14:paraId="520AC334">
                  <w:pPr>
                    <w:widowControl/>
                    <w:jc w:val="center"/>
                    <w:rPr>
                      <w:b/>
                      <w:kern w:val="0"/>
                      <w:szCs w:val="21"/>
                    </w:rPr>
                  </w:pPr>
                </w:p>
              </w:tc>
              <w:tc>
                <w:tcPr>
                  <w:tcW w:w="925" w:type="dxa"/>
                  <w:vMerge w:val="continue"/>
                  <w:tcMar>
                    <w:left w:w="28" w:type="dxa"/>
                    <w:right w:w="28" w:type="dxa"/>
                  </w:tcMar>
                  <w:vAlign w:val="center"/>
                </w:tcPr>
                <w:p w14:paraId="520AC335">
                  <w:pPr>
                    <w:widowControl/>
                    <w:jc w:val="center"/>
                    <w:rPr>
                      <w:b/>
                      <w:kern w:val="0"/>
                      <w:szCs w:val="21"/>
                    </w:rPr>
                  </w:pPr>
                </w:p>
              </w:tc>
            </w:tr>
            <w:tr w14:paraId="520AC33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7974" w:type="dxa"/>
                  <w:gridSpan w:val="9"/>
                  <w:tcMar>
                    <w:left w:w="28" w:type="dxa"/>
                    <w:right w:w="28" w:type="dxa"/>
                  </w:tcMar>
                  <w:vAlign w:val="center"/>
                </w:tcPr>
                <w:p w14:paraId="520AC337">
                  <w:pPr>
                    <w:widowControl/>
                    <w:jc w:val="center"/>
                    <w:rPr>
                      <w:rFonts w:hint="eastAsia" w:ascii="宋体" w:hAnsi="宋体"/>
                      <w:b/>
                      <w:bCs/>
                      <w:szCs w:val="21"/>
                    </w:rPr>
                  </w:pPr>
                  <w:r>
                    <w:rPr>
                      <w:rFonts w:hint="eastAsia" w:ascii="宋体" w:hAnsi="宋体"/>
                      <w:b/>
                      <w:bCs/>
                      <w:szCs w:val="21"/>
                    </w:rPr>
                    <w:t>建设路厂区</w:t>
                  </w:r>
                </w:p>
              </w:tc>
            </w:tr>
            <w:tr w14:paraId="520AC34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restart"/>
                  <w:tcMar>
                    <w:left w:w="28" w:type="dxa"/>
                    <w:right w:w="28" w:type="dxa"/>
                  </w:tcMar>
                  <w:vAlign w:val="center"/>
                </w:tcPr>
                <w:p w14:paraId="520AC339">
                  <w:pPr>
                    <w:widowControl/>
                    <w:jc w:val="center"/>
                    <w:rPr>
                      <w:kern w:val="0"/>
                      <w:szCs w:val="21"/>
                    </w:rPr>
                  </w:pPr>
                  <w:r>
                    <w:rPr>
                      <w:kern w:val="0"/>
                      <w:szCs w:val="21"/>
                    </w:rPr>
                    <w:t>废水</w:t>
                  </w:r>
                  <w:r>
                    <w:rPr>
                      <w:rFonts w:hint="eastAsia"/>
                      <w:szCs w:val="21"/>
                    </w:rPr>
                    <w:t>（排环境）</w:t>
                  </w:r>
                </w:p>
              </w:tc>
              <w:tc>
                <w:tcPr>
                  <w:tcW w:w="975" w:type="dxa"/>
                  <w:tcMar>
                    <w:left w:w="28" w:type="dxa"/>
                    <w:right w:w="28" w:type="dxa"/>
                  </w:tcMar>
                  <w:vAlign w:val="center"/>
                </w:tcPr>
                <w:p w14:paraId="520AC33A">
                  <w:pPr>
                    <w:widowControl/>
                    <w:jc w:val="center"/>
                    <w:rPr>
                      <w:kern w:val="0"/>
                      <w:szCs w:val="21"/>
                    </w:rPr>
                  </w:pPr>
                  <w:r>
                    <w:rPr>
                      <w:rFonts w:hint="eastAsia"/>
                      <w:szCs w:val="21"/>
                    </w:rPr>
                    <w:t>废水量(m</w:t>
                  </w:r>
                  <w:r>
                    <w:rPr>
                      <w:rFonts w:hint="eastAsia"/>
                      <w:szCs w:val="21"/>
                      <w:vertAlign w:val="superscript"/>
                    </w:rPr>
                    <w:t>3</w:t>
                  </w:r>
                  <w:r>
                    <w:rPr>
                      <w:rFonts w:hint="eastAsia"/>
                      <w:szCs w:val="21"/>
                    </w:rPr>
                    <w:t>/a)</w:t>
                  </w:r>
                </w:p>
              </w:tc>
              <w:tc>
                <w:tcPr>
                  <w:tcW w:w="851" w:type="dxa"/>
                  <w:tcMar>
                    <w:left w:w="28" w:type="dxa"/>
                    <w:right w:w="28" w:type="dxa"/>
                  </w:tcMar>
                  <w:vAlign w:val="center"/>
                </w:tcPr>
                <w:p w14:paraId="520AC33B">
                  <w:pPr>
                    <w:widowControl/>
                    <w:jc w:val="center"/>
                    <w:rPr>
                      <w:bCs/>
                      <w:kern w:val="0"/>
                      <w:szCs w:val="21"/>
                    </w:rPr>
                  </w:pPr>
                  <w:r>
                    <w:rPr>
                      <w:rFonts w:hint="eastAsia"/>
                      <w:szCs w:val="21"/>
                    </w:rPr>
                    <w:t>231982.8</w:t>
                  </w:r>
                </w:p>
              </w:tc>
              <w:tc>
                <w:tcPr>
                  <w:tcW w:w="850" w:type="dxa"/>
                  <w:tcMar>
                    <w:left w:w="28" w:type="dxa"/>
                    <w:right w:w="28" w:type="dxa"/>
                  </w:tcMar>
                  <w:vAlign w:val="center"/>
                </w:tcPr>
                <w:p w14:paraId="520AC33C">
                  <w:pPr>
                    <w:widowControl/>
                    <w:jc w:val="center"/>
                    <w:rPr>
                      <w:bCs/>
                      <w:kern w:val="0"/>
                      <w:szCs w:val="21"/>
                    </w:rPr>
                  </w:pPr>
                  <w:r>
                    <w:rPr>
                      <w:rFonts w:hint="eastAsia"/>
                      <w:szCs w:val="21"/>
                    </w:rPr>
                    <w:t>28800</w:t>
                  </w:r>
                  <w:r>
                    <w:rPr>
                      <w:szCs w:val="21"/>
                    </w:rPr>
                    <w:t>2.5</w:t>
                  </w:r>
                </w:p>
              </w:tc>
              <w:tc>
                <w:tcPr>
                  <w:tcW w:w="992" w:type="dxa"/>
                  <w:vAlign w:val="center"/>
                </w:tcPr>
                <w:p w14:paraId="520AC33D">
                  <w:pPr>
                    <w:widowControl/>
                    <w:jc w:val="center"/>
                    <w:rPr>
                      <w:bCs/>
                      <w:kern w:val="0"/>
                      <w:szCs w:val="21"/>
                    </w:rPr>
                  </w:pPr>
                  <w:r>
                    <w:rPr>
                      <w:szCs w:val="21"/>
                    </w:rPr>
                    <w:t>1334</w:t>
                  </w:r>
                </w:p>
              </w:tc>
              <w:tc>
                <w:tcPr>
                  <w:tcW w:w="851" w:type="dxa"/>
                  <w:tcMar>
                    <w:left w:w="28" w:type="dxa"/>
                    <w:right w:w="28" w:type="dxa"/>
                  </w:tcMar>
                  <w:vAlign w:val="center"/>
                </w:tcPr>
                <w:p w14:paraId="520AC33E">
                  <w:pPr>
                    <w:widowControl/>
                    <w:jc w:val="center"/>
                    <w:rPr>
                      <w:bCs/>
                      <w:kern w:val="0"/>
                      <w:szCs w:val="21"/>
                      <w:highlight w:val="yellow"/>
                    </w:rPr>
                  </w:pPr>
                  <w:r>
                    <w:rPr>
                      <w:rFonts w:hint="eastAsia"/>
                      <w:szCs w:val="21"/>
                    </w:rPr>
                    <w:t>68.75</w:t>
                  </w:r>
                </w:p>
              </w:tc>
              <w:tc>
                <w:tcPr>
                  <w:tcW w:w="851" w:type="dxa"/>
                  <w:tcMar>
                    <w:left w:w="28" w:type="dxa"/>
                    <w:right w:w="28" w:type="dxa"/>
                  </w:tcMar>
                  <w:vAlign w:val="center"/>
                </w:tcPr>
                <w:p w14:paraId="520AC33F">
                  <w:pPr>
                    <w:widowControl/>
                    <w:jc w:val="center"/>
                    <w:rPr>
                      <w:bCs/>
                      <w:kern w:val="0"/>
                      <w:szCs w:val="21"/>
                      <w:highlight w:val="yellow"/>
                    </w:rPr>
                  </w:pPr>
                  <w:r>
                    <w:rPr>
                      <w:rFonts w:hint="eastAsia"/>
                      <w:szCs w:val="21"/>
                    </w:rPr>
                    <w:t>100</w:t>
                  </w:r>
                </w:p>
              </w:tc>
              <w:tc>
                <w:tcPr>
                  <w:tcW w:w="1159" w:type="dxa"/>
                  <w:tcMar>
                    <w:left w:w="28" w:type="dxa"/>
                    <w:right w:w="28" w:type="dxa"/>
                  </w:tcMar>
                  <w:vAlign w:val="center"/>
                </w:tcPr>
                <w:p w14:paraId="520AC340">
                  <w:pPr>
                    <w:widowControl/>
                    <w:jc w:val="center"/>
                    <w:rPr>
                      <w:bCs/>
                      <w:kern w:val="0"/>
                      <w:szCs w:val="21"/>
                      <w:highlight w:val="yellow"/>
                    </w:rPr>
                  </w:pPr>
                  <w:r>
                    <w:rPr>
                      <w:szCs w:val="21"/>
                    </w:rPr>
                    <w:t>233</w:t>
                  </w:r>
                  <w:r>
                    <w:rPr>
                      <w:rFonts w:hint="eastAsia"/>
                      <w:szCs w:val="21"/>
                    </w:rPr>
                    <w:t>285.55</w:t>
                  </w:r>
                </w:p>
              </w:tc>
              <w:tc>
                <w:tcPr>
                  <w:tcW w:w="925" w:type="dxa"/>
                  <w:tcMar>
                    <w:left w:w="28" w:type="dxa"/>
                    <w:right w:w="28" w:type="dxa"/>
                  </w:tcMar>
                  <w:vAlign w:val="center"/>
                </w:tcPr>
                <w:p w14:paraId="520AC341">
                  <w:pPr>
                    <w:widowControl/>
                    <w:jc w:val="center"/>
                    <w:rPr>
                      <w:bCs/>
                      <w:kern w:val="0"/>
                      <w:szCs w:val="21"/>
                      <w:highlight w:val="yellow"/>
                    </w:rPr>
                  </w:pPr>
                  <w:r>
                    <w:rPr>
                      <w:rFonts w:hint="eastAsia"/>
                      <w:szCs w:val="21"/>
                    </w:rPr>
                    <w:t>-31.25</w:t>
                  </w:r>
                </w:p>
              </w:tc>
            </w:tr>
            <w:tr w14:paraId="520AC34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43">
                  <w:pPr>
                    <w:widowControl/>
                    <w:jc w:val="center"/>
                    <w:rPr>
                      <w:kern w:val="0"/>
                      <w:szCs w:val="21"/>
                    </w:rPr>
                  </w:pPr>
                </w:p>
              </w:tc>
              <w:tc>
                <w:tcPr>
                  <w:tcW w:w="975" w:type="dxa"/>
                  <w:tcMar>
                    <w:left w:w="28" w:type="dxa"/>
                    <w:right w:w="28" w:type="dxa"/>
                  </w:tcMar>
                  <w:vAlign w:val="center"/>
                </w:tcPr>
                <w:p w14:paraId="520AC344">
                  <w:pPr>
                    <w:widowControl/>
                    <w:jc w:val="center"/>
                    <w:rPr>
                      <w:kern w:val="0"/>
                      <w:szCs w:val="21"/>
                    </w:rPr>
                  </w:pPr>
                  <w:r>
                    <w:rPr>
                      <w:kern w:val="0"/>
                      <w:szCs w:val="21"/>
                    </w:rPr>
                    <w:t>COD</w:t>
                  </w:r>
                </w:p>
              </w:tc>
              <w:tc>
                <w:tcPr>
                  <w:tcW w:w="851" w:type="dxa"/>
                  <w:tcMar>
                    <w:left w:w="28" w:type="dxa"/>
                    <w:right w:w="28" w:type="dxa"/>
                  </w:tcMar>
                  <w:vAlign w:val="center"/>
                </w:tcPr>
                <w:p w14:paraId="520AC345">
                  <w:pPr>
                    <w:widowControl/>
                    <w:jc w:val="center"/>
                    <w:rPr>
                      <w:szCs w:val="21"/>
                    </w:rPr>
                  </w:pPr>
                  <w:r>
                    <w:rPr>
                      <w:rFonts w:hint="eastAsia"/>
                      <w:szCs w:val="21"/>
                    </w:rPr>
                    <w:t>11.5991</w:t>
                  </w:r>
                </w:p>
              </w:tc>
              <w:tc>
                <w:tcPr>
                  <w:tcW w:w="850" w:type="dxa"/>
                  <w:tcMar>
                    <w:left w:w="28" w:type="dxa"/>
                    <w:right w:w="28" w:type="dxa"/>
                  </w:tcMar>
                  <w:vAlign w:val="center"/>
                </w:tcPr>
                <w:p w14:paraId="520AC346">
                  <w:pPr>
                    <w:widowControl/>
                    <w:jc w:val="center"/>
                    <w:rPr>
                      <w:szCs w:val="21"/>
                    </w:rPr>
                  </w:pPr>
                  <w:r>
                    <w:rPr>
                      <w:rFonts w:hint="eastAsia"/>
                    </w:rPr>
                    <w:t>14.4</w:t>
                  </w:r>
                  <w:r>
                    <w:t>0012</w:t>
                  </w:r>
                </w:p>
              </w:tc>
              <w:tc>
                <w:tcPr>
                  <w:tcW w:w="992" w:type="dxa"/>
                  <w:vAlign w:val="center"/>
                </w:tcPr>
                <w:p w14:paraId="520AC347">
                  <w:pPr>
                    <w:widowControl/>
                    <w:jc w:val="center"/>
                    <w:rPr>
                      <w:szCs w:val="21"/>
                    </w:rPr>
                  </w:pPr>
                  <w:r>
                    <w:rPr>
                      <w:szCs w:val="21"/>
                    </w:rPr>
                    <w:t>0.0</w:t>
                  </w:r>
                  <w:r>
                    <w:rPr>
                      <w:rFonts w:hint="eastAsia"/>
                      <w:szCs w:val="21"/>
                    </w:rPr>
                    <w:t>56</w:t>
                  </w:r>
                  <w:r>
                    <w:rPr>
                      <w:szCs w:val="21"/>
                    </w:rPr>
                    <w:t>4</w:t>
                  </w:r>
                </w:p>
              </w:tc>
              <w:tc>
                <w:tcPr>
                  <w:tcW w:w="851" w:type="dxa"/>
                  <w:tcMar>
                    <w:left w:w="28" w:type="dxa"/>
                    <w:right w:w="28" w:type="dxa"/>
                  </w:tcMar>
                  <w:vAlign w:val="center"/>
                </w:tcPr>
                <w:p w14:paraId="520AC348">
                  <w:pPr>
                    <w:widowControl/>
                    <w:jc w:val="center"/>
                    <w:rPr>
                      <w:bCs/>
                      <w:highlight w:val="yellow"/>
                    </w:rPr>
                  </w:pPr>
                  <w:r>
                    <w:rPr>
                      <w:szCs w:val="21"/>
                    </w:rPr>
                    <w:t>0.00</w:t>
                  </w:r>
                  <w:r>
                    <w:rPr>
                      <w:rFonts w:hint="eastAsia"/>
                      <w:szCs w:val="21"/>
                    </w:rPr>
                    <w:t>34</w:t>
                  </w:r>
                </w:p>
              </w:tc>
              <w:tc>
                <w:tcPr>
                  <w:tcW w:w="851" w:type="dxa"/>
                  <w:tcMar>
                    <w:left w:w="28" w:type="dxa"/>
                    <w:right w:w="28" w:type="dxa"/>
                  </w:tcMar>
                  <w:vAlign w:val="center"/>
                </w:tcPr>
                <w:p w14:paraId="520AC349">
                  <w:pPr>
                    <w:widowControl/>
                    <w:jc w:val="center"/>
                    <w:rPr>
                      <w:bCs/>
                      <w:highlight w:val="yellow"/>
                    </w:rPr>
                  </w:pPr>
                  <w:r>
                    <w:rPr>
                      <w:szCs w:val="21"/>
                    </w:rPr>
                    <w:t>0</w:t>
                  </w:r>
                  <w:r>
                    <w:rPr>
                      <w:rFonts w:hint="eastAsia"/>
                      <w:szCs w:val="21"/>
                    </w:rPr>
                    <w:t>.005</w:t>
                  </w:r>
                </w:p>
              </w:tc>
              <w:tc>
                <w:tcPr>
                  <w:tcW w:w="1159" w:type="dxa"/>
                  <w:tcMar>
                    <w:left w:w="28" w:type="dxa"/>
                    <w:right w:w="28" w:type="dxa"/>
                  </w:tcMar>
                  <w:vAlign w:val="center"/>
                </w:tcPr>
                <w:p w14:paraId="520AC34A">
                  <w:pPr>
                    <w:widowControl/>
                    <w:jc w:val="center"/>
                    <w:rPr>
                      <w:szCs w:val="21"/>
                      <w:highlight w:val="yellow"/>
                    </w:rPr>
                  </w:pPr>
                  <w:r>
                    <w:rPr>
                      <w:szCs w:val="21"/>
                    </w:rPr>
                    <w:t>11.65</w:t>
                  </w:r>
                  <w:r>
                    <w:rPr>
                      <w:rFonts w:hint="eastAsia"/>
                      <w:szCs w:val="21"/>
                    </w:rPr>
                    <w:t>3</w:t>
                  </w:r>
                  <w:r>
                    <w:rPr>
                      <w:szCs w:val="21"/>
                    </w:rPr>
                    <w:t>9</w:t>
                  </w:r>
                </w:p>
              </w:tc>
              <w:tc>
                <w:tcPr>
                  <w:tcW w:w="925" w:type="dxa"/>
                  <w:tcMar>
                    <w:left w:w="28" w:type="dxa"/>
                    <w:right w:w="28" w:type="dxa"/>
                  </w:tcMar>
                  <w:vAlign w:val="center"/>
                </w:tcPr>
                <w:p w14:paraId="520AC34B">
                  <w:pPr>
                    <w:widowControl/>
                    <w:jc w:val="center"/>
                    <w:rPr>
                      <w:bCs/>
                      <w:highlight w:val="yellow"/>
                    </w:rPr>
                  </w:pPr>
                  <w:r>
                    <w:rPr>
                      <w:rFonts w:hint="eastAsia"/>
                      <w:szCs w:val="21"/>
                    </w:rPr>
                    <w:t>-0.0016</w:t>
                  </w:r>
                </w:p>
              </w:tc>
            </w:tr>
            <w:tr w14:paraId="520AC35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4D">
                  <w:pPr>
                    <w:widowControl/>
                    <w:jc w:val="center"/>
                    <w:rPr>
                      <w:kern w:val="0"/>
                      <w:szCs w:val="21"/>
                    </w:rPr>
                  </w:pPr>
                </w:p>
              </w:tc>
              <w:tc>
                <w:tcPr>
                  <w:tcW w:w="975" w:type="dxa"/>
                  <w:tcMar>
                    <w:left w:w="28" w:type="dxa"/>
                    <w:right w:w="28" w:type="dxa"/>
                  </w:tcMar>
                  <w:vAlign w:val="center"/>
                </w:tcPr>
                <w:p w14:paraId="520AC34E">
                  <w:pPr>
                    <w:widowControl/>
                    <w:jc w:val="center"/>
                    <w:rPr>
                      <w:kern w:val="0"/>
                      <w:szCs w:val="21"/>
                    </w:rPr>
                  </w:pPr>
                  <w:r>
                    <w:rPr>
                      <w:kern w:val="0"/>
                      <w:szCs w:val="21"/>
                    </w:rPr>
                    <w:t>NH</w:t>
                  </w:r>
                  <w:r>
                    <w:rPr>
                      <w:kern w:val="0"/>
                      <w:szCs w:val="21"/>
                      <w:vertAlign w:val="subscript"/>
                    </w:rPr>
                    <w:t>3</w:t>
                  </w:r>
                  <w:r>
                    <w:rPr>
                      <w:kern w:val="0"/>
                      <w:szCs w:val="21"/>
                    </w:rPr>
                    <w:t>-N</w:t>
                  </w:r>
                </w:p>
              </w:tc>
              <w:tc>
                <w:tcPr>
                  <w:tcW w:w="851" w:type="dxa"/>
                  <w:tcMar>
                    <w:left w:w="28" w:type="dxa"/>
                    <w:right w:w="28" w:type="dxa"/>
                  </w:tcMar>
                  <w:vAlign w:val="center"/>
                </w:tcPr>
                <w:p w14:paraId="520AC34F">
                  <w:pPr>
                    <w:widowControl/>
                    <w:jc w:val="center"/>
                    <w:rPr>
                      <w:bCs/>
                      <w:kern w:val="0"/>
                      <w:szCs w:val="21"/>
                    </w:rPr>
                  </w:pPr>
                  <w:r>
                    <w:rPr>
                      <w:rFonts w:hint="eastAsia"/>
                      <w:szCs w:val="21"/>
                    </w:rPr>
                    <w:t>1.1599</w:t>
                  </w:r>
                </w:p>
              </w:tc>
              <w:tc>
                <w:tcPr>
                  <w:tcW w:w="850" w:type="dxa"/>
                  <w:tcMar>
                    <w:left w:w="28" w:type="dxa"/>
                    <w:right w:w="28" w:type="dxa"/>
                  </w:tcMar>
                  <w:vAlign w:val="center"/>
                </w:tcPr>
                <w:p w14:paraId="520AC350">
                  <w:pPr>
                    <w:widowControl/>
                    <w:jc w:val="center"/>
                    <w:rPr>
                      <w:bCs/>
                      <w:kern w:val="0"/>
                      <w:szCs w:val="21"/>
                    </w:rPr>
                  </w:pPr>
                  <w:r>
                    <w:rPr>
                      <w:rFonts w:hint="eastAsia"/>
                    </w:rPr>
                    <w:t>1.44</w:t>
                  </w:r>
                  <w:r>
                    <w:t>001</w:t>
                  </w:r>
                </w:p>
              </w:tc>
              <w:tc>
                <w:tcPr>
                  <w:tcW w:w="992" w:type="dxa"/>
                  <w:vAlign w:val="center"/>
                </w:tcPr>
                <w:p w14:paraId="520AC351">
                  <w:pPr>
                    <w:widowControl/>
                    <w:jc w:val="center"/>
                    <w:rPr>
                      <w:bCs/>
                      <w:kern w:val="0"/>
                      <w:szCs w:val="21"/>
                    </w:rPr>
                  </w:pPr>
                  <w:r>
                    <w:rPr>
                      <w:szCs w:val="21"/>
                    </w:rPr>
                    <w:t>0.00</w:t>
                  </w:r>
                  <w:r>
                    <w:rPr>
                      <w:rFonts w:hint="eastAsia"/>
                      <w:szCs w:val="21"/>
                    </w:rPr>
                    <w:t>10</w:t>
                  </w:r>
                </w:p>
              </w:tc>
              <w:tc>
                <w:tcPr>
                  <w:tcW w:w="851" w:type="dxa"/>
                  <w:tcMar>
                    <w:left w:w="28" w:type="dxa"/>
                    <w:right w:w="28" w:type="dxa"/>
                  </w:tcMar>
                  <w:vAlign w:val="center"/>
                </w:tcPr>
                <w:p w14:paraId="520AC352">
                  <w:pPr>
                    <w:widowControl/>
                    <w:jc w:val="center"/>
                    <w:rPr>
                      <w:bCs/>
                      <w:kern w:val="0"/>
                      <w:szCs w:val="21"/>
                      <w:highlight w:val="yellow"/>
                    </w:rPr>
                  </w:pPr>
                  <w:r>
                    <w:rPr>
                      <w:rFonts w:hint="eastAsia"/>
                      <w:szCs w:val="21"/>
                    </w:rPr>
                    <w:t>0</w:t>
                  </w:r>
                </w:p>
              </w:tc>
              <w:tc>
                <w:tcPr>
                  <w:tcW w:w="851" w:type="dxa"/>
                  <w:tcMar>
                    <w:left w:w="28" w:type="dxa"/>
                    <w:right w:w="28" w:type="dxa"/>
                  </w:tcMar>
                  <w:vAlign w:val="center"/>
                </w:tcPr>
                <w:p w14:paraId="520AC353">
                  <w:pPr>
                    <w:widowControl/>
                    <w:jc w:val="center"/>
                    <w:rPr>
                      <w:bCs/>
                      <w:kern w:val="0"/>
                      <w:szCs w:val="21"/>
                      <w:highlight w:val="yellow"/>
                    </w:rPr>
                  </w:pPr>
                  <w:r>
                    <w:rPr>
                      <w:szCs w:val="21"/>
                    </w:rPr>
                    <w:t>0</w:t>
                  </w:r>
                  <w:r>
                    <w:rPr>
                      <w:rFonts w:hint="eastAsia"/>
                      <w:szCs w:val="21"/>
                    </w:rPr>
                    <w:t>.0005</w:t>
                  </w:r>
                </w:p>
              </w:tc>
              <w:tc>
                <w:tcPr>
                  <w:tcW w:w="1159" w:type="dxa"/>
                  <w:tcMar>
                    <w:left w:w="28" w:type="dxa"/>
                    <w:right w:w="28" w:type="dxa"/>
                  </w:tcMar>
                  <w:vAlign w:val="center"/>
                </w:tcPr>
                <w:p w14:paraId="520AC354">
                  <w:pPr>
                    <w:widowControl/>
                    <w:jc w:val="center"/>
                    <w:rPr>
                      <w:bCs/>
                      <w:kern w:val="0"/>
                      <w:szCs w:val="21"/>
                      <w:highlight w:val="yellow"/>
                    </w:rPr>
                  </w:pPr>
                  <w:r>
                    <w:rPr>
                      <w:szCs w:val="21"/>
                    </w:rPr>
                    <w:t>1.160</w:t>
                  </w:r>
                  <w:r>
                    <w:rPr>
                      <w:rFonts w:hint="eastAsia"/>
                      <w:szCs w:val="21"/>
                    </w:rPr>
                    <w:t>4</w:t>
                  </w:r>
                </w:p>
              </w:tc>
              <w:tc>
                <w:tcPr>
                  <w:tcW w:w="925" w:type="dxa"/>
                  <w:tcMar>
                    <w:left w:w="28" w:type="dxa"/>
                    <w:right w:w="28" w:type="dxa"/>
                  </w:tcMar>
                  <w:vAlign w:val="center"/>
                </w:tcPr>
                <w:p w14:paraId="520AC355">
                  <w:pPr>
                    <w:widowControl/>
                    <w:jc w:val="center"/>
                    <w:rPr>
                      <w:bCs/>
                      <w:kern w:val="0"/>
                      <w:szCs w:val="21"/>
                      <w:highlight w:val="yellow"/>
                    </w:rPr>
                  </w:pPr>
                  <w:r>
                    <w:rPr>
                      <w:rFonts w:hint="eastAsia"/>
                      <w:szCs w:val="21"/>
                    </w:rPr>
                    <w:t>-</w:t>
                  </w:r>
                  <w:r>
                    <w:rPr>
                      <w:szCs w:val="21"/>
                    </w:rPr>
                    <w:t>0</w:t>
                  </w:r>
                  <w:r>
                    <w:rPr>
                      <w:rFonts w:hint="eastAsia"/>
                      <w:szCs w:val="21"/>
                    </w:rPr>
                    <w:t>.0005</w:t>
                  </w:r>
                </w:p>
              </w:tc>
            </w:tr>
            <w:tr w14:paraId="520AC36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57">
                  <w:pPr>
                    <w:widowControl/>
                    <w:jc w:val="center"/>
                    <w:rPr>
                      <w:kern w:val="0"/>
                      <w:szCs w:val="21"/>
                    </w:rPr>
                  </w:pPr>
                </w:p>
              </w:tc>
              <w:tc>
                <w:tcPr>
                  <w:tcW w:w="975" w:type="dxa"/>
                  <w:tcMar>
                    <w:left w:w="28" w:type="dxa"/>
                    <w:right w:w="28" w:type="dxa"/>
                  </w:tcMar>
                  <w:vAlign w:val="center"/>
                </w:tcPr>
                <w:p w14:paraId="520AC358">
                  <w:pPr>
                    <w:widowControl/>
                    <w:jc w:val="center"/>
                    <w:rPr>
                      <w:kern w:val="0"/>
                      <w:szCs w:val="21"/>
                    </w:rPr>
                  </w:pPr>
                  <w:r>
                    <w:rPr>
                      <w:kern w:val="0"/>
                      <w:szCs w:val="21"/>
                    </w:rPr>
                    <w:t>TP</w:t>
                  </w:r>
                </w:p>
              </w:tc>
              <w:tc>
                <w:tcPr>
                  <w:tcW w:w="851" w:type="dxa"/>
                  <w:tcMar>
                    <w:left w:w="28" w:type="dxa"/>
                    <w:right w:w="28" w:type="dxa"/>
                  </w:tcMar>
                  <w:vAlign w:val="center"/>
                </w:tcPr>
                <w:p w14:paraId="520AC359">
                  <w:pPr>
                    <w:widowControl/>
                    <w:jc w:val="center"/>
                    <w:rPr>
                      <w:bCs/>
                      <w:kern w:val="0"/>
                      <w:szCs w:val="21"/>
                    </w:rPr>
                  </w:pPr>
                  <w:r>
                    <w:rPr>
                      <w:rFonts w:hint="eastAsia"/>
                      <w:szCs w:val="21"/>
                    </w:rPr>
                    <w:t>0.1160</w:t>
                  </w:r>
                </w:p>
              </w:tc>
              <w:tc>
                <w:tcPr>
                  <w:tcW w:w="850" w:type="dxa"/>
                  <w:tcMar>
                    <w:left w:w="28" w:type="dxa"/>
                    <w:right w:w="28" w:type="dxa"/>
                  </w:tcMar>
                  <w:vAlign w:val="center"/>
                </w:tcPr>
                <w:p w14:paraId="520AC35A">
                  <w:pPr>
                    <w:widowControl/>
                    <w:jc w:val="center"/>
                    <w:rPr>
                      <w:bCs/>
                      <w:kern w:val="0"/>
                      <w:szCs w:val="21"/>
                    </w:rPr>
                  </w:pPr>
                  <w:r>
                    <w:rPr>
                      <w:rFonts w:hint="eastAsia"/>
                    </w:rPr>
                    <w:t>0.144</w:t>
                  </w:r>
                  <w:r>
                    <w:t>001</w:t>
                  </w:r>
                </w:p>
              </w:tc>
              <w:tc>
                <w:tcPr>
                  <w:tcW w:w="992" w:type="dxa"/>
                  <w:vAlign w:val="center"/>
                </w:tcPr>
                <w:p w14:paraId="520AC35B">
                  <w:pPr>
                    <w:widowControl/>
                    <w:jc w:val="center"/>
                    <w:rPr>
                      <w:bCs/>
                      <w:kern w:val="0"/>
                      <w:szCs w:val="21"/>
                    </w:rPr>
                  </w:pPr>
                  <w:r>
                    <w:rPr>
                      <w:szCs w:val="21"/>
                    </w:rPr>
                    <w:t>0.000</w:t>
                  </w:r>
                  <w:r>
                    <w:rPr>
                      <w:rFonts w:hint="eastAsia"/>
                      <w:szCs w:val="21"/>
                    </w:rPr>
                    <w:t>5</w:t>
                  </w:r>
                </w:p>
              </w:tc>
              <w:tc>
                <w:tcPr>
                  <w:tcW w:w="851" w:type="dxa"/>
                  <w:tcMar>
                    <w:left w:w="28" w:type="dxa"/>
                    <w:right w:w="28" w:type="dxa"/>
                  </w:tcMar>
                  <w:vAlign w:val="center"/>
                </w:tcPr>
                <w:p w14:paraId="520AC35C">
                  <w:pPr>
                    <w:widowControl/>
                    <w:jc w:val="center"/>
                    <w:rPr>
                      <w:bCs/>
                      <w:kern w:val="0"/>
                      <w:szCs w:val="21"/>
                      <w:highlight w:val="yellow"/>
                    </w:rPr>
                  </w:pPr>
                  <w:r>
                    <w:rPr>
                      <w:rFonts w:hint="eastAsia"/>
                      <w:szCs w:val="21"/>
                    </w:rPr>
                    <w:t>0</w:t>
                  </w:r>
                </w:p>
              </w:tc>
              <w:tc>
                <w:tcPr>
                  <w:tcW w:w="851" w:type="dxa"/>
                  <w:tcMar>
                    <w:left w:w="28" w:type="dxa"/>
                    <w:right w:w="28" w:type="dxa"/>
                  </w:tcMar>
                  <w:vAlign w:val="center"/>
                </w:tcPr>
                <w:p w14:paraId="520AC35D">
                  <w:pPr>
                    <w:widowControl/>
                    <w:jc w:val="center"/>
                    <w:rPr>
                      <w:bCs/>
                      <w:kern w:val="0"/>
                      <w:szCs w:val="21"/>
                      <w:highlight w:val="yellow"/>
                    </w:rPr>
                  </w:pPr>
                  <w:r>
                    <w:rPr>
                      <w:szCs w:val="21"/>
                    </w:rPr>
                    <w:t>0</w:t>
                  </w:r>
                  <w:r>
                    <w:rPr>
                      <w:rFonts w:hint="eastAsia"/>
                      <w:szCs w:val="21"/>
                    </w:rPr>
                    <w:t>.00005</w:t>
                  </w:r>
                </w:p>
              </w:tc>
              <w:tc>
                <w:tcPr>
                  <w:tcW w:w="1159" w:type="dxa"/>
                  <w:tcMar>
                    <w:left w:w="28" w:type="dxa"/>
                    <w:right w:w="28" w:type="dxa"/>
                  </w:tcMar>
                  <w:vAlign w:val="center"/>
                </w:tcPr>
                <w:p w14:paraId="520AC35E">
                  <w:pPr>
                    <w:widowControl/>
                    <w:jc w:val="center"/>
                    <w:rPr>
                      <w:bCs/>
                      <w:kern w:val="0"/>
                      <w:szCs w:val="21"/>
                      <w:highlight w:val="yellow"/>
                    </w:rPr>
                  </w:pPr>
                  <w:r>
                    <w:rPr>
                      <w:szCs w:val="21"/>
                    </w:rPr>
                    <w:t>0.116</w:t>
                  </w:r>
                  <w:r>
                    <w:rPr>
                      <w:rFonts w:hint="eastAsia"/>
                      <w:szCs w:val="21"/>
                    </w:rPr>
                    <w:t>45</w:t>
                  </w:r>
                </w:p>
              </w:tc>
              <w:tc>
                <w:tcPr>
                  <w:tcW w:w="925" w:type="dxa"/>
                  <w:tcMar>
                    <w:left w:w="28" w:type="dxa"/>
                    <w:right w:w="28" w:type="dxa"/>
                  </w:tcMar>
                  <w:vAlign w:val="center"/>
                </w:tcPr>
                <w:p w14:paraId="520AC35F">
                  <w:pPr>
                    <w:widowControl/>
                    <w:jc w:val="center"/>
                    <w:rPr>
                      <w:bCs/>
                      <w:kern w:val="0"/>
                      <w:szCs w:val="21"/>
                      <w:highlight w:val="yellow"/>
                    </w:rPr>
                  </w:pPr>
                  <w:r>
                    <w:rPr>
                      <w:rFonts w:hint="eastAsia"/>
                      <w:szCs w:val="21"/>
                    </w:rPr>
                    <w:t>-</w:t>
                  </w:r>
                  <w:r>
                    <w:rPr>
                      <w:szCs w:val="21"/>
                    </w:rPr>
                    <w:t>0</w:t>
                  </w:r>
                  <w:r>
                    <w:rPr>
                      <w:rFonts w:hint="eastAsia"/>
                      <w:szCs w:val="21"/>
                    </w:rPr>
                    <w:t>.00005</w:t>
                  </w:r>
                </w:p>
              </w:tc>
            </w:tr>
            <w:tr w14:paraId="520AC36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61">
                  <w:pPr>
                    <w:widowControl/>
                    <w:jc w:val="center"/>
                    <w:rPr>
                      <w:kern w:val="0"/>
                      <w:szCs w:val="21"/>
                    </w:rPr>
                  </w:pPr>
                </w:p>
              </w:tc>
              <w:tc>
                <w:tcPr>
                  <w:tcW w:w="975" w:type="dxa"/>
                  <w:tcMar>
                    <w:left w:w="28" w:type="dxa"/>
                    <w:right w:w="28" w:type="dxa"/>
                  </w:tcMar>
                  <w:vAlign w:val="center"/>
                </w:tcPr>
                <w:p w14:paraId="520AC362">
                  <w:pPr>
                    <w:widowControl/>
                    <w:jc w:val="center"/>
                    <w:rPr>
                      <w:kern w:val="0"/>
                      <w:szCs w:val="21"/>
                    </w:rPr>
                  </w:pPr>
                  <w:r>
                    <w:rPr>
                      <w:kern w:val="0"/>
                      <w:szCs w:val="21"/>
                    </w:rPr>
                    <w:t>TN</w:t>
                  </w:r>
                </w:p>
              </w:tc>
              <w:tc>
                <w:tcPr>
                  <w:tcW w:w="851" w:type="dxa"/>
                  <w:tcMar>
                    <w:left w:w="28" w:type="dxa"/>
                    <w:right w:w="28" w:type="dxa"/>
                  </w:tcMar>
                  <w:vAlign w:val="center"/>
                </w:tcPr>
                <w:p w14:paraId="520AC363">
                  <w:pPr>
                    <w:widowControl/>
                    <w:jc w:val="center"/>
                    <w:rPr>
                      <w:bCs/>
                      <w:kern w:val="0"/>
                      <w:szCs w:val="21"/>
                    </w:rPr>
                  </w:pPr>
                  <w:r>
                    <w:rPr>
                      <w:rFonts w:hint="eastAsia"/>
                      <w:szCs w:val="21"/>
                    </w:rPr>
                    <w:t>3.4797</w:t>
                  </w:r>
                </w:p>
              </w:tc>
              <w:tc>
                <w:tcPr>
                  <w:tcW w:w="850" w:type="dxa"/>
                  <w:tcMar>
                    <w:left w:w="28" w:type="dxa"/>
                    <w:right w:w="28" w:type="dxa"/>
                  </w:tcMar>
                  <w:vAlign w:val="center"/>
                </w:tcPr>
                <w:p w14:paraId="520AC364">
                  <w:pPr>
                    <w:widowControl/>
                    <w:jc w:val="center"/>
                    <w:rPr>
                      <w:bCs/>
                      <w:kern w:val="0"/>
                      <w:szCs w:val="21"/>
                    </w:rPr>
                  </w:pPr>
                  <w:r>
                    <w:rPr>
                      <w:rFonts w:hint="eastAsia"/>
                    </w:rPr>
                    <w:t>4.32</w:t>
                  </w:r>
                  <w:r>
                    <w:t>004</w:t>
                  </w:r>
                </w:p>
              </w:tc>
              <w:tc>
                <w:tcPr>
                  <w:tcW w:w="992" w:type="dxa"/>
                  <w:vAlign w:val="center"/>
                </w:tcPr>
                <w:p w14:paraId="520AC365">
                  <w:pPr>
                    <w:widowControl/>
                    <w:jc w:val="center"/>
                    <w:rPr>
                      <w:bCs/>
                      <w:kern w:val="0"/>
                      <w:szCs w:val="21"/>
                    </w:rPr>
                  </w:pPr>
                  <w:r>
                    <w:rPr>
                      <w:szCs w:val="21"/>
                    </w:rPr>
                    <w:t>0.00</w:t>
                  </w:r>
                  <w:r>
                    <w:rPr>
                      <w:rFonts w:hint="eastAsia"/>
                      <w:szCs w:val="21"/>
                    </w:rPr>
                    <w:t>69</w:t>
                  </w:r>
                </w:p>
              </w:tc>
              <w:tc>
                <w:tcPr>
                  <w:tcW w:w="851" w:type="dxa"/>
                  <w:tcMar>
                    <w:left w:w="28" w:type="dxa"/>
                    <w:right w:w="28" w:type="dxa"/>
                  </w:tcMar>
                  <w:vAlign w:val="center"/>
                </w:tcPr>
                <w:p w14:paraId="520AC366">
                  <w:pPr>
                    <w:widowControl/>
                    <w:jc w:val="center"/>
                    <w:rPr>
                      <w:bCs/>
                      <w:kern w:val="0"/>
                      <w:szCs w:val="21"/>
                      <w:highlight w:val="yellow"/>
                    </w:rPr>
                  </w:pPr>
                  <w:r>
                    <w:rPr>
                      <w:rFonts w:hint="eastAsia"/>
                      <w:szCs w:val="21"/>
                    </w:rPr>
                    <w:t>0</w:t>
                  </w:r>
                </w:p>
              </w:tc>
              <w:tc>
                <w:tcPr>
                  <w:tcW w:w="851" w:type="dxa"/>
                  <w:tcMar>
                    <w:left w:w="28" w:type="dxa"/>
                    <w:right w:w="28" w:type="dxa"/>
                  </w:tcMar>
                  <w:vAlign w:val="center"/>
                </w:tcPr>
                <w:p w14:paraId="520AC367">
                  <w:pPr>
                    <w:widowControl/>
                    <w:jc w:val="center"/>
                    <w:rPr>
                      <w:bCs/>
                      <w:kern w:val="0"/>
                      <w:szCs w:val="21"/>
                      <w:highlight w:val="yellow"/>
                    </w:rPr>
                  </w:pPr>
                  <w:r>
                    <w:rPr>
                      <w:szCs w:val="21"/>
                    </w:rPr>
                    <w:t>0</w:t>
                  </w:r>
                  <w:r>
                    <w:rPr>
                      <w:rFonts w:hint="eastAsia"/>
                      <w:szCs w:val="21"/>
                    </w:rPr>
                    <w:t>.0015</w:t>
                  </w:r>
                </w:p>
              </w:tc>
              <w:tc>
                <w:tcPr>
                  <w:tcW w:w="1159" w:type="dxa"/>
                  <w:tcMar>
                    <w:left w:w="28" w:type="dxa"/>
                    <w:right w:w="28" w:type="dxa"/>
                  </w:tcMar>
                  <w:vAlign w:val="center"/>
                </w:tcPr>
                <w:p w14:paraId="520AC368">
                  <w:pPr>
                    <w:widowControl/>
                    <w:jc w:val="center"/>
                    <w:rPr>
                      <w:bCs/>
                      <w:kern w:val="0"/>
                      <w:szCs w:val="21"/>
                      <w:highlight w:val="yellow"/>
                    </w:rPr>
                  </w:pPr>
                  <w:r>
                    <w:rPr>
                      <w:szCs w:val="21"/>
                    </w:rPr>
                    <w:t>3.48</w:t>
                  </w:r>
                  <w:r>
                    <w:rPr>
                      <w:rFonts w:hint="eastAsia"/>
                      <w:szCs w:val="21"/>
                    </w:rPr>
                    <w:t>51</w:t>
                  </w:r>
                </w:p>
              </w:tc>
              <w:tc>
                <w:tcPr>
                  <w:tcW w:w="925" w:type="dxa"/>
                  <w:tcMar>
                    <w:left w:w="28" w:type="dxa"/>
                    <w:right w:w="28" w:type="dxa"/>
                  </w:tcMar>
                  <w:vAlign w:val="center"/>
                </w:tcPr>
                <w:p w14:paraId="520AC369">
                  <w:pPr>
                    <w:widowControl/>
                    <w:jc w:val="center"/>
                    <w:rPr>
                      <w:bCs/>
                      <w:kern w:val="0"/>
                      <w:szCs w:val="21"/>
                      <w:highlight w:val="yellow"/>
                    </w:rPr>
                  </w:pPr>
                  <w:r>
                    <w:rPr>
                      <w:rFonts w:hint="eastAsia"/>
                      <w:szCs w:val="21"/>
                    </w:rPr>
                    <w:t>-</w:t>
                  </w:r>
                  <w:r>
                    <w:rPr>
                      <w:szCs w:val="21"/>
                    </w:rPr>
                    <w:t>0</w:t>
                  </w:r>
                  <w:r>
                    <w:rPr>
                      <w:rFonts w:hint="eastAsia"/>
                      <w:szCs w:val="21"/>
                    </w:rPr>
                    <w:t>.0015</w:t>
                  </w:r>
                </w:p>
              </w:tc>
            </w:tr>
            <w:tr w14:paraId="520AC37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restart"/>
                  <w:tcMar>
                    <w:left w:w="28" w:type="dxa"/>
                    <w:right w:w="28" w:type="dxa"/>
                  </w:tcMar>
                  <w:vAlign w:val="center"/>
                </w:tcPr>
                <w:p w14:paraId="520AC36B">
                  <w:pPr>
                    <w:widowControl/>
                    <w:jc w:val="center"/>
                    <w:rPr>
                      <w:kern w:val="0"/>
                      <w:szCs w:val="21"/>
                    </w:rPr>
                  </w:pPr>
                  <w:r>
                    <w:rPr>
                      <w:kern w:val="0"/>
                      <w:szCs w:val="21"/>
                    </w:rPr>
                    <w:t>废气</w:t>
                  </w:r>
                </w:p>
              </w:tc>
              <w:tc>
                <w:tcPr>
                  <w:tcW w:w="975" w:type="dxa"/>
                  <w:tcMar>
                    <w:left w:w="28" w:type="dxa"/>
                    <w:right w:w="28" w:type="dxa"/>
                  </w:tcMar>
                  <w:vAlign w:val="center"/>
                </w:tcPr>
                <w:p w14:paraId="520AC36C">
                  <w:pPr>
                    <w:jc w:val="center"/>
                    <w:rPr>
                      <w:szCs w:val="21"/>
                      <w:lang w:val="pt-BR"/>
                    </w:rPr>
                  </w:pPr>
                  <w:r>
                    <w:rPr>
                      <w:rFonts w:hint="eastAsia"/>
                      <w:szCs w:val="21"/>
                    </w:rPr>
                    <w:t>铬酸雾</w:t>
                  </w:r>
                </w:p>
              </w:tc>
              <w:tc>
                <w:tcPr>
                  <w:tcW w:w="851" w:type="dxa"/>
                  <w:tcMar>
                    <w:left w:w="28" w:type="dxa"/>
                    <w:right w:w="28" w:type="dxa"/>
                  </w:tcMar>
                  <w:vAlign w:val="center"/>
                </w:tcPr>
                <w:p w14:paraId="520AC36D">
                  <w:pPr>
                    <w:pStyle w:val="50"/>
                    <w:rPr>
                      <w:color w:val="auto"/>
                      <w:kern w:val="2"/>
                    </w:rPr>
                  </w:pPr>
                  <w:r>
                    <w:rPr>
                      <w:color w:val="auto"/>
                    </w:rPr>
                    <w:t>0.0020</w:t>
                  </w:r>
                </w:p>
              </w:tc>
              <w:tc>
                <w:tcPr>
                  <w:tcW w:w="850" w:type="dxa"/>
                  <w:tcMar>
                    <w:left w:w="28" w:type="dxa"/>
                    <w:right w:w="28" w:type="dxa"/>
                  </w:tcMar>
                  <w:vAlign w:val="center"/>
                </w:tcPr>
                <w:p w14:paraId="520AC36E">
                  <w:pPr>
                    <w:pStyle w:val="50"/>
                    <w:rPr>
                      <w:color w:val="auto"/>
                      <w:kern w:val="2"/>
                    </w:rPr>
                  </w:pPr>
                  <w:r>
                    <w:rPr>
                      <w:color w:val="auto"/>
                    </w:rPr>
                    <w:t>0.003</w:t>
                  </w:r>
                  <w:r>
                    <w:rPr>
                      <w:rFonts w:hint="eastAsia"/>
                      <w:color w:val="auto"/>
                    </w:rPr>
                    <w:t>0</w:t>
                  </w:r>
                </w:p>
              </w:tc>
              <w:tc>
                <w:tcPr>
                  <w:tcW w:w="992" w:type="dxa"/>
                  <w:vAlign w:val="center"/>
                </w:tcPr>
                <w:p w14:paraId="520AC36F">
                  <w:pPr>
                    <w:jc w:val="center"/>
                    <w:rPr>
                      <w:szCs w:val="21"/>
                    </w:rPr>
                  </w:pPr>
                  <w:r>
                    <w:rPr>
                      <w:szCs w:val="21"/>
                    </w:rPr>
                    <w:t>/</w:t>
                  </w:r>
                </w:p>
              </w:tc>
              <w:tc>
                <w:tcPr>
                  <w:tcW w:w="851" w:type="dxa"/>
                  <w:tcMar>
                    <w:left w:w="28" w:type="dxa"/>
                    <w:right w:w="28" w:type="dxa"/>
                  </w:tcMar>
                  <w:vAlign w:val="center"/>
                </w:tcPr>
                <w:p w14:paraId="520AC370">
                  <w:pPr>
                    <w:jc w:val="center"/>
                    <w:rPr>
                      <w:szCs w:val="21"/>
                    </w:rPr>
                  </w:pPr>
                  <w:r>
                    <w:rPr>
                      <w:rFonts w:eastAsia="等线"/>
                      <w:szCs w:val="21"/>
                    </w:rPr>
                    <w:t>0</w:t>
                  </w:r>
                </w:p>
              </w:tc>
              <w:tc>
                <w:tcPr>
                  <w:tcW w:w="851" w:type="dxa"/>
                  <w:tcMar>
                    <w:left w:w="28" w:type="dxa"/>
                    <w:right w:w="28" w:type="dxa"/>
                  </w:tcMar>
                  <w:vAlign w:val="center"/>
                </w:tcPr>
                <w:p w14:paraId="520AC371">
                  <w:pPr>
                    <w:jc w:val="center"/>
                    <w:rPr>
                      <w:szCs w:val="21"/>
                    </w:rPr>
                  </w:pPr>
                  <w:r>
                    <w:rPr>
                      <w:rFonts w:eastAsia="等线"/>
                      <w:szCs w:val="21"/>
                    </w:rPr>
                    <w:t>0</w:t>
                  </w:r>
                </w:p>
              </w:tc>
              <w:tc>
                <w:tcPr>
                  <w:tcW w:w="1159" w:type="dxa"/>
                  <w:tcMar>
                    <w:left w:w="28" w:type="dxa"/>
                    <w:right w:w="28" w:type="dxa"/>
                  </w:tcMar>
                  <w:vAlign w:val="center"/>
                </w:tcPr>
                <w:p w14:paraId="520AC372">
                  <w:pPr>
                    <w:jc w:val="center"/>
                    <w:rPr>
                      <w:szCs w:val="21"/>
                    </w:rPr>
                  </w:pPr>
                  <w:r>
                    <w:rPr>
                      <w:rFonts w:eastAsia="等线"/>
                      <w:szCs w:val="21"/>
                    </w:rPr>
                    <w:t>0.0020</w:t>
                  </w:r>
                </w:p>
              </w:tc>
              <w:tc>
                <w:tcPr>
                  <w:tcW w:w="925" w:type="dxa"/>
                  <w:tcMar>
                    <w:left w:w="28" w:type="dxa"/>
                    <w:right w:w="28" w:type="dxa"/>
                  </w:tcMar>
                  <w:vAlign w:val="center"/>
                </w:tcPr>
                <w:p w14:paraId="520AC373">
                  <w:pPr>
                    <w:jc w:val="center"/>
                    <w:rPr>
                      <w:szCs w:val="21"/>
                    </w:rPr>
                  </w:pPr>
                  <w:r>
                    <w:rPr>
                      <w:rFonts w:eastAsia="等线"/>
                      <w:szCs w:val="21"/>
                    </w:rPr>
                    <w:t>0</w:t>
                  </w:r>
                </w:p>
              </w:tc>
            </w:tr>
            <w:tr w14:paraId="520AC37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75">
                  <w:pPr>
                    <w:widowControl/>
                    <w:jc w:val="center"/>
                    <w:rPr>
                      <w:kern w:val="0"/>
                      <w:szCs w:val="21"/>
                    </w:rPr>
                  </w:pPr>
                </w:p>
              </w:tc>
              <w:tc>
                <w:tcPr>
                  <w:tcW w:w="975" w:type="dxa"/>
                  <w:tcMar>
                    <w:left w:w="28" w:type="dxa"/>
                    <w:right w:w="28" w:type="dxa"/>
                  </w:tcMar>
                  <w:vAlign w:val="center"/>
                </w:tcPr>
                <w:p w14:paraId="520AC376">
                  <w:pPr>
                    <w:jc w:val="center"/>
                    <w:rPr>
                      <w:szCs w:val="21"/>
                      <w:lang w:val="pt-BR"/>
                    </w:rPr>
                  </w:pPr>
                  <w:r>
                    <w:rPr>
                      <w:rFonts w:hint="eastAsia"/>
                      <w:szCs w:val="21"/>
                    </w:rPr>
                    <w:t>硫酸雾</w:t>
                  </w:r>
                </w:p>
              </w:tc>
              <w:tc>
                <w:tcPr>
                  <w:tcW w:w="851" w:type="dxa"/>
                  <w:tcMar>
                    <w:left w:w="28" w:type="dxa"/>
                    <w:right w:w="28" w:type="dxa"/>
                  </w:tcMar>
                  <w:vAlign w:val="center"/>
                </w:tcPr>
                <w:p w14:paraId="520AC377">
                  <w:pPr>
                    <w:pStyle w:val="50"/>
                    <w:rPr>
                      <w:color w:val="auto"/>
                      <w:kern w:val="2"/>
                    </w:rPr>
                  </w:pPr>
                  <w:r>
                    <w:rPr>
                      <w:color w:val="auto"/>
                    </w:rPr>
                    <w:t>0.1409</w:t>
                  </w:r>
                </w:p>
              </w:tc>
              <w:tc>
                <w:tcPr>
                  <w:tcW w:w="850" w:type="dxa"/>
                  <w:tcMar>
                    <w:left w:w="28" w:type="dxa"/>
                    <w:right w:w="28" w:type="dxa"/>
                  </w:tcMar>
                  <w:vAlign w:val="center"/>
                </w:tcPr>
                <w:p w14:paraId="520AC378">
                  <w:pPr>
                    <w:pStyle w:val="50"/>
                    <w:rPr>
                      <w:color w:val="auto"/>
                      <w:kern w:val="2"/>
                    </w:rPr>
                  </w:pPr>
                  <w:r>
                    <w:rPr>
                      <w:color w:val="auto"/>
                    </w:rPr>
                    <w:t>0.1525</w:t>
                  </w:r>
                </w:p>
              </w:tc>
              <w:tc>
                <w:tcPr>
                  <w:tcW w:w="992" w:type="dxa"/>
                  <w:vAlign w:val="center"/>
                </w:tcPr>
                <w:p w14:paraId="520AC379">
                  <w:pPr>
                    <w:jc w:val="center"/>
                    <w:rPr>
                      <w:szCs w:val="21"/>
                    </w:rPr>
                  </w:pPr>
                  <w:r>
                    <w:t>/</w:t>
                  </w:r>
                </w:p>
              </w:tc>
              <w:tc>
                <w:tcPr>
                  <w:tcW w:w="851" w:type="dxa"/>
                  <w:tcMar>
                    <w:left w:w="28" w:type="dxa"/>
                    <w:right w:w="28" w:type="dxa"/>
                  </w:tcMar>
                  <w:vAlign w:val="center"/>
                </w:tcPr>
                <w:p w14:paraId="520AC37A">
                  <w:pPr>
                    <w:jc w:val="center"/>
                    <w:rPr>
                      <w:szCs w:val="21"/>
                    </w:rPr>
                  </w:pPr>
                  <w:r>
                    <w:rPr>
                      <w:rFonts w:eastAsia="等线"/>
                      <w:szCs w:val="21"/>
                    </w:rPr>
                    <w:t>0</w:t>
                  </w:r>
                </w:p>
              </w:tc>
              <w:tc>
                <w:tcPr>
                  <w:tcW w:w="851" w:type="dxa"/>
                  <w:tcMar>
                    <w:left w:w="28" w:type="dxa"/>
                    <w:right w:w="28" w:type="dxa"/>
                  </w:tcMar>
                  <w:vAlign w:val="center"/>
                </w:tcPr>
                <w:p w14:paraId="520AC37B">
                  <w:pPr>
                    <w:jc w:val="center"/>
                    <w:rPr>
                      <w:szCs w:val="21"/>
                    </w:rPr>
                  </w:pPr>
                  <w:r>
                    <w:rPr>
                      <w:rFonts w:eastAsia="等线"/>
                      <w:szCs w:val="21"/>
                    </w:rPr>
                    <w:t>0</w:t>
                  </w:r>
                </w:p>
              </w:tc>
              <w:tc>
                <w:tcPr>
                  <w:tcW w:w="1159" w:type="dxa"/>
                  <w:tcMar>
                    <w:left w:w="28" w:type="dxa"/>
                    <w:right w:w="28" w:type="dxa"/>
                  </w:tcMar>
                  <w:vAlign w:val="center"/>
                </w:tcPr>
                <w:p w14:paraId="520AC37C">
                  <w:pPr>
                    <w:jc w:val="center"/>
                    <w:rPr>
                      <w:szCs w:val="21"/>
                    </w:rPr>
                  </w:pPr>
                  <w:r>
                    <w:rPr>
                      <w:rFonts w:eastAsia="等线"/>
                      <w:szCs w:val="21"/>
                      <w:lang w:val="zh-CN"/>
                    </w:rPr>
                    <w:t>0.1409</w:t>
                  </w:r>
                </w:p>
              </w:tc>
              <w:tc>
                <w:tcPr>
                  <w:tcW w:w="925" w:type="dxa"/>
                  <w:tcMar>
                    <w:left w:w="28" w:type="dxa"/>
                    <w:right w:w="28" w:type="dxa"/>
                  </w:tcMar>
                  <w:vAlign w:val="center"/>
                </w:tcPr>
                <w:p w14:paraId="520AC37D">
                  <w:pPr>
                    <w:jc w:val="center"/>
                    <w:rPr>
                      <w:szCs w:val="21"/>
                    </w:rPr>
                  </w:pPr>
                  <w:r>
                    <w:rPr>
                      <w:rFonts w:eastAsia="等线"/>
                      <w:szCs w:val="21"/>
                    </w:rPr>
                    <w:t>0</w:t>
                  </w:r>
                </w:p>
              </w:tc>
            </w:tr>
            <w:tr w14:paraId="520AC38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7F">
                  <w:pPr>
                    <w:widowControl/>
                    <w:jc w:val="center"/>
                    <w:rPr>
                      <w:kern w:val="0"/>
                      <w:szCs w:val="21"/>
                    </w:rPr>
                  </w:pPr>
                </w:p>
              </w:tc>
              <w:tc>
                <w:tcPr>
                  <w:tcW w:w="975" w:type="dxa"/>
                  <w:tcMar>
                    <w:left w:w="28" w:type="dxa"/>
                    <w:right w:w="28" w:type="dxa"/>
                  </w:tcMar>
                  <w:vAlign w:val="center"/>
                </w:tcPr>
                <w:p w14:paraId="520AC380">
                  <w:pPr>
                    <w:jc w:val="center"/>
                    <w:rPr>
                      <w:szCs w:val="21"/>
                      <w:lang w:val="pt-BR"/>
                    </w:rPr>
                  </w:pPr>
                  <w:r>
                    <w:rPr>
                      <w:rFonts w:hint="eastAsia"/>
                      <w:szCs w:val="21"/>
                    </w:rPr>
                    <w:t>氯化氢</w:t>
                  </w:r>
                </w:p>
              </w:tc>
              <w:tc>
                <w:tcPr>
                  <w:tcW w:w="851" w:type="dxa"/>
                  <w:tcMar>
                    <w:left w:w="28" w:type="dxa"/>
                    <w:right w:w="28" w:type="dxa"/>
                  </w:tcMar>
                  <w:vAlign w:val="center"/>
                </w:tcPr>
                <w:p w14:paraId="520AC381">
                  <w:pPr>
                    <w:pStyle w:val="50"/>
                    <w:rPr>
                      <w:color w:val="auto"/>
                      <w:kern w:val="2"/>
                    </w:rPr>
                  </w:pPr>
                  <w:r>
                    <w:rPr>
                      <w:color w:val="auto"/>
                    </w:rPr>
                    <w:t>0.1769</w:t>
                  </w:r>
                </w:p>
              </w:tc>
              <w:tc>
                <w:tcPr>
                  <w:tcW w:w="850" w:type="dxa"/>
                  <w:tcMar>
                    <w:left w:w="28" w:type="dxa"/>
                    <w:right w:w="28" w:type="dxa"/>
                  </w:tcMar>
                  <w:vAlign w:val="center"/>
                </w:tcPr>
                <w:p w14:paraId="520AC382">
                  <w:pPr>
                    <w:pStyle w:val="50"/>
                    <w:rPr>
                      <w:color w:val="auto"/>
                      <w:kern w:val="2"/>
                    </w:rPr>
                  </w:pPr>
                  <w:r>
                    <w:rPr>
                      <w:color w:val="auto"/>
                    </w:rPr>
                    <w:t>0.4813</w:t>
                  </w:r>
                </w:p>
              </w:tc>
              <w:tc>
                <w:tcPr>
                  <w:tcW w:w="992" w:type="dxa"/>
                  <w:vAlign w:val="center"/>
                </w:tcPr>
                <w:p w14:paraId="520AC383">
                  <w:pPr>
                    <w:jc w:val="center"/>
                    <w:rPr>
                      <w:szCs w:val="21"/>
                    </w:rPr>
                  </w:pPr>
                  <w:r>
                    <w:t>/</w:t>
                  </w:r>
                </w:p>
              </w:tc>
              <w:tc>
                <w:tcPr>
                  <w:tcW w:w="851" w:type="dxa"/>
                  <w:tcMar>
                    <w:left w:w="28" w:type="dxa"/>
                    <w:right w:w="28" w:type="dxa"/>
                  </w:tcMar>
                  <w:vAlign w:val="center"/>
                </w:tcPr>
                <w:p w14:paraId="520AC384">
                  <w:pPr>
                    <w:jc w:val="center"/>
                    <w:rPr>
                      <w:szCs w:val="21"/>
                    </w:rPr>
                  </w:pPr>
                  <w:r>
                    <w:rPr>
                      <w:rFonts w:eastAsia="等线"/>
                      <w:szCs w:val="21"/>
                    </w:rPr>
                    <w:t>0</w:t>
                  </w:r>
                </w:p>
              </w:tc>
              <w:tc>
                <w:tcPr>
                  <w:tcW w:w="851" w:type="dxa"/>
                  <w:tcMar>
                    <w:left w:w="28" w:type="dxa"/>
                    <w:right w:w="28" w:type="dxa"/>
                  </w:tcMar>
                  <w:vAlign w:val="center"/>
                </w:tcPr>
                <w:p w14:paraId="520AC385">
                  <w:pPr>
                    <w:jc w:val="center"/>
                    <w:rPr>
                      <w:szCs w:val="21"/>
                    </w:rPr>
                  </w:pPr>
                  <w:r>
                    <w:rPr>
                      <w:rFonts w:eastAsia="等线"/>
                      <w:szCs w:val="21"/>
                    </w:rPr>
                    <w:t>0</w:t>
                  </w:r>
                </w:p>
              </w:tc>
              <w:tc>
                <w:tcPr>
                  <w:tcW w:w="1159" w:type="dxa"/>
                  <w:tcMar>
                    <w:left w:w="28" w:type="dxa"/>
                    <w:right w:w="28" w:type="dxa"/>
                  </w:tcMar>
                  <w:vAlign w:val="center"/>
                </w:tcPr>
                <w:p w14:paraId="520AC386">
                  <w:pPr>
                    <w:jc w:val="center"/>
                    <w:rPr>
                      <w:szCs w:val="21"/>
                    </w:rPr>
                  </w:pPr>
                  <w:r>
                    <w:rPr>
                      <w:rFonts w:eastAsia="等线"/>
                      <w:szCs w:val="21"/>
                      <w:lang w:val="zh-CN"/>
                    </w:rPr>
                    <w:t>0.1769</w:t>
                  </w:r>
                </w:p>
              </w:tc>
              <w:tc>
                <w:tcPr>
                  <w:tcW w:w="925" w:type="dxa"/>
                  <w:tcMar>
                    <w:left w:w="28" w:type="dxa"/>
                    <w:right w:w="28" w:type="dxa"/>
                  </w:tcMar>
                  <w:vAlign w:val="center"/>
                </w:tcPr>
                <w:p w14:paraId="520AC387">
                  <w:pPr>
                    <w:jc w:val="center"/>
                    <w:rPr>
                      <w:szCs w:val="21"/>
                    </w:rPr>
                  </w:pPr>
                  <w:r>
                    <w:rPr>
                      <w:rFonts w:eastAsia="等线"/>
                      <w:szCs w:val="21"/>
                    </w:rPr>
                    <w:t>0</w:t>
                  </w:r>
                </w:p>
              </w:tc>
            </w:tr>
            <w:tr w14:paraId="520AC39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89">
                  <w:pPr>
                    <w:widowControl/>
                    <w:jc w:val="center"/>
                    <w:rPr>
                      <w:kern w:val="0"/>
                      <w:szCs w:val="21"/>
                    </w:rPr>
                  </w:pPr>
                </w:p>
              </w:tc>
              <w:tc>
                <w:tcPr>
                  <w:tcW w:w="975" w:type="dxa"/>
                  <w:tcMar>
                    <w:left w:w="28" w:type="dxa"/>
                    <w:right w:w="28" w:type="dxa"/>
                  </w:tcMar>
                  <w:vAlign w:val="center"/>
                </w:tcPr>
                <w:p w14:paraId="520AC38A">
                  <w:pPr>
                    <w:jc w:val="center"/>
                    <w:rPr>
                      <w:szCs w:val="21"/>
                      <w:lang w:val="pt-BR"/>
                    </w:rPr>
                  </w:pPr>
                  <w:r>
                    <w:rPr>
                      <w:rFonts w:hint="eastAsia"/>
                      <w:szCs w:val="21"/>
                    </w:rPr>
                    <w:t>氰化氢</w:t>
                  </w:r>
                </w:p>
              </w:tc>
              <w:tc>
                <w:tcPr>
                  <w:tcW w:w="851" w:type="dxa"/>
                  <w:tcMar>
                    <w:left w:w="28" w:type="dxa"/>
                    <w:right w:w="28" w:type="dxa"/>
                  </w:tcMar>
                  <w:vAlign w:val="center"/>
                </w:tcPr>
                <w:p w14:paraId="520AC38B">
                  <w:pPr>
                    <w:pStyle w:val="50"/>
                    <w:rPr>
                      <w:color w:val="auto"/>
                      <w:kern w:val="2"/>
                    </w:rPr>
                  </w:pPr>
                  <w:r>
                    <w:rPr>
                      <w:color w:val="auto"/>
                    </w:rPr>
                    <w:t>0.0077</w:t>
                  </w:r>
                </w:p>
              </w:tc>
              <w:tc>
                <w:tcPr>
                  <w:tcW w:w="850" w:type="dxa"/>
                  <w:tcMar>
                    <w:left w:w="28" w:type="dxa"/>
                    <w:right w:w="28" w:type="dxa"/>
                  </w:tcMar>
                  <w:vAlign w:val="center"/>
                </w:tcPr>
                <w:p w14:paraId="520AC38C">
                  <w:pPr>
                    <w:pStyle w:val="50"/>
                    <w:rPr>
                      <w:color w:val="auto"/>
                      <w:kern w:val="2"/>
                    </w:rPr>
                  </w:pPr>
                  <w:r>
                    <w:rPr>
                      <w:color w:val="auto"/>
                    </w:rPr>
                    <w:t>0.0086</w:t>
                  </w:r>
                </w:p>
              </w:tc>
              <w:tc>
                <w:tcPr>
                  <w:tcW w:w="992" w:type="dxa"/>
                  <w:vAlign w:val="center"/>
                </w:tcPr>
                <w:p w14:paraId="520AC38D">
                  <w:pPr>
                    <w:jc w:val="center"/>
                    <w:rPr>
                      <w:szCs w:val="21"/>
                    </w:rPr>
                  </w:pPr>
                  <w:r>
                    <w:t>/</w:t>
                  </w:r>
                </w:p>
              </w:tc>
              <w:tc>
                <w:tcPr>
                  <w:tcW w:w="851" w:type="dxa"/>
                  <w:tcMar>
                    <w:left w:w="28" w:type="dxa"/>
                    <w:right w:w="28" w:type="dxa"/>
                  </w:tcMar>
                  <w:vAlign w:val="center"/>
                </w:tcPr>
                <w:p w14:paraId="520AC38E">
                  <w:pPr>
                    <w:jc w:val="center"/>
                    <w:rPr>
                      <w:szCs w:val="21"/>
                    </w:rPr>
                  </w:pPr>
                  <w:r>
                    <w:rPr>
                      <w:rFonts w:eastAsia="等线"/>
                      <w:szCs w:val="21"/>
                    </w:rPr>
                    <w:t>0</w:t>
                  </w:r>
                </w:p>
              </w:tc>
              <w:tc>
                <w:tcPr>
                  <w:tcW w:w="851" w:type="dxa"/>
                  <w:tcMar>
                    <w:left w:w="28" w:type="dxa"/>
                    <w:right w:w="28" w:type="dxa"/>
                  </w:tcMar>
                  <w:vAlign w:val="center"/>
                </w:tcPr>
                <w:p w14:paraId="520AC38F">
                  <w:pPr>
                    <w:jc w:val="center"/>
                    <w:rPr>
                      <w:szCs w:val="21"/>
                    </w:rPr>
                  </w:pPr>
                  <w:r>
                    <w:rPr>
                      <w:rFonts w:eastAsia="等线"/>
                      <w:szCs w:val="21"/>
                    </w:rPr>
                    <w:t>0</w:t>
                  </w:r>
                </w:p>
              </w:tc>
              <w:tc>
                <w:tcPr>
                  <w:tcW w:w="1159" w:type="dxa"/>
                  <w:tcMar>
                    <w:left w:w="28" w:type="dxa"/>
                    <w:right w:w="28" w:type="dxa"/>
                  </w:tcMar>
                  <w:vAlign w:val="center"/>
                </w:tcPr>
                <w:p w14:paraId="520AC390">
                  <w:pPr>
                    <w:jc w:val="center"/>
                    <w:rPr>
                      <w:szCs w:val="21"/>
                    </w:rPr>
                  </w:pPr>
                  <w:r>
                    <w:rPr>
                      <w:rFonts w:eastAsia="等线"/>
                      <w:szCs w:val="21"/>
                      <w:lang w:val="zh-CN"/>
                    </w:rPr>
                    <w:t>0.0077</w:t>
                  </w:r>
                </w:p>
              </w:tc>
              <w:tc>
                <w:tcPr>
                  <w:tcW w:w="925" w:type="dxa"/>
                  <w:tcMar>
                    <w:left w:w="28" w:type="dxa"/>
                    <w:right w:w="28" w:type="dxa"/>
                  </w:tcMar>
                  <w:vAlign w:val="center"/>
                </w:tcPr>
                <w:p w14:paraId="520AC391">
                  <w:pPr>
                    <w:jc w:val="center"/>
                    <w:rPr>
                      <w:szCs w:val="21"/>
                    </w:rPr>
                  </w:pPr>
                  <w:r>
                    <w:rPr>
                      <w:rFonts w:eastAsia="等线"/>
                      <w:szCs w:val="21"/>
                    </w:rPr>
                    <w:t>0</w:t>
                  </w:r>
                </w:p>
              </w:tc>
            </w:tr>
            <w:tr w14:paraId="520AC39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93">
                  <w:pPr>
                    <w:widowControl/>
                    <w:jc w:val="center"/>
                    <w:rPr>
                      <w:kern w:val="0"/>
                      <w:szCs w:val="21"/>
                    </w:rPr>
                  </w:pPr>
                </w:p>
              </w:tc>
              <w:tc>
                <w:tcPr>
                  <w:tcW w:w="975" w:type="dxa"/>
                  <w:tcMar>
                    <w:left w:w="28" w:type="dxa"/>
                    <w:right w:w="28" w:type="dxa"/>
                  </w:tcMar>
                  <w:vAlign w:val="center"/>
                </w:tcPr>
                <w:p w14:paraId="520AC394">
                  <w:pPr>
                    <w:jc w:val="center"/>
                    <w:rPr>
                      <w:szCs w:val="21"/>
                      <w:lang w:val="pt-BR"/>
                    </w:rPr>
                  </w:pPr>
                  <w:r>
                    <w:rPr>
                      <w:rFonts w:hint="eastAsia"/>
                      <w:szCs w:val="21"/>
                    </w:rPr>
                    <w:t>氮氧化物</w:t>
                  </w:r>
                </w:p>
              </w:tc>
              <w:tc>
                <w:tcPr>
                  <w:tcW w:w="851" w:type="dxa"/>
                  <w:tcMar>
                    <w:left w:w="28" w:type="dxa"/>
                    <w:right w:w="28" w:type="dxa"/>
                  </w:tcMar>
                  <w:vAlign w:val="center"/>
                </w:tcPr>
                <w:p w14:paraId="520AC395">
                  <w:pPr>
                    <w:pStyle w:val="50"/>
                    <w:rPr>
                      <w:color w:val="auto"/>
                      <w:kern w:val="2"/>
                    </w:rPr>
                  </w:pPr>
                  <w:r>
                    <w:rPr>
                      <w:color w:val="auto"/>
                    </w:rPr>
                    <w:t>0.7709</w:t>
                  </w:r>
                </w:p>
              </w:tc>
              <w:tc>
                <w:tcPr>
                  <w:tcW w:w="850" w:type="dxa"/>
                  <w:tcMar>
                    <w:left w:w="28" w:type="dxa"/>
                    <w:right w:w="28" w:type="dxa"/>
                  </w:tcMar>
                  <w:vAlign w:val="center"/>
                </w:tcPr>
                <w:p w14:paraId="520AC396">
                  <w:pPr>
                    <w:pStyle w:val="50"/>
                    <w:rPr>
                      <w:color w:val="auto"/>
                      <w:kern w:val="2"/>
                    </w:rPr>
                  </w:pPr>
                  <w:r>
                    <w:rPr>
                      <w:color w:val="auto"/>
                    </w:rPr>
                    <w:t>5.1907</w:t>
                  </w:r>
                </w:p>
              </w:tc>
              <w:tc>
                <w:tcPr>
                  <w:tcW w:w="992" w:type="dxa"/>
                  <w:vAlign w:val="center"/>
                </w:tcPr>
                <w:p w14:paraId="520AC397">
                  <w:pPr>
                    <w:jc w:val="center"/>
                    <w:rPr>
                      <w:szCs w:val="21"/>
                    </w:rPr>
                  </w:pPr>
                  <w:r>
                    <w:t>/</w:t>
                  </w:r>
                </w:p>
              </w:tc>
              <w:tc>
                <w:tcPr>
                  <w:tcW w:w="851" w:type="dxa"/>
                  <w:tcMar>
                    <w:left w:w="28" w:type="dxa"/>
                    <w:right w:w="28" w:type="dxa"/>
                  </w:tcMar>
                  <w:vAlign w:val="center"/>
                </w:tcPr>
                <w:p w14:paraId="520AC398">
                  <w:pPr>
                    <w:jc w:val="center"/>
                    <w:rPr>
                      <w:szCs w:val="21"/>
                    </w:rPr>
                  </w:pPr>
                  <w:r>
                    <w:rPr>
                      <w:rFonts w:eastAsia="等线"/>
                      <w:szCs w:val="21"/>
                    </w:rPr>
                    <w:t>0</w:t>
                  </w:r>
                </w:p>
              </w:tc>
              <w:tc>
                <w:tcPr>
                  <w:tcW w:w="851" w:type="dxa"/>
                  <w:tcMar>
                    <w:left w:w="28" w:type="dxa"/>
                    <w:right w:w="28" w:type="dxa"/>
                  </w:tcMar>
                  <w:vAlign w:val="center"/>
                </w:tcPr>
                <w:p w14:paraId="520AC399">
                  <w:pPr>
                    <w:jc w:val="center"/>
                    <w:rPr>
                      <w:szCs w:val="21"/>
                    </w:rPr>
                  </w:pPr>
                  <w:r>
                    <w:rPr>
                      <w:rFonts w:eastAsia="等线"/>
                      <w:szCs w:val="21"/>
                    </w:rPr>
                    <w:t>0</w:t>
                  </w:r>
                </w:p>
              </w:tc>
              <w:tc>
                <w:tcPr>
                  <w:tcW w:w="1159" w:type="dxa"/>
                  <w:tcMar>
                    <w:left w:w="28" w:type="dxa"/>
                    <w:right w:w="28" w:type="dxa"/>
                  </w:tcMar>
                  <w:vAlign w:val="center"/>
                </w:tcPr>
                <w:p w14:paraId="520AC39A">
                  <w:pPr>
                    <w:jc w:val="center"/>
                    <w:rPr>
                      <w:szCs w:val="21"/>
                    </w:rPr>
                  </w:pPr>
                  <w:r>
                    <w:rPr>
                      <w:rFonts w:eastAsia="等线"/>
                      <w:szCs w:val="21"/>
                      <w:lang w:val="zh-CN"/>
                    </w:rPr>
                    <w:t>0.7709</w:t>
                  </w:r>
                </w:p>
              </w:tc>
              <w:tc>
                <w:tcPr>
                  <w:tcW w:w="925" w:type="dxa"/>
                  <w:tcMar>
                    <w:left w:w="28" w:type="dxa"/>
                    <w:right w:w="28" w:type="dxa"/>
                  </w:tcMar>
                  <w:vAlign w:val="center"/>
                </w:tcPr>
                <w:p w14:paraId="520AC39B">
                  <w:pPr>
                    <w:jc w:val="center"/>
                    <w:rPr>
                      <w:szCs w:val="21"/>
                    </w:rPr>
                  </w:pPr>
                  <w:r>
                    <w:rPr>
                      <w:rFonts w:eastAsia="等线"/>
                      <w:szCs w:val="21"/>
                    </w:rPr>
                    <w:t>0</w:t>
                  </w:r>
                </w:p>
              </w:tc>
            </w:tr>
            <w:tr w14:paraId="520AC3A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9D">
                  <w:pPr>
                    <w:widowControl/>
                    <w:jc w:val="center"/>
                    <w:rPr>
                      <w:kern w:val="0"/>
                      <w:szCs w:val="21"/>
                    </w:rPr>
                  </w:pPr>
                </w:p>
              </w:tc>
              <w:tc>
                <w:tcPr>
                  <w:tcW w:w="975" w:type="dxa"/>
                  <w:tcMar>
                    <w:left w:w="28" w:type="dxa"/>
                    <w:right w:w="28" w:type="dxa"/>
                  </w:tcMar>
                  <w:vAlign w:val="center"/>
                </w:tcPr>
                <w:p w14:paraId="520AC39E">
                  <w:pPr>
                    <w:jc w:val="center"/>
                    <w:rPr>
                      <w:szCs w:val="21"/>
                      <w:lang w:val="pt-BR"/>
                    </w:rPr>
                  </w:pPr>
                  <w:r>
                    <w:rPr>
                      <w:rFonts w:hint="eastAsia"/>
                      <w:szCs w:val="21"/>
                    </w:rPr>
                    <w:t>锡及其化合物</w:t>
                  </w:r>
                </w:p>
              </w:tc>
              <w:tc>
                <w:tcPr>
                  <w:tcW w:w="851" w:type="dxa"/>
                  <w:tcMar>
                    <w:left w:w="28" w:type="dxa"/>
                    <w:right w:w="28" w:type="dxa"/>
                  </w:tcMar>
                  <w:vAlign w:val="center"/>
                </w:tcPr>
                <w:p w14:paraId="520AC39F">
                  <w:pPr>
                    <w:pStyle w:val="50"/>
                    <w:rPr>
                      <w:color w:val="auto"/>
                      <w:kern w:val="2"/>
                    </w:rPr>
                  </w:pPr>
                  <w:r>
                    <w:rPr>
                      <w:color w:val="auto"/>
                    </w:rPr>
                    <w:t>/</w:t>
                  </w:r>
                </w:p>
              </w:tc>
              <w:tc>
                <w:tcPr>
                  <w:tcW w:w="850" w:type="dxa"/>
                  <w:tcMar>
                    <w:left w:w="28" w:type="dxa"/>
                    <w:right w:w="28" w:type="dxa"/>
                  </w:tcMar>
                  <w:vAlign w:val="center"/>
                </w:tcPr>
                <w:p w14:paraId="520AC3A0">
                  <w:pPr>
                    <w:pStyle w:val="50"/>
                    <w:rPr>
                      <w:color w:val="auto"/>
                      <w:kern w:val="2"/>
                    </w:rPr>
                  </w:pPr>
                  <w:r>
                    <w:rPr>
                      <w:color w:val="auto"/>
                    </w:rPr>
                    <w:t>/</w:t>
                  </w:r>
                </w:p>
              </w:tc>
              <w:tc>
                <w:tcPr>
                  <w:tcW w:w="992" w:type="dxa"/>
                  <w:vAlign w:val="center"/>
                </w:tcPr>
                <w:p w14:paraId="520AC3A1">
                  <w:pPr>
                    <w:jc w:val="center"/>
                    <w:rPr>
                      <w:szCs w:val="21"/>
                    </w:rPr>
                  </w:pPr>
                  <w:r>
                    <w:t>0.022</w:t>
                  </w:r>
                  <w:r>
                    <w:rPr>
                      <w:rFonts w:hint="eastAsia"/>
                    </w:rPr>
                    <w:t>0</w:t>
                  </w:r>
                </w:p>
              </w:tc>
              <w:tc>
                <w:tcPr>
                  <w:tcW w:w="851" w:type="dxa"/>
                  <w:tcMar>
                    <w:left w:w="28" w:type="dxa"/>
                    <w:right w:w="28" w:type="dxa"/>
                  </w:tcMar>
                  <w:vAlign w:val="center"/>
                </w:tcPr>
                <w:p w14:paraId="520AC3A2">
                  <w:pPr>
                    <w:jc w:val="center"/>
                    <w:rPr>
                      <w:szCs w:val="21"/>
                    </w:rPr>
                  </w:pPr>
                  <w:r>
                    <w:rPr>
                      <w:rFonts w:eastAsia="等线"/>
                      <w:szCs w:val="21"/>
                    </w:rPr>
                    <w:t>0</w:t>
                  </w:r>
                </w:p>
              </w:tc>
              <w:tc>
                <w:tcPr>
                  <w:tcW w:w="851" w:type="dxa"/>
                  <w:tcMar>
                    <w:left w:w="28" w:type="dxa"/>
                    <w:right w:w="28" w:type="dxa"/>
                  </w:tcMar>
                  <w:vAlign w:val="center"/>
                </w:tcPr>
                <w:p w14:paraId="520AC3A3">
                  <w:pPr>
                    <w:jc w:val="center"/>
                    <w:rPr>
                      <w:szCs w:val="21"/>
                    </w:rPr>
                  </w:pPr>
                  <w:r>
                    <w:rPr>
                      <w:rFonts w:eastAsia="等线"/>
                      <w:szCs w:val="21"/>
                    </w:rPr>
                    <w:t>0</w:t>
                  </w:r>
                </w:p>
              </w:tc>
              <w:tc>
                <w:tcPr>
                  <w:tcW w:w="1159" w:type="dxa"/>
                  <w:tcMar>
                    <w:left w:w="28" w:type="dxa"/>
                    <w:right w:w="28" w:type="dxa"/>
                  </w:tcMar>
                  <w:vAlign w:val="center"/>
                </w:tcPr>
                <w:p w14:paraId="520AC3A4">
                  <w:pPr>
                    <w:jc w:val="center"/>
                    <w:rPr>
                      <w:szCs w:val="21"/>
                    </w:rPr>
                  </w:pPr>
                  <w:r>
                    <w:rPr>
                      <w:rFonts w:eastAsia="等线"/>
                      <w:szCs w:val="21"/>
                      <w:lang w:val="zh-CN"/>
                    </w:rPr>
                    <w:t>0.0220</w:t>
                  </w:r>
                </w:p>
              </w:tc>
              <w:tc>
                <w:tcPr>
                  <w:tcW w:w="925" w:type="dxa"/>
                  <w:tcMar>
                    <w:left w:w="28" w:type="dxa"/>
                    <w:right w:w="28" w:type="dxa"/>
                  </w:tcMar>
                  <w:vAlign w:val="center"/>
                </w:tcPr>
                <w:p w14:paraId="520AC3A5">
                  <w:pPr>
                    <w:jc w:val="center"/>
                    <w:rPr>
                      <w:szCs w:val="21"/>
                    </w:rPr>
                  </w:pPr>
                  <w:r>
                    <w:rPr>
                      <w:rFonts w:eastAsia="等线"/>
                      <w:szCs w:val="21"/>
                    </w:rPr>
                    <w:t>0</w:t>
                  </w:r>
                </w:p>
              </w:tc>
            </w:tr>
            <w:tr w14:paraId="520AC3B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A7">
                  <w:pPr>
                    <w:widowControl/>
                    <w:jc w:val="center"/>
                    <w:rPr>
                      <w:kern w:val="0"/>
                      <w:szCs w:val="21"/>
                    </w:rPr>
                  </w:pPr>
                </w:p>
              </w:tc>
              <w:tc>
                <w:tcPr>
                  <w:tcW w:w="975" w:type="dxa"/>
                  <w:tcMar>
                    <w:left w:w="28" w:type="dxa"/>
                    <w:right w:w="28" w:type="dxa"/>
                  </w:tcMar>
                  <w:vAlign w:val="center"/>
                </w:tcPr>
                <w:p w14:paraId="520AC3A8">
                  <w:pPr>
                    <w:jc w:val="center"/>
                    <w:rPr>
                      <w:szCs w:val="21"/>
                      <w:lang w:val="pt-BR"/>
                    </w:rPr>
                  </w:pPr>
                  <w:r>
                    <w:rPr>
                      <w:rFonts w:hint="eastAsia"/>
                      <w:szCs w:val="21"/>
                    </w:rPr>
                    <w:t>颗粒物</w:t>
                  </w:r>
                </w:p>
              </w:tc>
              <w:tc>
                <w:tcPr>
                  <w:tcW w:w="851" w:type="dxa"/>
                  <w:tcMar>
                    <w:left w:w="28" w:type="dxa"/>
                    <w:right w:w="28" w:type="dxa"/>
                  </w:tcMar>
                  <w:vAlign w:val="center"/>
                </w:tcPr>
                <w:p w14:paraId="520AC3A9">
                  <w:pPr>
                    <w:pStyle w:val="50"/>
                    <w:rPr>
                      <w:color w:val="auto"/>
                      <w:kern w:val="2"/>
                    </w:rPr>
                  </w:pPr>
                  <w:r>
                    <w:rPr>
                      <w:color w:val="auto"/>
                    </w:rPr>
                    <w:t>0.4388</w:t>
                  </w:r>
                </w:p>
              </w:tc>
              <w:tc>
                <w:tcPr>
                  <w:tcW w:w="850" w:type="dxa"/>
                  <w:tcMar>
                    <w:left w:w="28" w:type="dxa"/>
                    <w:right w:w="28" w:type="dxa"/>
                  </w:tcMar>
                  <w:vAlign w:val="center"/>
                </w:tcPr>
                <w:p w14:paraId="520AC3AA">
                  <w:pPr>
                    <w:pStyle w:val="50"/>
                    <w:rPr>
                      <w:color w:val="auto"/>
                      <w:kern w:val="2"/>
                    </w:rPr>
                  </w:pPr>
                  <w:r>
                    <w:rPr>
                      <w:color w:val="auto"/>
                    </w:rPr>
                    <w:t>1.424</w:t>
                  </w:r>
                  <w:r>
                    <w:rPr>
                      <w:rFonts w:hint="eastAsia"/>
                      <w:color w:val="auto"/>
                    </w:rPr>
                    <w:t>0</w:t>
                  </w:r>
                  <w:r>
                    <w:rPr>
                      <w:color w:val="auto"/>
                    </w:rPr>
                    <w:t>4</w:t>
                  </w:r>
                </w:p>
              </w:tc>
              <w:tc>
                <w:tcPr>
                  <w:tcW w:w="992" w:type="dxa"/>
                  <w:vAlign w:val="center"/>
                </w:tcPr>
                <w:p w14:paraId="520AC3AB">
                  <w:pPr>
                    <w:jc w:val="center"/>
                    <w:rPr>
                      <w:szCs w:val="21"/>
                    </w:rPr>
                  </w:pPr>
                  <w:r>
                    <w:t>0.1296</w:t>
                  </w:r>
                </w:p>
              </w:tc>
              <w:tc>
                <w:tcPr>
                  <w:tcW w:w="851" w:type="dxa"/>
                  <w:tcMar>
                    <w:left w:w="28" w:type="dxa"/>
                    <w:right w:w="28" w:type="dxa"/>
                  </w:tcMar>
                  <w:vAlign w:val="center"/>
                </w:tcPr>
                <w:p w14:paraId="520AC3AC">
                  <w:pPr>
                    <w:jc w:val="center"/>
                    <w:rPr>
                      <w:szCs w:val="21"/>
                    </w:rPr>
                  </w:pPr>
                  <w:r>
                    <w:rPr>
                      <w:rFonts w:eastAsia="等线"/>
                      <w:szCs w:val="21"/>
                    </w:rPr>
                    <w:t>0</w:t>
                  </w:r>
                  <w:r>
                    <w:rPr>
                      <w:rFonts w:hint="eastAsia" w:eastAsia="等线"/>
                      <w:szCs w:val="21"/>
                    </w:rPr>
                    <w:t>.002</w:t>
                  </w:r>
                </w:p>
              </w:tc>
              <w:tc>
                <w:tcPr>
                  <w:tcW w:w="851" w:type="dxa"/>
                  <w:tcMar>
                    <w:left w:w="28" w:type="dxa"/>
                    <w:right w:w="28" w:type="dxa"/>
                  </w:tcMar>
                  <w:vAlign w:val="center"/>
                </w:tcPr>
                <w:p w14:paraId="520AC3AD">
                  <w:pPr>
                    <w:jc w:val="center"/>
                    <w:rPr>
                      <w:szCs w:val="21"/>
                    </w:rPr>
                  </w:pPr>
                  <w:r>
                    <w:rPr>
                      <w:rFonts w:eastAsia="等线"/>
                      <w:szCs w:val="21"/>
                    </w:rPr>
                    <w:t>0</w:t>
                  </w:r>
                  <w:r>
                    <w:rPr>
                      <w:rFonts w:hint="eastAsia" w:eastAsia="等线"/>
                      <w:szCs w:val="21"/>
                    </w:rPr>
                    <w:t>.002</w:t>
                  </w:r>
                </w:p>
              </w:tc>
              <w:tc>
                <w:tcPr>
                  <w:tcW w:w="1159" w:type="dxa"/>
                  <w:tcMar>
                    <w:left w:w="28" w:type="dxa"/>
                    <w:right w:w="28" w:type="dxa"/>
                  </w:tcMar>
                  <w:vAlign w:val="center"/>
                </w:tcPr>
                <w:p w14:paraId="520AC3AE">
                  <w:pPr>
                    <w:jc w:val="center"/>
                    <w:rPr>
                      <w:szCs w:val="21"/>
                    </w:rPr>
                  </w:pPr>
                  <w:r>
                    <w:rPr>
                      <w:rFonts w:eastAsia="等线"/>
                      <w:szCs w:val="21"/>
                      <w:lang w:val="zh-CN"/>
                    </w:rPr>
                    <w:t>0.5684</w:t>
                  </w:r>
                </w:p>
              </w:tc>
              <w:tc>
                <w:tcPr>
                  <w:tcW w:w="925" w:type="dxa"/>
                  <w:tcMar>
                    <w:left w:w="28" w:type="dxa"/>
                    <w:right w:w="28" w:type="dxa"/>
                  </w:tcMar>
                  <w:vAlign w:val="center"/>
                </w:tcPr>
                <w:p w14:paraId="520AC3AF">
                  <w:pPr>
                    <w:jc w:val="center"/>
                    <w:rPr>
                      <w:szCs w:val="21"/>
                    </w:rPr>
                  </w:pPr>
                  <w:r>
                    <w:rPr>
                      <w:rFonts w:eastAsia="等线"/>
                      <w:szCs w:val="21"/>
                      <w:lang w:val="fr-FR"/>
                    </w:rPr>
                    <w:t>0</w:t>
                  </w:r>
                </w:p>
              </w:tc>
            </w:tr>
            <w:tr w14:paraId="520AC3B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B1">
                  <w:pPr>
                    <w:widowControl/>
                    <w:jc w:val="center"/>
                    <w:rPr>
                      <w:kern w:val="0"/>
                      <w:szCs w:val="21"/>
                    </w:rPr>
                  </w:pPr>
                </w:p>
              </w:tc>
              <w:tc>
                <w:tcPr>
                  <w:tcW w:w="975" w:type="dxa"/>
                  <w:tcMar>
                    <w:left w:w="28" w:type="dxa"/>
                    <w:right w:w="28" w:type="dxa"/>
                  </w:tcMar>
                  <w:vAlign w:val="center"/>
                </w:tcPr>
                <w:p w14:paraId="520AC3B2">
                  <w:pPr>
                    <w:jc w:val="center"/>
                    <w:rPr>
                      <w:szCs w:val="21"/>
                    </w:rPr>
                  </w:pPr>
                  <w:r>
                    <w:rPr>
                      <w:szCs w:val="21"/>
                    </w:rPr>
                    <w:t>VOCs</w:t>
                  </w:r>
                </w:p>
              </w:tc>
              <w:tc>
                <w:tcPr>
                  <w:tcW w:w="851" w:type="dxa"/>
                  <w:tcMar>
                    <w:left w:w="28" w:type="dxa"/>
                    <w:right w:w="28" w:type="dxa"/>
                  </w:tcMar>
                  <w:vAlign w:val="center"/>
                </w:tcPr>
                <w:p w14:paraId="520AC3B3">
                  <w:pPr>
                    <w:pStyle w:val="50"/>
                    <w:rPr>
                      <w:color w:val="auto"/>
                    </w:rPr>
                  </w:pPr>
                  <w:r>
                    <w:rPr>
                      <w:color w:val="auto"/>
                    </w:rPr>
                    <w:t>2.2324</w:t>
                  </w:r>
                </w:p>
              </w:tc>
              <w:tc>
                <w:tcPr>
                  <w:tcW w:w="850" w:type="dxa"/>
                  <w:tcMar>
                    <w:left w:w="28" w:type="dxa"/>
                    <w:right w:w="28" w:type="dxa"/>
                  </w:tcMar>
                  <w:vAlign w:val="center"/>
                </w:tcPr>
                <w:p w14:paraId="520AC3B4">
                  <w:pPr>
                    <w:pStyle w:val="50"/>
                    <w:rPr>
                      <w:color w:val="auto"/>
                    </w:rPr>
                  </w:pPr>
                  <w:r>
                    <w:rPr>
                      <w:color w:val="auto"/>
                    </w:rPr>
                    <w:t>2.5052</w:t>
                  </w:r>
                </w:p>
              </w:tc>
              <w:tc>
                <w:tcPr>
                  <w:tcW w:w="992" w:type="dxa"/>
                  <w:vAlign w:val="center"/>
                </w:tcPr>
                <w:p w14:paraId="520AC3B5">
                  <w:pPr>
                    <w:jc w:val="center"/>
                    <w:rPr>
                      <w:bCs/>
                    </w:rPr>
                  </w:pPr>
                  <w:r>
                    <w:t>2.2023</w:t>
                  </w:r>
                </w:p>
              </w:tc>
              <w:tc>
                <w:tcPr>
                  <w:tcW w:w="851" w:type="dxa"/>
                  <w:tcMar>
                    <w:left w:w="28" w:type="dxa"/>
                    <w:right w:w="28" w:type="dxa"/>
                  </w:tcMar>
                  <w:vAlign w:val="center"/>
                </w:tcPr>
                <w:p w14:paraId="520AC3B6">
                  <w:pPr>
                    <w:jc w:val="center"/>
                    <w:rPr>
                      <w:bCs/>
                      <w:highlight w:val="yellow"/>
                    </w:rPr>
                  </w:pPr>
                  <w:r>
                    <w:rPr>
                      <w:rFonts w:eastAsia="等线"/>
                      <w:szCs w:val="21"/>
                    </w:rPr>
                    <w:t>0.0</w:t>
                  </w:r>
                  <w:r>
                    <w:rPr>
                      <w:rFonts w:hint="eastAsia" w:eastAsia="等线"/>
                      <w:szCs w:val="21"/>
                    </w:rPr>
                    <w:t>0513</w:t>
                  </w:r>
                </w:p>
              </w:tc>
              <w:tc>
                <w:tcPr>
                  <w:tcW w:w="851" w:type="dxa"/>
                  <w:tcMar>
                    <w:left w:w="28" w:type="dxa"/>
                    <w:right w:w="28" w:type="dxa"/>
                  </w:tcMar>
                  <w:vAlign w:val="center"/>
                </w:tcPr>
                <w:p w14:paraId="520AC3B7">
                  <w:pPr>
                    <w:jc w:val="center"/>
                    <w:rPr>
                      <w:bCs/>
                      <w:highlight w:val="yellow"/>
                    </w:rPr>
                  </w:pPr>
                  <w:r>
                    <w:rPr>
                      <w:rFonts w:eastAsia="等线"/>
                      <w:szCs w:val="21"/>
                      <w:lang w:val="pt-BR"/>
                    </w:rPr>
                    <w:t>0</w:t>
                  </w:r>
                  <w:r>
                    <w:rPr>
                      <w:rFonts w:hint="eastAsia" w:eastAsia="等线"/>
                      <w:szCs w:val="21"/>
                      <w:lang w:val="pt-BR"/>
                    </w:rPr>
                    <w:t>.0052</w:t>
                  </w:r>
                </w:p>
              </w:tc>
              <w:tc>
                <w:tcPr>
                  <w:tcW w:w="1159" w:type="dxa"/>
                  <w:tcMar>
                    <w:left w:w="28" w:type="dxa"/>
                    <w:right w:w="28" w:type="dxa"/>
                  </w:tcMar>
                  <w:vAlign w:val="center"/>
                </w:tcPr>
                <w:p w14:paraId="520AC3B8">
                  <w:pPr>
                    <w:jc w:val="center"/>
                    <w:rPr>
                      <w:szCs w:val="21"/>
                      <w:highlight w:val="yellow"/>
                    </w:rPr>
                  </w:pPr>
                  <w:r>
                    <w:rPr>
                      <w:rFonts w:hint="eastAsia" w:eastAsia="等线"/>
                      <w:szCs w:val="21"/>
                    </w:rPr>
                    <w:t>4.43463</w:t>
                  </w:r>
                </w:p>
              </w:tc>
              <w:tc>
                <w:tcPr>
                  <w:tcW w:w="925" w:type="dxa"/>
                  <w:tcMar>
                    <w:left w:w="28" w:type="dxa"/>
                    <w:right w:w="28" w:type="dxa"/>
                  </w:tcMar>
                  <w:vAlign w:val="center"/>
                </w:tcPr>
                <w:p w14:paraId="520AC3B9">
                  <w:pPr>
                    <w:jc w:val="center"/>
                    <w:rPr>
                      <w:szCs w:val="21"/>
                      <w:highlight w:val="yellow"/>
                      <w:lang w:val="fr-FR"/>
                    </w:rPr>
                  </w:pPr>
                  <w:r>
                    <w:rPr>
                      <w:rFonts w:hint="eastAsia" w:eastAsia="等线"/>
                      <w:szCs w:val="21"/>
                    </w:rPr>
                    <w:t>-0.00007</w:t>
                  </w:r>
                </w:p>
              </w:tc>
            </w:tr>
            <w:tr w14:paraId="520AC3C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BB">
                  <w:pPr>
                    <w:widowControl/>
                    <w:jc w:val="center"/>
                    <w:rPr>
                      <w:kern w:val="0"/>
                      <w:szCs w:val="21"/>
                    </w:rPr>
                  </w:pPr>
                </w:p>
              </w:tc>
              <w:tc>
                <w:tcPr>
                  <w:tcW w:w="975" w:type="dxa"/>
                  <w:tcMar>
                    <w:left w:w="28" w:type="dxa"/>
                    <w:right w:w="28" w:type="dxa"/>
                  </w:tcMar>
                  <w:vAlign w:val="center"/>
                </w:tcPr>
                <w:p w14:paraId="520AC3BC">
                  <w:pPr>
                    <w:jc w:val="center"/>
                    <w:rPr>
                      <w:szCs w:val="21"/>
                      <w:lang w:val="pt-BR"/>
                    </w:rPr>
                  </w:pPr>
                  <w:r>
                    <w:rPr>
                      <w:rFonts w:hint="eastAsia"/>
                      <w:szCs w:val="21"/>
                    </w:rPr>
                    <w:t>氨</w:t>
                  </w:r>
                </w:p>
              </w:tc>
              <w:tc>
                <w:tcPr>
                  <w:tcW w:w="851" w:type="dxa"/>
                  <w:tcMar>
                    <w:left w:w="28" w:type="dxa"/>
                    <w:right w:w="28" w:type="dxa"/>
                  </w:tcMar>
                  <w:vAlign w:val="center"/>
                </w:tcPr>
                <w:p w14:paraId="520AC3BD">
                  <w:pPr>
                    <w:pStyle w:val="50"/>
                    <w:rPr>
                      <w:color w:val="auto"/>
                      <w:kern w:val="2"/>
                      <w:lang w:val="pt-BR"/>
                    </w:rPr>
                  </w:pPr>
                  <w:r>
                    <w:rPr>
                      <w:color w:val="auto"/>
                    </w:rPr>
                    <w:t>/</w:t>
                  </w:r>
                </w:p>
              </w:tc>
              <w:tc>
                <w:tcPr>
                  <w:tcW w:w="850" w:type="dxa"/>
                  <w:tcMar>
                    <w:left w:w="28" w:type="dxa"/>
                    <w:right w:w="28" w:type="dxa"/>
                  </w:tcMar>
                  <w:vAlign w:val="center"/>
                </w:tcPr>
                <w:p w14:paraId="520AC3BE">
                  <w:pPr>
                    <w:pStyle w:val="50"/>
                    <w:rPr>
                      <w:color w:val="auto"/>
                      <w:kern w:val="2"/>
                      <w:lang w:val="pt-BR"/>
                    </w:rPr>
                  </w:pPr>
                  <w:r>
                    <w:rPr>
                      <w:color w:val="auto"/>
                    </w:rPr>
                    <w:t>/</w:t>
                  </w:r>
                </w:p>
              </w:tc>
              <w:tc>
                <w:tcPr>
                  <w:tcW w:w="992" w:type="dxa"/>
                  <w:vAlign w:val="center"/>
                </w:tcPr>
                <w:p w14:paraId="520AC3BF">
                  <w:pPr>
                    <w:jc w:val="center"/>
                    <w:rPr>
                      <w:szCs w:val="21"/>
                      <w:lang w:val="pt-BR"/>
                    </w:rPr>
                  </w:pPr>
                  <w:r>
                    <w:t>0.0111</w:t>
                  </w:r>
                </w:p>
              </w:tc>
              <w:tc>
                <w:tcPr>
                  <w:tcW w:w="851" w:type="dxa"/>
                  <w:tcMar>
                    <w:left w:w="28" w:type="dxa"/>
                    <w:right w:w="28" w:type="dxa"/>
                  </w:tcMar>
                  <w:vAlign w:val="center"/>
                </w:tcPr>
                <w:p w14:paraId="520AC3C0">
                  <w:pPr>
                    <w:jc w:val="center"/>
                    <w:rPr>
                      <w:szCs w:val="21"/>
                      <w:lang w:val="pt-BR"/>
                    </w:rPr>
                  </w:pPr>
                  <w:r>
                    <w:rPr>
                      <w:rFonts w:eastAsia="等线"/>
                      <w:szCs w:val="21"/>
                      <w:lang w:val="pt-BR"/>
                    </w:rPr>
                    <w:t>0</w:t>
                  </w:r>
                </w:p>
              </w:tc>
              <w:tc>
                <w:tcPr>
                  <w:tcW w:w="851" w:type="dxa"/>
                  <w:tcMar>
                    <w:left w:w="28" w:type="dxa"/>
                    <w:right w:w="28" w:type="dxa"/>
                  </w:tcMar>
                  <w:vAlign w:val="center"/>
                </w:tcPr>
                <w:p w14:paraId="520AC3C1">
                  <w:pPr>
                    <w:jc w:val="center"/>
                    <w:rPr>
                      <w:szCs w:val="21"/>
                      <w:lang w:val="pt-BR"/>
                    </w:rPr>
                  </w:pPr>
                  <w:r>
                    <w:rPr>
                      <w:rFonts w:eastAsia="等线"/>
                      <w:szCs w:val="21"/>
                      <w:lang w:val="pt-BR"/>
                    </w:rPr>
                    <w:t>0</w:t>
                  </w:r>
                </w:p>
              </w:tc>
              <w:tc>
                <w:tcPr>
                  <w:tcW w:w="1159" w:type="dxa"/>
                  <w:tcMar>
                    <w:left w:w="28" w:type="dxa"/>
                    <w:right w:w="28" w:type="dxa"/>
                  </w:tcMar>
                  <w:vAlign w:val="center"/>
                </w:tcPr>
                <w:p w14:paraId="520AC3C2">
                  <w:pPr>
                    <w:jc w:val="center"/>
                    <w:rPr>
                      <w:szCs w:val="21"/>
                      <w:lang w:val="pt-BR"/>
                    </w:rPr>
                  </w:pPr>
                  <w:r>
                    <w:rPr>
                      <w:rFonts w:eastAsia="等线"/>
                      <w:szCs w:val="21"/>
                    </w:rPr>
                    <w:t>0.0111</w:t>
                  </w:r>
                </w:p>
              </w:tc>
              <w:tc>
                <w:tcPr>
                  <w:tcW w:w="925" w:type="dxa"/>
                  <w:tcMar>
                    <w:left w:w="28" w:type="dxa"/>
                    <w:right w:w="28" w:type="dxa"/>
                  </w:tcMar>
                  <w:vAlign w:val="center"/>
                </w:tcPr>
                <w:p w14:paraId="520AC3C3">
                  <w:pPr>
                    <w:jc w:val="center"/>
                    <w:rPr>
                      <w:szCs w:val="21"/>
                      <w:lang w:val="pt-BR"/>
                    </w:rPr>
                  </w:pPr>
                  <w:r>
                    <w:rPr>
                      <w:rFonts w:eastAsia="等线"/>
                      <w:szCs w:val="21"/>
                      <w:lang w:val="pt-BR"/>
                    </w:rPr>
                    <w:t>0</w:t>
                  </w:r>
                </w:p>
              </w:tc>
            </w:tr>
            <w:tr w14:paraId="520AC3C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7974" w:type="dxa"/>
                  <w:gridSpan w:val="9"/>
                  <w:tcMar>
                    <w:left w:w="28" w:type="dxa"/>
                    <w:right w:w="28" w:type="dxa"/>
                  </w:tcMar>
                  <w:vAlign w:val="center"/>
                </w:tcPr>
                <w:p w14:paraId="520AC3C5">
                  <w:pPr>
                    <w:widowControl/>
                    <w:jc w:val="center"/>
                    <w:rPr>
                      <w:rFonts w:eastAsia="等线"/>
                      <w:szCs w:val="21"/>
                      <w:lang w:val="pt-BR"/>
                    </w:rPr>
                  </w:pPr>
                  <w:r>
                    <w:rPr>
                      <w:rFonts w:hint="eastAsia" w:ascii="宋体" w:hAnsi="宋体"/>
                      <w:b/>
                      <w:bCs/>
                      <w:szCs w:val="21"/>
                    </w:rPr>
                    <w:t>解放路厂区</w:t>
                  </w:r>
                </w:p>
              </w:tc>
            </w:tr>
            <w:tr w14:paraId="520AC3D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restart"/>
                  <w:tcMar>
                    <w:left w:w="28" w:type="dxa"/>
                    <w:right w:w="28" w:type="dxa"/>
                  </w:tcMar>
                  <w:vAlign w:val="center"/>
                </w:tcPr>
                <w:p w14:paraId="520AC3C7">
                  <w:pPr>
                    <w:widowControl/>
                    <w:jc w:val="center"/>
                    <w:rPr>
                      <w:kern w:val="0"/>
                      <w:szCs w:val="21"/>
                    </w:rPr>
                  </w:pPr>
                  <w:r>
                    <w:rPr>
                      <w:kern w:val="0"/>
                      <w:szCs w:val="21"/>
                    </w:rPr>
                    <w:t>废水</w:t>
                  </w:r>
                  <w:r>
                    <w:rPr>
                      <w:rFonts w:hint="eastAsia"/>
                      <w:szCs w:val="21"/>
                    </w:rPr>
                    <w:t>（排环境）</w:t>
                  </w:r>
                </w:p>
              </w:tc>
              <w:tc>
                <w:tcPr>
                  <w:tcW w:w="975" w:type="dxa"/>
                  <w:tcMar>
                    <w:left w:w="28" w:type="dxa"/>
                    <w:right w:w="28" w:type="dxa"/>
                  </w:tcMar>
                  <w:vAlign w:val="center"/>
                </w:tcPr>
                <w:p w14:paraId="520AC3C8">
                  <w:pPr>
                    <w:jc w:val="center"/>
                    <w:rPr>
                      <w:szCs w:val="21"/>
                    </w:rPr>
                  </w:pPr>
                  <w:r>
                    <w:rPr>
                      <w:rFonts w:hint="eastAsia"/>
                      <w:szCs w:val="21"/>
                    </w:rPr>
                    <w:t>废水量(m</w:t>
                  </w:r>
                  <w:r>
                    <w:rPr>
                      <w:rFonts w:hint="eastAsia"/>
                      <w:szCs w:val="21"/>
                      <w:vertAlign w:val="superscript"/>
                    </w:rPr>
                    <w:t>3</w:t>
                  </w:r>
                  <w:r>
                    <w:rPr>
                      <w:rFonts w:hint="eastAsia"/>
                      <w:szCs w:val="21"/>
                    </w:rPr>
                    <w:t>/a)</w:t>
                  </w:r>
                </w:p>
              </w:tc>
              <w:tc>
                <w:tcPr>
                  <w:tcW w:w="851" w:type="dxa"/>
                  <w:tcMar>
                    <w:left w:w="28" w:type="dxa"/>
                    <w:right w:w="28" w:type="dxa"/>
                  </w:tcMar>
                  <w:vAlign w:val="center"/>
                </w:tcPr>
                <w:p w14:paraId="520AC3C9">
                  <w:pPr>
                    <w:pStyle w:val="50"/>
                    <w:rPr>
                      <w:color w:val="auto"/>
                    </w:rPr>
                  </w:pPr>
                  <w:r>
                    <w:rPr>
                      <w:rFonts w:hint="eastAsia"/>
                      <w:snapToGrid w:val="0"/>
                      <w:color w:val="auto"/>
                      <w:kern w:val="21"/>
                    </w:rPr>
                    <w:t>51420.5</w:t>
                  </w:r>
                </w:p>
              </w:tc>
              <w:tc>
                <w:tcPr>
                  <w:tcW w:w="850" w:type="dxa"/>
                  <w:tcMar>
                    <w:left w:w="28" w:type="dxa"/>
                    <w:right w:w="28" w:type="dxa"/>
                  </w:tcMar>
                  <w:vAlign w:val="center"/>
                </w:tcPr>
                <w:p w14:paraId="520AC3CA">
                  <w:pPr>
                    <w:pStyle w:val="50"/>
                    <w:rPr>
                      <w:color w:val="auto"/>
                    </w:rPr>
                  </w:pPr>
                  <w:r>
                    <w:rPr>
                      <w:rFonts w:hint="eastAsia"/>
                      <w:snapToGrid w:val="0"/>
                      <w:color w:val="auto"/>
                      <w:kern w:val="21"/>
                    </w:rPr>
                    <w:t>114545.5</w:t>
                  </w:r>
                </w:p>
              </w:tc>
              <w:tc>
                <w:tcPr>
                  <w:tcW w:w="992" w:type="dxa"/>
                  <w:vAlign w:val="center"/>
                </w:tcPr>
                <w:p w14:paraId="520AC3CB">
                  <w:pPr>
                    <w:jc w:val="center"/>
                  </w:pPr>
                  <w:r>
                    <w:rPr>
                      <w:rFonts w:hint="eastAsia"/>
                      <w:snapToGrid w:val="0"/>
                      <w:kern w:val="21"/>
                      <w:szCs w:val="21"/>
                    </w:rPr>
                    <w:t>18</w:t>
                  </w:r>
                </w:p>
              </w:tc>
              <w:tc>
                <w:tcPr>
                  <w:tcW w:w="851" w:type="dxa"/>
                  <w:tcMar>
                    <w:left w:w="28" w:type="dxa"/>
                    <w:right w:w="28" w:type="dxa"/>
                  </w:tcMar>
                  <w:vAlign w:val="center"/>
                </w:tcPr>
                <w:p w14:paraId="520AC3CC">
                  <w:pPr>
                    <w:jc w:val="center"/>
                    <w:rPr>
                      <w:rFonts w:eastAsia="等线"/>
                      <w:szCs w:val="21"/>
                      <w:lang w:val="pt-BR"/>
                    </w:rPr>
                  </w:pPr>
                  <w:r>
                    <w:rPr>
                      <w:rFonts w:hint="eastAsia"/>
                      <w:bCs/>
                      <w:szCs w:val="21"/>
                    </w:rPr>
                    <w:t>0</w:t>
                  </w:r>
                </w:p>
              </w:tc>
              <w:tc>
                <w:tcPr>
                  <w:tcW w:w="851" w:type="dxa"/>
                  <w:tcMar>
                    <w:left w:w="28" w:type="dxa"/>
                    <w:right w:w="28" w:type="dxa"/>
                  </w:tcMar>
                  <w:vAlign w:val="center"/>
                </w:tcPr>
                <w:p w14:paraId="520AC3CD">
                  <w:pPr>
                    <w:jc w:val="center"/>
                    <w:rPr>
                      <w:rFonts w:eastAsia="等线"/>
                      <w:szCs w:val="21"/>
                      <w:lang w:val="pt-BR"/>
                    </w:rPr>
                  </w:pPr>
                  <w:r>
                    <w:rPr>
                      <w:rFonts w:hint="eastAsia"/>
                      <w:bCs/>
                      <w:szCs w:val="21"/>
                    </w:rPr>
                    <w:t>0</w:t>
                  </w:r>
                </w:p>
              </w:tc>
              <w:tc>
                <w:tcPr>
                  <w:tcW w:w="1159" w:type="dxa"/>
                  <w:tcMar>
                    <w:left w:w="28" w:type="dxa"/>
                    <w:right w:w="28" w:type="dxa"/>
                  </w:tcMar>
                  <w:vAlign w:val="center"/>
                </w:tcPr>
                <w:p w14:paraId="520AC3CE">
                  <w:pPr>
                    <w:jc w:val="center"/>
                    <w:rPr>
                      <w:rFonts w:eastAsia="等线"/>
                      <w:szCs w:val="21"/>
                    </w:rPr>
                  </w:pPr>
                  <w:r>
                    <w:rPr>
                      <w:rFonts w:hint="eastAsia"/>
                      <w:bCs/>
                      <w:szCs w:val="21"/>
                    </w:rPr>
                    <w:t>51438.5</w:t>
                  </w:r>
                </w:p>
              </w:tc>
              <w:tc>
                <w:tcPr>
                  <w:tcW w:w="925" w:type="dxa"/>
                  <w:tcMar>
                    <w:left w:w="28" w:type="dxa"/>
                    <w:right w:w="28" w:type="dxa"/>
                  </w:tcMar>
                  <w:vAlign w:val="center"/>
                </w:tcPr>
                <w:p w14:paraId="520AC3CF">
                  <w:pPr>
                    <w:jc w:val="center"/>
                    <w:rPr>
                      <w:rFonts w:eastAsia="等线"/>
                      <w:szCs w:val="21"/>
                      <w:lang w:val="pt-BR"/>
                    </w:rPr>
                  </w:pPr>
                  <w:r>
                    <w:rPr>
                      <w:rFonts w:hint="eastAsia"/>
                      <w:bCs/>
                      <w:szCs w:val="21"/>
                    </w:rPr>
                    <w:t>0</w:t>
                  </w:r>
                </w:p>
              </w:tc>
            </w:tr>
            <w:tr w14:paraId="520AC3D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D1">
                  <w:pPr>
                    <w:widowControl/>
                    <w:jc w:val="center"/>
                    <w:rPr>
                      <w:kern w:val="0"/>
                      <w:szCs w:val="21"/>
                    </w:rPr>
                  </w:pPr>
                </w:p>
              </w:tc>
              <w:tc>
                <w:tcPr>
                  <w:tcW w:w="975" w:type="dxa"/>
                  <w:tcMar>
                    <w:left w:w="28" w:type="dxa"/>
                    <w:right w:w="28" w:type="dxa"/>
                  </w:tcMar>
                  <w:vAlign w:val="center"/>
                </w:tcPr>
                <w:p w14:paraId="520AC3D2">
                  <w:pPr>
                    <w:jc w:val="center"/>
                    <w:rPr>
                      <w:szCs w:val="21"/>
                    </w:rPr>
                  </w:pPr>
                  <w:r>
                    <w:rPr>
                      <w:kern w:val="0"/>
                      <w:szCs w:val="21"/>
                    </w:rPr>
                    <w:t>COD</w:t>
                  </w:r>
                </w:p>
              </w:tc>
              <w:tc>
                <w:tcPr>
                  <w:tcW w:w="851" w:type="dxa"/>
                  <w:tcMar>
                    <w:left w:w="28" w:type="dxa"/>
                    <w:right w:w="28" w:type="dxa"/>
                  </w:tcMar>
                  <w:vAlign w:val="center"/>
                </w:tcPr>
                <w:p w14:paraId="520AC3D3">
                  <w:pPr>
                    <w:pStyle w:val="50"/>
                    <w:rPr>
                      <w:color w:val="auto"/>
                    </w:rPr>
                  </w:pPr>
                  <w:r>
                    <w:rPr>
                      <w:snapToGrid w:val="0"/>
                      <w:color w:val="auto"/>
                      <w:kern w:val="21"/>
                    </w:rPr>
                    <w:t>2.571</w:t>
                  </w:r>
                </w:p>
              </w:tc>
              <w:tc>
                <w:tcPr>
                  <w:tcW w:w="850" w:type="dxa"/>
                  <w:tcMar>
                    <w:left w:w="28" w:type="dxa"/>
                    <w:right w:w="28" w:type="dxa"/>
                  </w:tcMar>
                  <w:vAlign w:val="center"/>
                </w:tcPr>
                <w:p w14:paraId="520AC3D4">
                  <w:pPr>
                    <w:pStyle w:val="50"/>
                    <w:rPr>
                      <w:color w:val="auto"/>
                    </w:rPr>
                  </w:pPr>
                  <w:r>
                    <w:rPr>
                      <w:snapToGrid w:val="0"/>
                      <w:color w:val="auto"/>
                      <w:kern w:val="21"/>
                    </w:rPr>
                    <w:t>4.4734</w:t>
                  </w:r>
                </w:p>
              </w:tc>
              <w:tc>
                <w:tcPr>
                  <w:tcW w:w="992" w:type="dxa"/>
                  <w:vAlign w:val="center"/>
                </w:tcPr>
                <w:p w14:paraId="520AC3D5">
                  <w:pPr>
                    <w:jc w:val="center"/>
                  </w:pPr>
                  <w:r>
                    <w:rPr>
                      <w:rFonts w:hint="eastAsia"/>
                      <w:snapToGrid w:val="0"/>
                      <w:kern w:val="21"/>
                      <w:szCs w:val="21"/>
                    </w:rPr>
                    <w:t>0.0007</w:t>
                  </w:r>
                </w:p>
              </w:tc>
              <w:tc>
                <w:tcPr>
                  <w:tcW w:w="851" w:type="dxa"/>
                  <w:tcMar>
                    <w:left w:w="28" w:type="dxa"/>
                    <w:right w:w="28" w:type="dxa"/>
                  </w:tcMar>
                  <w:vAlign w:val="center"/>
                </w:tcPr>
                <w:p w14:paraId="520AC3D6">
                  <w:pPr>
                    <w:jc w:val="center"/>
                    <w:rPr>
                      <w:rFonts w:eastAsia="等线"/>
                      <w:szCs w:val="21"/>
                      <w:lang w:val="pt-BR"/>
                    </w:rPr>
                  </w:pPr>
                  <w:r>
                    <w:rPr>
                      <w:rFonts w:hint="eastAsia"/>
                      <w:bCs/>
                      <w:szCs w:val="21"/>
                    </w:rPr>
                    <w:t>0</w:t>
                  </w:r>
                </w:p>
              </w:tc>
              <w:tc>
                <w:tcPr>
                  <w:tcW w:w="851" w:type="dxa"/>
                  <w:tcMar>
                    <w:left w:w="28" w:type="dxa"/>
                    <w:right w:w="28" w:type="dxa"/>
                  </w:tcMar>
                  <w:vAlign w:val="center"/>
                </w:tcPr>
                <w:p w14:paraId="520AC3D7">
                  <w:pPr>
                    <w:jc w:val="center"/>
                    <w:rPr>
                      <w:rFonts w:eastAsia="等线"/>
                      <w:szCs w:val="21"/>
                      <w:lang w:val="pt-BR"/>
                    </w:rPr>
                  </w:pPr>
                  <w:r>
                    <w:rPr>
                      <w:rFonts w:hint="eastAsia"/>
                      <w:bCs/>
                      <w:szCs w:val="21"/>
                    </w:rPr>
                    <w:t>0</w:t>
                  </w:r>
                </w:p>
              </w:tc>
              <w:tc>
                <w:tcPr>
                  <w:tcW w:w="1159" w:type="dxa"/>
                  <w:tcMar>
                    <w:left w:w="28" w:type="dxa"/>
                    <w:right w:w="28" w:type="dxa"/>
                  </w:tcMar>
                  <w:vAlign w:val="center"/>
                </w:tcPr>
                <w:p w14:paraId="520AC3D8">
                  <w:pPr>
                    <w:jc w:val="center"/>
                    <w:rPr>
                      <w:rFonts w:eastAsia="等线"/>
                      <w:szCs w:val="21"/>
                    </w:rPr>
                  </w:pPr>
                  <w:r>
                    <w:rPr>
                      <w:rFonts w:hint="eastAsia"/>
                      <w:bCs/>
                      <w:szCs w:val="21"/>
                    </w:rPr>
                    <w:t>2.5717</w:t>
                  </w:r>
                </w:p>
              </w:tc>
              <w:tc>
                <w:tcPr>
                  <w:tcW w:w="925" w:type="dxa"/>
                  <w:tcMar>
                    <w:left w:w="28" w:type="dxa"/>
                    <w:right w:w="28" w:type="dxa"/>
                  </w:tcMar>
                  <w:vAlign w:val="center"/>
                </w:tcPr>
                <w:p w14:paraId="520AC3D9">
                  <w:pPr>
                    <w:jc w:val="center"/>
                    <w:rPr>
                      <w:rFonts w:eastAsia="等线"/>
                      <w:szCs w:val="21"/>
                      <w:lang w:val="pt-BR"/>
                    </w:rPr>
                  </w:pPr>
                  <w:r>
                    <w:rPr>
                      <w:rFonts w:hint="eastAsia"/>
                      <w:bCs/>
                      <w:szCs w:val="21"/>
                    </w:rPr>
                    <w:t>0</w:t>
                  </w:r>
                </w:p>
              </w:tc>
            </w:tr>
            <w:tr w14:paraId="520AC3E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DB">
                  <w:pPr>
                    <w:widowControl/>
                    <w:jc w:val="center"/>
                    <w:rPr>
                      <w:kern w:val="0"/>
                      <w:szCs w:val="21"/>
                    </w:rPr>
                  </w:pPr>
                </w:p>
              </w:tc>
              <w:tc>
                <w:tcPr>
                  <w:tcW w:w="975" w:type="dxa"/>
                  <w:tcMar>
                    <w:left w:w="28" w:type="dxa"/>
                    <w:right w:w="28" w:type="dxa"/>
                  </w:tcMar>
                  <w:vAlign w:val="center"/>
                </w:tcPr>
                <w:p w14:paraId="520AC3DC">
                  <w:pPr>
                    <w:jc w:val="center"/>
                    <w:rPr>
                      <w:szCs w:val="21"/>
                    </w:rPr>
                  </w:pPr>
                  <w:r>
                    <w:rPr>
                      <w:kern w:val="0"/>
                      <w:szCs w:val="21"/>
                    </w:rPr>
                    <w:t>NH</w:t>
                  </w:r>
                  <w:r>
                    <w:rPr>
                      <w:kern w:val="0"/>
                      <w:szCs w:val="21"/>
                      <w:vertAlign w:val="subscript"/>
                    </w:rPr>
                    <w:t>3</w:t>
                  </w:r>
                  <w:r>
                    <w:rPr>
                      <w:kern w:val="0"/>
                      <w:szCs w:val="21"/>
                    </w:rPr>
                    <w:t>-N</w:t>
                  </w:r>
                </w:p>
              </w:tc>
              <w:tc>
                <w:tcPr>
                  <w:tcW w:w="851" w:type="dxa"/>
                  <w:tcMar>
                    <w:left w:w="28" w:type="dxa"/>
                    <w:right w:w="28" w:type="dxa"/>
                  </w:tcMar>
                  <w:vAlign w:val="center"/>
                </w:tcPr>
                <w:p w14:paraId="520AC3DD">
                  <w:pPr>
                    <w:pStyle w:val="50"/>
                    <w:rPr>
                      <w:color w:val="auto"/>
                    </w:rPr>
                  </w:pPr>
                  <w:r>
                    <w:rPr>
                      <w:snapToGrid w:val="0"/>
                      <w:color w:val="auto"/>
                      <w:kern w:val="21"/>
                    </w:rPr>
                    <w:t>0.2571</w:t>
                  </w:r>
                </w:p>
              </w:tc>
              <w:tc>
                <w:tcPr>
                  <w:tcW w:w="850" w:type="dxa"/>
                  <w:tcMar>
                    <w:left w:w="28" w:type="dxa"/>
                    <w:right w:w="28" w:type="dxa"/>
                  </w:tcMar>
                  <w:vAlign w:val="center"/>
                </w:tcPr>
                <w:p w14:paraId="520AC3DE">
                  <w:pPr>
                    <w:pStyle w:val="50"/>
                    <w:rPr>
                      <w:color w:val="auto"/>
                    </w:rPr>
                  </w:pPr>
                  <w:r>
                    <w:rPr>
                      <w:snapToGrid w:val="0"/>
                      <w:color w:val="auto"/>
                      <w:kern w:val="21"/>
                    </w:rPr>
                    <w:t>0.5735</w:t>
                  </w:r>
                </w:p>
              </w:tc>
              <w:tc>
                <w:tcPr>
                  <w:tcW w:w="992" w:type="dxa"/>
                  <w:vAlign w:val="center"/>
                </w:tcPr>
                <w:p w14:paraId="520AC3DF">
                  <w:pPr>
                    <w:jc w:val="center"/>
                  </w:pPr>
                  <w:r>
                    <w:rPr>
                      <w:rFonts w:hint="eastAsia"/>
                      <w:snapToGrid w:val="0"/>
                      <w:kern w:val="21"/>
                      <w:szCs w:val="21"/>
                    </w:rPr>
                    <w:t>0.0001</w:t>
                  </w:r>
                </w:p>
              </w:tc>
              <w:tc>
                <w:tcPr>
                  <w:tcW w:w="851" w:type="dxa"/>
                  <w:tcMar>
                    <w:left w:w="28" w:type="dxa"/>
                    <w:right w:w="28" w:type="dxa"/>
                  </w:tcMar>
                  <w:vAlign w:val="center"/>
                </w:tcPr>
                <w:p w14:paraId="520AC3E0">
                  <w:pPr>
                    <w:jc w:val="center"/>
                    <w:rPr>
                      <w:rFonts w:eastAsia="等线"/>
                      <w:szCs w:val="21"/>
                      <w:lang w:val="pt-BR"/>
                    </w:rPr>
                  </w:pPr>
                  <w:r>
                    <w:rPr>
                      <w:rFonts w:hint="eastAsia"/>
                      <w:bCs/>
                      <w:szCs w:val="21"/>
                    </w:rPr>
                    <w:t>0</w:t>
                  </w:r>
                </w:p>
              </w:tc>
              <w:tc>
                <w:tcPr>
                  <w:tcW w:w="851" w:type="dxa"/>
                  <w:tcMar>
                    <w:left w:w="28" w:type="dxa"/>
                    <w:right w:w="28" w:type="dxa"/>
                  </w:tcMar>
                  <w:vAlign w:val="center"/>
                </w:tcPr>
                <w:p w14:paraId="520AC3E1">
                  <w:pPr>
                    <w:jc w:val="center"/>
                    <w:rPr>
                      <w:rFonts w:eastAsia="等线"/>
                      <w:szCs w:val="21"/>
                      <w:lang w:val="pt-BR"/>
                    </w:rPr>
                  </w:pPr>
                  <w:r>
                    <w:rPr>
                      <w:rFonts w:hint="eastAsia"/>
                      <w:bCs/>
                      <w:szCs w:val="21"/>
                    </w:rPr>
                    <w:t>0</w:t>
                  </w:r>
                </w:p>
              </w:tc>
              <w:tc>
                <w:tcPr>
                  <w:tcW w:w="1159" w:type="dxa"/>
                  <w:tcMar>
                    <w:left w:w="28" w:type="dxa"/>
                    <w:right w:w="28" w:type="dxa"/>
                  </w:tcMar>
                  <w:vAlign w:val="center"/>
                </w:tcPr>
                <w:p w14:paraId="520AC3E2">
                  <w:pPr>
                    <w:jc w:val="center"/>
                    <w:rPr>
                      <w:rFonts w:eastAsia="等线"/>
                      <w:szCs w:val="21"/>
                    </w:rPr>
                  </w:pPr>
                  <w:r>
                    <w:rPr>
                      <w:rFonts w:hint="eastAsia"/>
                      <w:bCs/>
                      <w:szCs w:val="21"/>
                    </w:rPr>
                    <w:t>0.2572</w:t>
                  </w:r>
                </w:p>
              </w:tc>
              <w:tc>
                <w:tcPr>
                  <w:tcW w:w="925" w:type="dxa"/>
                  <w:tcMar>
                    <w:left w:w="28" w:type="dxa"/>
                    <w:right w:w="28" w:type="dxa"/>
                  </w:tcMar>
                  <w:vAlign w:val="center"/>
                </w:tcPr>
                <w:p w14:paraId="520AC3E3">
                  <w:pPr>
                    <w:jc w:val="center"/>
                    <w:rPr>
                      <w:rFonts w:eastAsia="等线"/>
                      <w:szCs w:val="21"/>
                      <w:lang w:val="pt-BR"/>
                    </w:rPr>
                  </w:pPr>
                  <w:r>
                    <w:rPr>
                      <w:rFonts w:hint="eastAsia"/>
                      <w:bCs/>
                      <w:szCs w:val="21"/>
                    </w:rPr>
                    <w:t>0</w:t>
                  </w:r>
                </w:p>
              </w:tc>
            </w:tr>
            <w:tr w14:paraId="520AC3E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E5">
                  <w:pPr>
                    <w:widowControl/>
                    <w:jc w:val="center"/>
                    <w:rPr>
                      <w:kern w:val="0"/>
                      <w:szCs w:val="21"/>
                    </w:rPr>
                  </w:pPr>
                </w:p>
              </w:tc>
              <w:tc>
                <w:tcPr>
                  <w:tcW w:w="975" w:type="dxa"/>
                  <w:tcMar>
                    <w:left w:w="28" w:type="dxa"/>
                    <w:right w:w="28" w:type="dxa"/>
                  </w:tcMar>
                  <w:vAlign w:val="center"/>
                </w:tcPr>
                <w:p w14:paraId="520AC3E6">
                  <w:pPr>
                    <w:jc w:val="center"/>
                    <w:rPr>
                      <w:szCs w:val="21"/>
                    </w:rPr>
                  </w:pPr>
                  <w:r>
                    <w:rPr>
                      <w:kern w:val="0"/>
                      <w:szCs w:val="21"/>
                    </w:rPr>
                    <w:t>TP</w:t>
                  </w:r>
                </w:p>
              </w:tc>
              <w:tc>
                <w:tcPr>
                  <w:tcW w:w="851" w:type="dxa"/>
                  <w:tcMar>
                    <w:left w:w="28" w:type="dxa"/>
                    <w:right w:w="28" w:type="dxa"/>
                  </w:tcMar>
                  <w:vAlign w:val="center"/>
                </w:tcPr>
                <w:p w14:paraId="520AC3E7">
                  <w:pPr>
                    <w:pStyle w:val="50"/>
                    <w:rPr>
                      <w:color w:val="auto"/>
                    </w:rPr>
                  </w:pPr>
                  <w:r>
                    <w:rPr>
                      <w:snapToGrid w:val="0"/>
                      <w:color w:val="auto"/>
                      <w:kern w:val="21"/>
                    </w:rPr>
                    <w:t>0.0257</w:t>
                  </w:r>
                </w:p>
              </w:tc>
              <w:tc>
                <w:tcPr>
                  <w:tcW w:w="850" w:type="dxa"/>
                  <w:tcMar>
                    <w:left w:w="28" w:type="dxa"/>
                    <w:right w:w="28" w:type="dxa"/>
                  </w:tcMar>
                  <w:vAlign w:val="center"/>
                </w:tcPr>
                <w:p w14:paraId="520AC3E8">
                  <w:pPr>
                    <w:pStyle w:val="50"/>
                    <w:rPr>
                      <w:color w:val="auto"/>
                    </w:rPr>
                  </w:pPr>
                  <w:r>
                    <w:rPr>
                      <w:snapToGrid w:val="0"/>
                      <w:color w:val="auto"/>
                      <w:kern w:val="21"/>
                    </w:rPr>
                    <w:t>0.0401</w:t>
                  </w:r>
                </w:p>
              </w:tc>
              <w:tc>
                <w:tcPr>
                  <w:tcW w:w="992" w:type="dxa"/>
                  <w:vAlign w:val="center"/>
                </w:tcPr>
                <w:p w14:paraId="520AC3E9">
                  <w:pPr>
                    <w:jc w:val="center"/>
                  </w:pPr>
                  <w:r>
                    <w:rPr>
                      <w:rFonts w:hint="eastAsia"/>
                      <w:snapToGrid w:val="0"/>
                      <w:kern w:val="21"/>
                      <w:szCs w:val="21"/>
                    </w:rPr>
                    <w:t>/</w:t>
                  </w:r>
                </w:p>
              </w:tc>
              <w:tc>
                <w:tcPr>
                  <w:tcW w:w="851" w:type="dxa"/>
                  <w:tcMar>
                    <w:left w:w="28" w:type="dxa"/>
                    <w:right w:w="28" w:type="dxa"/>
                  </w:tcMar>
                  <w:vAlign w:val="center"/>
                </w:tcPr>
                <w:p w14:paraId="520AC3EA">
                  <w:pPr>
                    <w:jc w:val="center"/>
                    <w:rPr>
                      <w:rFonts w:eastAsia="等线"/>
                      <w:szCs w:val="21"/>
                      <w:lang w:val="pt-BR"/>
                    </w:rPr>
                  </w:pPr>
                  <w:r>
                    <w:rPr>
                      <w:rFonts w:hint="eastAsia"/>
                      <w:bCs/>
                      <w:szCs w:val="21"/>
                    </w:rPr>
                    <w:t>0</w:t>
                  </w:r>
                </w:p>
              </w:tc>
              <w:tc>
                <w:tcPr>
                  <w:tcW w:w="851" w:type="dxa"/>
                  <w:tcMar>
                    <w:left w:w="28" w:type="dxa"/>
                    <w:right w:w="28" w:type="dxa"/>
                  </w:tcMar>
                  <w:vAlign w:val="center"/>
                </w:tcPr>
                <w:p w14:paraId="520AC3EB">
                  <w:pPr>
                    <w:jc w:val="center"/>
                    <w:rPr>
                      <w:rFonts w:eastAsia="等线"/>
                      <w:szCs w:val="21"/>
                      <w:lang w:val="pt-BR"/>
                    </w:rPr>
                  </w:pPr>
                  <w:r>
                    <w:rPr>
                      <w:rFonts w:hint="eastAsia"/>
                      <w:bCs/>
                      <w:szCs w:val="21"/>
                    </w:rPr>
                    <w:t>0</w:t>
                  </w:r>
                </w:p>
              </w:tc>
              <w:tc>
                <w:tcPr>
                  <w:tcW w:w="1159" w:type="dxa"/>
                  <w:tcMar>
                    <w:left w:w="28" w:type="dxa"/>
                    <w:right w:w="28" w:type="dxa"/>
                  </w:tcMar>
                  <w:vAlign w:val="center"/>
                </w:tcPr>
                <w:p w14:paraId="520AC3EC">
                  <w:pPr>
                    <w:jc w:val="center"/>
                    <w:rPr>
                      <w:rFonts w:eastAsia="等线"/>
                      <w:szCs w:val="21"/>
                    </w:rPr>
                  </w:pPr>
                  <w:r>
                    <w:rPr>
                      <w:rFonts w:hint="eastAsia"/>
                      <w:bCs/>
                      <w:szCs w:val="21"/>
                    </w:rPr>
                    <w:t>0.0257</w:t>
                  </w:r>
                </w:p>
              </w:tc>
              <w:tc>
                <w:tcPr>
                  <w:tcW w:w="925" w:type="dxa"/>
                  <w:tcMar>
                    <w:left w:w="28" w:type="dxa"/>
                    <w:right w:w="28" w:type="dxa"/>
                  </w:tcMar>
                  <w:vAlign w:val="center"/>
                </w:tcPr>
                <w:p w14:paraId="520AC3ED">
                  <w:pPr>
                    <w:jc w:val="center"/>
                    <w:rPr>
                      <w:rFonts w:eastAsia="等线"/>
                      <w:szCs w:val="21"/>
                      <w:lang w:val="pt-BR"/>
                    </w:rPr>
                  </w:pPr>
                  <w:r>
                    <w:rPr>
                      <w:rFonts w:hint="eastAsia"/>
                      <w:bCs/>
                      <w:szCs w:val="21"/>
                    </w:rPr>
                    <w:t>0</w:t>
                  </w:r>
                </w:p>
              </w:tc>
            </w:tr>
            <w:tr w14:paraId="520AC3F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3EF">
                  <w:pPr>
                    <w:widowControl/>
                    <w:jc w:val="center"/>
                    <w:rPr>
                      <w:kern w:val="0"/>
                      <w:szCs w:val="21"/>
                    </w:rPr>
                  </w:pPr>
                </w:p>
              </w:tc>
              <w:tc>
                <w:tcPr>
                  <w:tcW w:w="975" w:type="dxa"/>
                  <w:tcMar>
                    <w:left w:w="28" w:type="dxa"/>
                    <w:right w:w="28" w:type="dxa"/>
                  </w:tcMar>
                  <w:vAlign w:val="center"/>
                </w:tcPr>
                <w:p w14:paraId="520AC3F0">
                  <w:pPr>
                    <w:jc w:val="center"/>
                    <w:rPr>
                      <w:szCs w:val="21"/>
                    </w:rPr>
                  </w:pPr>
                  <w:r>
                    <w:rPr>
                      <w:kern w:val="0"/>
                      <w:szCs w:val="21"/>
                    </w:rPr>
                    <w:t>TN</w:t>
                  </w:r>
                </w:p>
              </w:tc>
              <w:tc>
                <w:tcPr>
                  <w:tcW w:w="851" w:type="dxa"/>
                  <w:tcMar>
                    <w:left w:w="28" w:type="dxa"/>
                    <w:right w:w="28" w:type="dxa"/>
                  </w:tcMar>
                  <w:vAlign w:val="center"/>
                </w:tcPr>
                <w:p w14:paraId="520AC3F1">
                  <w:pPr>
                    <w:pStyle w:val="50"/>
                    <w:rPr>
                      <w:color w:val="auto"/>
                    </w:rPr>
                  </w:pPr>
                  <w:r>
                    <w:rPr>
                      <w:snapToGrid w:val="0"/>
                      <w:color w:val="auto"/>
                      <w:kern w:val="21"/>
                    </w:rPr>
                    <w:t>0.7713</w:t>
                  </w:r>
                </w:p>
              </w:tc>
              <w:tc>
                <w:tcPr>
                  <w:tcW w:w="850" w:type="dxa"/>
                  <w:tcMar>
                    <w:left w:w="28" w:type="dxa"/>
                    <w:right w:w="28" w:type="dxa"/>
                  </w:tcMar>
                  <w:vAlign w:val="center"/>
                </w:tcPr>
                <w:p w14:paraId="520AC3F2">
                  <w:pPr>
                    <w:pStyle w:val="50"/>
                    <w:rPr>
                      <w:color w:val="auto"/>
                    </w:rPr>
                  </w:pPr>
                  <w:r>
                    <w:rPr>
                      <w:snapToGrid w:val="0"/>
                      <w:color w:val="auto"/>
                      <w:kern w:val="21"/>
                    </w:rPr>
                    <w:t>1.4567</w:t>
                  </w:r>
                </w:p>
              </w:tc>
              <w:tc>
                <w:tcPr>
                  <w:tcW w:w="992" w:type="dxa"/>
                  <w:vAlign w:val="center"/>
                </w:tcPr>
                <w:p w14:paraId="520AC3F3">
                  <w:pPr>
                    <w:jc w:val="center"/>
                  </w:pPr>
                  <w:r>
                    <w:rPr>
                      <w:rFonts w:hint="eastAsia"/>
                      <w:snapToGrid w:val="0"/>
                      <w:kern w:val="21"/>
                      <w:szCs w:val="21"/>
                    </w:rPr>
                    <w:t>0.0002</w:t>
                  </w:r>
                </w:p>
              </w:tc>
              <w:tc>
                <w:tcPr>
                  <w:tcW w:w="851" w:type="dxa"/>
                  <w:tcMar>
                    <w:left w:w="28" w:type="dxa"/>
                    <w:right w:w="28" w:type="dxa"/>
                  </w:tcMar>
                  <w:vAlign w:val="center"/>
                </w:tcPr>
                <w:p w14:paraId="520AC3F4">
                  <w:pPr>
                    <w:jc w:val="center"/>
                    <w:rPr>
                      <w:rFonts w:eastAsia="等线"/>
                      <w:szCs w:val="21"/>
                      <w:lang w:val="pt-BR"/>
                    </w:rPr>
                  </w:pPr>
                  <w:r>
                    <w:rPr>
                      <w:rFonts w:hint="eastAsia"/>
                      <w:bCs/>
                      <w:szCs w:val="21"/>
                    </w:rPr>
                    <w:t>0</w:t>
                  </w:r>
                </w:p>
              </w:tc>
              <w:tc>
                <w:tcPr>
                  <w:tcW w:w="851" w:type="dxa"/>
                  <w:tcMar>
                    <w:left w:w="28" w:type="dxa"/>
                    <w:right w:w="28" w:type="dxa"/>
                  </w:tcMar>
                  <w:vAlign w:val="center"/>
                </w:tcPr>
                <w:p w14:paraId="520AC3F5">
                  <w:pPr>
                    <w:jc w:val="center"/>
                    <w:rPr>
                      <w:rFonts w:eastAsia="等线"/>
                      <w:szCs w:val="21"/>
                      <w:lang w:val="pt-BR"/>
                    </w:rPr>
                  </w:pPr>
                  <w:r>
                    <w:rPr>
                      <w:rFonts w:hint="eastAsia"/>
                      <w:bCs/>
                      <w:szCs w:val="21"/>
                    </w:rPr>
                    <w:t>0</w:t>
                  </w:r>
                </w:p>
              </w:tc>
              <w:tc>
                <w:tcPr>
                  <w:tcW w:w="1159" w:type="dxa"/>
                  <w:tcMar>
                    <w:left w:w="28" w:type="dxa"/>
                    <w:right w:w="28" w:type="dxa"/>
                  </w:tcMar>
                  <w:vAlign w:val="center"/>
                </w:tcPr>
                <w:p w14:paraId="520AC3F6">
                  <w:pPr>
                    <w:jc w:val="center"/>
                    <w:rPr>
                      <w:rFonts w:eastAsia="等线"/>
                      <w:szCs w:val="21"/>
                    </w:rPr>
                  </w:pPr>
                  <w:r>
                    <w:rPr>
                      <w:rFonts w:hint="eastAsia"/>
                      <w:bCs/>
                      <w:szCs w:val="21"/>
                    </w:rPr>
                    <w:t>0.7715</w:t>
                  </w:r>
                </w:p>
              </w:tc>
              <w:tc>
                <w:tcPr>
                  <w:tcW w:w="925" w:type="dxa"/>
                  <w:tcMar>
                    <w:left w:w="28" w:type="dxa"/>
                    <w:right w:w="28" w:type="dxa"/>
                  </w:tcMar>
                  <w:vAlign w:val="center"/>
                </w:tcPr>
                <w:p w14:paraId="520AC3F7">
                  <w:pPr>
                    <w:jc w:val="center"/>
                    <w:rPr>
                      <w:rFonts w:eastAsia="等线"/>
                      <w:szCs w:val="21"/>
                      <w:lang w:val="pt-BR"/>
                    </w:rPr>
                  </w:pPr>
                  <w:r>
                    <w:rPr>
                      <w:rFonts w:hint="eastAsia"/>
                      <w:bCs/>
                      <w:szCs w:val="21"/>
                    </w:rPr>
                    <w:t>0</w:t>
                  </w:r>
                </w:p>
              </w:tc>
            </w:tr>
            <w:tr w14:paraId="520AC40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restart"/>
                  <w:tcMar>
                    <w:left w:w="28" w:type="dxa"/>
                    <w:right w:w="28" w:type="dxa"/>
                  </w:tcMar>
                  <w:vAlign w:val="center"/>
                </w:tcPr>
                <w:p w14:paraId="520AC3F9">
                  <w:pPr>
                    <w:widowControl/>
                    <w:jc w:val="center"/>
                    <w:rPr>
                      <w:kern w:val="0"/>
                      <w:szCs w:val="21"/>
                    </w:rPr>
                  </w:pPr>
                  <w:r>
                    <w:rPr>
                      <w:kern w:val="0"/>
                      <w:szCs w:val="21"/>
                    </w:rPr>
                    <w:t>废气</w:t>
                  </w:r>
                </w:p>
              </w:tc>
              <w:tc>
                <w:tcPr>
                  <w:tcW w:w="975" w:type="dxa"/>
                  <w:tcMar>
                    <w:left w:w="28" w:type="dxa"/>
                    <w:right w:w="28" w:type="dxa"/>
                  </w:tcMar>
                  <w:vAlign w:val="center"/>
                </w:tcPr>
                <w:p w14:paraId="520AC3FA">
                  <w:pPr>
                    <w:jc w:val="center"/>
                    <w:rPr>
                      <w:szCs w:val="21"/>
                    </w:rPr>
                  </w:pPr>
                  <w:r>
                    <w:rPr>
                      <w:szCs w:val="21"/>
                    </w:rPr>
                    <w:t>铬酸雾</w:t>
                  </w:r>
                </w:p>
              </w:tc>
              <w:tc>
                <w:tcPr>
                  <w:tcW w:w="851" w:type="dxa"/>
                  <w:tcMar>
                    <w:left w:w="28" w:type="dxa"/>
                    <w:right w:w="28" w:type="dxa"/>
                  </w:tcMar>
                  <w:vAlign w:val="center"/>
                </w:tcPr>
                <w:p w14:paraId="520AC3FB">
                  <w:pPr>
                    <w:pStyle w:val="50"/>
                    <w:rPr>
                      <w:color w:val="auto"/>
                    </w:rPr>
                  </w:pPr>
                  <w:r>
                    <w:rPr>
                      <w:rFonts w:eastAsia="等线"/>
                      <w:color w:val="auto"/>
                    </w:rPr>
                    <w:t>0.00</w:t>
                  </w:r>
                  <w:r>
                    <w:rPr>
                      <w:rFonts w:hint="eastAsia" w:eastAsia="等线"/>
                      <w:color w:val="auto"/>
                    </w:rPr>
                    <w:t>79</w:t>
                  </w:r>
                </w:p>
              </w:tc>
              <w:tc>
                <w:tcPr>
                  <w:tcW w:w="850" w:type="dxa"/>
                  <w:tcMar>
                    <w:left w:w="28" w:type="dxa"/>
                    <w:right w:w="28" w:type="dxa"/>
                  </w:tcMar>
                  <w:vAlign w:val="center"/>
                </w:tcPr>
                <w:p w14:paraId="520AC3FC">
                  <w:pPr>
                    <w:pStyle w:val="50"/>
                    <w:rPr>
                      <w:color w:val="auto"/>
                    </w:rPr>
                  </w:pPr>
                  <w:r>
                    <w:rPr>
                      <w:rFonts w:eastAsia="等线"/>
                      <w:color w:val="auto"/>
                    </w:rPr>
                    <w:t>0.00</w:t>
                  </w:r>
                  <w:r>
                    <w:rPr>
                      <w:rFonts w:hint="eastAsia" w:eastAsia="等线"/>
                      <w:color w:val="auto"/>
                    </w:rPr>
                    <w:t>79</w:t>
                  </w:r>
                </w:p>
              </w:tc>
              <w:tc>
                <w:tcPr>
                  <w:tcW w:w="992" w:type="dxa"/>
                  <w:vAlign w:val="center"/>
                </w:tcPr>
                <w:p w14:paraId="520AC3FD">
                  <w:pPr>
                    <w:jc w:val="center"/>
                  </w:pPr>
                  <w:r>
                    <w:rPr>
                      <w:rFonts w:hint="eastAsia"/>
                    </w:rPr>
                    <w:t>/</w:t>
                  </w:r>
                </w:p>
              </w:tc>
              <w:tc>
                <w:tcPr>
                  <w:tcW w:w="851" w:type="dxa"/>
                  <w:tcMar>
                    <w:left w:w="28" w:type="dxa"/>
                    <w:right w:w="28" w:type="dxa"/>
                  </w:tcMar>
                  <w:vAlign w:val="center"/>
                </w:tcPr>
                <w:p w14:paraId="520AC3FE">
                  <w:pPr>
                    <w:jc w:val="center"/>
                    <w:rPr>
                      <w:rFonts w:eastAsia="等线"/>
                      <w:szCs w:val="21"/>
                      <w:lang w:val="pt-BR"/>
                    </w:rPr>
                  </w:pPr>
                  <w:r>
                    <w:rPr>
                      <w:szCs w:val="21"/>
                    </w:rPr>
                    <w:t>0</w:t>
                  </w:r>
                </w:p>
              </w:tc>
              <w:tc>
                <w:tcPr>
                  <w:tcW w:w="851" w:type="dxa"/>
                  <w:tcMar>
                    <w:left w:w="28" w:type="dxa"/>
                    <w:right w:w="28" w:type="dxa"/>
                  </w:tcMar>
                  <w:vAlign w:val="center"/>
                </w:tcPr>
                <w:p w14:paraId="520AC3FF">
                  <w:pPr>
                    <w:jc w:val="center"/>
                    <w:rPr>
                      <w:rFonts w:eastAsia="等线"/>
                      <w:szCs w:val="21"/>
                      <w:lang w:val="pt-BR"/>
                    </w:rPr>
                  </w:pPr>
                  <w:r>
                    <w:rPr>
                      <w:szCs w:val="21"/>
                    </w:rPr>
                    <w:t>0</w:t>
                  </w:r>
                </w:p>
              </w:tc>
              <w:tc>
                <w:tcPr>
                  <w:tcW w:w="1159" w:type="dxa"/>
                  <w:tcMar>
                    <w:left w:w="28" w:type="dxa"/>
                    <w:right w:w="28" w:type="dxa"/>
                  </w:tcMar>
                  <w:vAlign w:val="center"/>
                </w:tcPr>
                <w:p w14:paraId="520AC400">
                  <w:pPr>
                    <w:jc w:val="center"/>
                    <w:rPr>
                      <w:rFonts w:eastAsia="等线"/>
                      <w:szCs w:val="21"/>
                    </w:rPr>
                  </w:pPr>
                  <w:r>
                    <w:rPr>
                      <w:rFonts w:eastAsia="等线"/>
                      <w:szCs w:val="21"/>
                    </w:rPr>
                    <w:t>0.00</w:t>
                  </w:r>
                  <w:r>
                    <w:rPr>
                      <w:rFonts w:hint="eastAsia" w:eastAsia="等线"/>
                      <w:szCs w:val="21"/>
                    </w:rPr>
                    <w:t>79</w:t>
                  </w:r>
                </w:p>
              </w:tc>
              <w:tc>
                <w:tcPr>
                  <w:tcW w:w="925" w:type="dxa"/>
                  <w:tcMar>
                    <w:left w:w="28" w:type="dxa"/>
                    <w:right w:w="28" w:type="dxa"/>
                  </w:tcMar>
                  <w:vAlign w:val="center"/>
                </w:tcPr>
                <w:p w14:paraId="520AC401">
                  <w:pPr>
                    <w:jc w:val="center"/>
                    <w:rPr>
                      <w:rFonts w:eastAsia="等线"/>
                      <w:szCs w:val="21"/>
                      <w:lang w:val="pt-BR"/>
                    </w:rPr>
                  </w:pPr>
                  <w:r>
                    <w:rPr>
                      <w:szCs w:val="21"/>
                    </w:rPr>
                    <w:t>0</w:t>
                  </w:r>
                </w:p>
              </w:tc>
            </w:tr>
            <w:tr w14:paraId="520AC40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403">
                  <w:pPr>
                    <w:widowControl/>
                    <w:jc w:val="center"/>
                    <w:rPr>
                      <w:kern w:val="0"/>
                      <w:szCs w:val="21"/>
                    </w:rPr>
                  </w:pPr>
                </w:p>
              </w:tc>
              <w:tc>
                <w:tcPr>
                  <w:tcW w:w="975" w:type="dxa"/>
                  <w:tcMar>
                    <w:left w:w="28" w:type="dxa"/>
                    <w:right w:w="28" w:type="dxa"/>
                  </w:tcMar>
                  <w:vAlign w:val="center"/>
                </w:tcPr>
                <w:p w14:paraId="520AC404">
                  <w:pPr>
                    <w:jc w:val="center"/>
                    <w:rPr>
                      <w:szCs w:val="21"/>
                    </w:rPr>
                  </w:pPr>
                  <w:r>
                    <w:rPr>
                      <w:szCs w:val="21"/>
                    </w:rPr>
                    <w:t>硫酸雾</w:t>
                  </w:r>
                </w:p>
              </w:tc>
              <w:tc>
                <w:tcPr>
                  <w:tcW w:w="851" w:type="dxa"/>
                  <w:tcMar>
                    <w:left w:w="28" w:type="dxa"/>
                    <w:right w:w="28" w:type="dxa"/>
                  </w:tcMar>
                  <w:vAlign w:val="center"/>
                </w:tcPr>
                <w:p w14:paraId="520AC405">
                  <w:pPr>
                    <w:pStyle w:val="50"/>
                    <w:rPr>
                      <w:color w:val="auto"/>
                    </w:rPr>
                  </w:pPr>
                  <w:r>
                    <w:rPr>
                      <w:rFonts w:hint="eastAsia" w:eastAsia="等线"/>
                      <w:color w:val="auto"/>
                      <w:lang w:val="zh-CN"/>
                    </w:rPr>
                    <w:t>2.243</w:t>
                  </w:r>
                </w:p>
              </w:tc>
              <w:tc>
                <w:tcPr>
                  <w:tcW w:w="850" w:type="dxa"/>
                  <w:tcMar>
                    <w:left w:w="28" w:type="dxa"/>
                    <w:right w:w="28" w:type="dxa"/>
                  </w:tcMar>
                  <w:vAlign w:val="center"/>
                </w:tcPr>
                <w:p w14:paraId="520AC406">
                  <w:pPr>
                    <w:pStyle w:val="50"/>
                    <w:rPr>
                      <w:color w:val="auto"/>
                    </w:rPr>
                  </w:pPr>
                  <w:r>
                    <w:rPr>
                      <w:rFonts w:hint="eastAsia" w:eastAsia="等线"/>
                      <w:color w:val="auto"/>
                      <w:lang w:val="zh-CN"/>
                    </w:rPr>
                    <w:t>2.243</w:t>
                  </w:r>
                </w:p>
              </w:tc>
              <w:tc>
                <w:tcPr>
                  <w:tcW w:w="992" w:type="dxa"/>
                  <w:vAlign w:val="center"/>
                </w:tcPr>
                <w:p w14:paraId="520AC407">
                  <w:pPr>
                    <w:jc w:val="center"/>
                  </w:pPr>
                  <w:r>
                    <w:rPr>
                      <w:rFonts w:hint="eastAsia"/>
                      <w:kern w:val="0"/>
                      <w:szCs w:val="21"/>
                      <w:lang w:val="zh-CN"/>
                    </w:rPr>
                    <w:t>/</w:t>
                  </w:r>
                </w:p>
              </w:tc>
              <w:tc>
                <w:tcPr>
                  <w:tcW w:w="851" w:type="dxa"/>
                  <w:tcMar>
                    <w:left w:w="28" w:type="dxa"/>
                    <w:right w:w="28" w:type="dxa"/>
                  </w:tcMar>
                  <w:vAlign w:val="center"/>
                </w:tcPr>
                <w:p w14:paraId="520AC408">
                  <w:pPr>
                    <w:jc w:val="center"/>
                    <w:rPr>
                      <w:rFonts w:eastAsia="等线"/>
                      <w:szCs w:val="21"/>
                      <w:lang w:val="pt-BR"/>
                    </w:rPr>
                  </w:pPr>
                  <w:r>
                    <w:rPr>
                      <w:szCs w:val="21"/>
                    </w:rPr>
                    <w:t>0</w:t>
                  </w:r>
                </w:p>
              </w:tc>
              <w:tc>
                <w:tcPr>
                  <w:tcW w:w="851" w:type="dxa"/>
                  <w:tcMar>
                    <w:left w:w="28" w:type="dxa"/>
                    <w:right w:w="28" w:type="dxa"/>
                  </w:tcMar>
                  <w:vAlign w:val="center"/>
                </w:tcPr>
                <w:p w14:paraId="520AC409">
                  <w:pPr>
                    <w:jc w:val="center"/>
                    <w:rPr>
                      <w:rFonts w:eastAsia="等线"/>
                      <w:szCs w:val="21"/>
                      <w:lang w:val="pt-BR"/>
                    </w:rPr>
                  </w:pPr>
                  <w:r>
                    <w:rPr>
                      <w:szCs w:val="21"/>
                    </w:rPr>
                    <w:t>0</w:t>
                  </w:r>
                </w:p>
              </w:tc>
              <w:tc>
                <w:tcPr>
                  <w:tcW w:w="1159" w:type="dxa"/>
                  <w:tcMar>
                    <w:left w:w="28" w:type="dxa"/>
                    <w:right w:w="28" w:type="dxa"/>
                  </w:tcMar>
                  <w:vAlign w:val="center"/>
                </w:tcPr>
                <w:p w14:paraId="520AC40A">
                  <w:pPr>
                    <w:jc w:val="center"/>
                    <w:rPr>
                      <w:rFonts w:eastAsia="等线"/>
                      <w:szCs w:val="21"/>
                    </w:rPr>
                  </w:pPr>
                  <w:r>
                    <w:rPr>
                      <w:rFonts w:hint="eastAsia" w:eastAsia="等线"/>
                      <w:kern w:val="0"/>
                      <w:szCs w:val="21"/>
                      <w:lang w:val="zh-CN"/>
                    </w:rPr>
                    <w:t>2.243</w:t>
                  </w:r>
                </w:p>
              </w:tc>
              <w:tc>
                <w:tcPr>
                  <w:tcW w:w="925" w:type="dxa"/>
                  <w:tcMar>
                    <w:left w:w="28" w:type="dxa"/>
                    <w:right w:w="28" w:type="dxa"/>
                  </w:tcMar>
                  <w:vAlign w:val="center"/>
                </w:tcPr>
                <w:p w14:paraId="520AC40B">
                  <w:pPr>
                    <w:jc w:val="center"/>
                    <w:rPr>
                      <w:rFonts w:eastAsia="等线"/>
                      <w:szCs w:val="21"/>
                      <w:lang w:val="pt-BR"/>
                    </w:rPr>
                  </w:pPr>
                  <w:r>
                    <w:rPr>
                      <w:szCs w:val="21"/>
                    </w:rPr>
                    <w:t>0</w:t>
                  </w:r>
                </w:p>
              </w:tc>
            </w:tr>
            <w:tr w14:paraId="520AC41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40D">
                  <w:pPr>
                    <w:widowControl/>
                    <w:jc w:val="center"/>
                    <w:rPr>
                      <w:kern w:val="0"/>
                      <w:szCs w:val="21"/>
                    </w:rPr>
                  </w:pPr>
                </w:p>
              </w:tc>
              <w:tc>
                <w:tcPr>
                  <w:tcW w:w="975" w:type="dxa"/>
                  <w:tcMar>
                    <w:left w:w="28" w:type="dxa"/>
                    <w:right w:w="28" w:type="dxa"/>
                  </w:tcMar>
                  <w:vAlign w:val="center"/>
                </w:tcPr>
                <w:p w14:paraId="520AC40E">
                  <w:pPr>
                    <w:jc w:val="center"/>
                    <w:rPr>
                      <w:szCs w:val="21"/>
                    </w:rPr>
                  </w:pPr>
                  <w:r>
                    <w:rPr>
                      <w:szCs w:val="21"/>
                    </w:rPr>
                    <w:t>氯化氢</w:t>
                  </w:r>
                </w:p>
              </w:tc>
              <w:tc>
                <w:tcPr>
                  <w:tcW w:w="851" w:type="dxa"/>
                  <w:tcMar>
                    <w:left w:w="28" w:type="dxa"/>
                    <w:right w:w="28" w:type="dxa"/>
                  </w:tcMar>
                  <w:vAlign w:val="center"/>
                </w:tcPr>
                <w:p w14:paraId="520AC40F">
                  <w:pPr>
                    <w:pStyle w:val="50"/>
                    <w:rPr>
                      <w:color w:val="auto"/>
                    </w:rPr>
                  </w:pPr>
                  <w:r>
                    <w:rPr>
                      <w:rFonts w:hint="eastAsia" w:eastAsia="等线"/>
                      <w:color w:val="auto"/>
                      <w:lang w:val="zh-CN"/>
                    </w:rPr>
                    <w:t>0.6769</w:t>
                  </w:r>
                </w:p>
              </w:tc>
              <w:tc>
                <w:tcPr>
                  <w:tcW w:w="850" w:type="dxa"/>
                  <w:tcMar>
                    <w:left w:w="28" w:type="dxa"/>
                    <w:right w:w="28" w:type="dxa"/>
                  </w:tcMar>
                  <w:vAlign w:val="center"/>
                </w:tcPr>
                <w:p w14:paraId="520AC410">
                  <w:pPr>
                    <w:pStyle w:val="50"/>
                    <w:rPr>
                      <w:color w:val="auto"/>
                    </w:rPr>
                  </w:pPr>
                  <w:r>
                    <w:rPr>
                      <w:rFonts w:hint="eastAsia" w:eastAsia="等线"/>
                      <w:color w:val="auto"/>
                      <w:lang w:val="zh-CN"/>
                    </w:rPr>
                    <w:t>0.6769</w:t>
                  </w:r>
                </w:p>
              </w:tc>
              <w:tc>
                <w:tcPr>
                  <w:tcW w:w="992" w:type="dxa"/>
                  <w:vAlign w:val="center"/>
                </w:tcPr>
                <w:p w14:paraId="520AC411">
                  <w:pPr>
                    <w:jc w:val="center"/>
                  </w:pPr>
                  <w:r>
                    <w:rPr>
                      <w:rFonts w:hint="eastAsia"/>
                      <w:kern w:val="0"/>
                      <w:szCs w:val="21"/>
                      <w:lang w:val="zh-CN"/>
                    </w:rPr>
                    <w:t>/</w:t>
                  </w:r>
                </w:p>
              </w:tc>
              <w:tc>
                <w:tcPr>
                  <w:tcW w:w="851" w:type="dxa"/>
                  <w:tcMar>
                    <w:left w:w="28" w:type="dxa"/>
                    <w:right w:w="28" w:type="dxa"/>
                  </w:tcMar>
                  <w:vAlign w:val="center"/>
                </w:tcPr>
                <w:p w14:paraId="520AC412">
                  <w:pPr>
                    <w:jc w:val="center"/>
                    <w:rPr>
                      <w:rFonts w:eastAsia="等线"/>
                      <w:szCs w:val="21"/>
                      <w:lang w:val="pt-BR"/>
                    </w:rPr>
                  </w:pPr>
                  <w:r>
                    <w:rPr>
                      <w:szCs w:val="21"/>
                    </w:rPr>
                    <w:t>0</w:t>
                  </w:r>
                </w:p>
              </w:tc>
              <w:tc>
                <w:tcPr>
                  <w:tcW w:w="851" w:type="dxa"/>
                  <w:tcMar>
                    <w:left w:w="28" w:type="dxa"/>
                    <w:right w:w="28" w:type="dxa"/>
                  </w:tcMar>
                  <w:vAlign w:val="center"/>
                </w:tcPr>
                <w:p w14:paraId="520AC413">
                  <w:pPr>
                    <w:jc w:val="center"/>
                    <w:rPr>
                      <w:rFonts w:eastAsia="等线"/>
                      <w:szCs w:val="21"/>
                      <w:lang w:val="pt-BR"/>
                    </w:rPr>
                  </w:pPr>
                  <w:r>
                    <w:rPr>
                      <w:szCs w:val="21"/>
                    </w:rPr>
                    <w:t>0</w:t>
                  </w:r>
                </w:p>
              </w:tc>
              <w:tc>
                <w:tcPr>
                  <w:tcW w:w="1159" w:type="dxa"/>
                  <w:tcMar>
                    <w:left w:w="28" w:type="dxa"/>
                    <w:right w:w="28" w:type="dxa"/>
                  </w:tcMar>
                  <w:vAlign w:val="center"/>
                </w:tcPr>
                <w:p w14:paraId="520AC414">
                  <w:pPr>
                    <w:jc w:val="center"/>
                    <w:rPr>
                      <w:rFonts w:eastAsia="等线"/>
                      <w:szCs w:val="21"/>
                    </w:rPr>
                  </w:pPr>
                  <w:r>
                    <w:rPr>
                      <w:rFonts w:hint="eastAsia" w:eastAsia="等线"/>
                      <w:kern w:val="0"/>
                      <w:szCs w:val="21"/>
                      <w:lang w:val="zh-CN"/>
                    </w:rPr>
                    <w:t>0.6769</w:t>
                  </w:r>
                </w:p>
              </w:tc>
              <w:tc>
                <w:tcPr>
                  <w:tcW w:w="925" w:type="dxa"/>
                  <w:tcMar>
                    <w:left w:w="28" w:type="dxa"/>
                    <w:right w:w="28" w:type="dxa"/>
                  </w:tcMar>
                  <w:vAlign w:val="center"/>
                </w:tcPr>
                <w:p w14:paraId="520AC415">
                  <w:pPr>
                    <w:jc w:val="center"/>
                    <w:rPr>
                      <w:rFonts w:eastAsia="等线"/>
                      <w:szCs w:val="21"/>
                      <w:lang w:val="pt-BR"/>
                    </w:rPr>
                  </w:pPr>
                  <w:r>
                    <w:rPr>
                      <w:szCs w:val="21"/>
                    </w:rPr>
                    <w:t>0</w:t>
                  </w:r>
                </w:p>
              </w:tc>
            </w:tr>
            <w:tr w14:paraId="520AC42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417">
                  <w:pPr>
                    <w:widowControl/>
                    <w:jc w:val="center"/>
                    <w:rPr>
                      <w:kern w:val="0"/>
                      <w:szCs w:val="21"/>
                    </w:rPr>
                  </w:pPr>
                </w:p>
              </w:tc>
              <w:tc>
                <w:tcPr>
                  <w:tcW w:w="975" w:type="dxa"/>
                  <w:tcMar>
                    <w:left w:w="28" w:type="dxa"/>
                    <w:right w:w="28" w:type="dxa"/>
                  </w:tcMar>
                  <w:vAlign w:val="center"/>
                </w:tcPr>
                <w:p w14:paraId="520AC418">
                  <w:pPr>
                    <w:jc w:val="center"/>
                    <w:rPr>
                      <w:szCs w:val="21"/>
                    </w:rPr>
                  </w:pPr>
                  <w:r>
                    <w:rPr>
                      <w:szCs w:val="21"/>
                    </w:rPr>
                    <w:t>氰化氢</w:t>
                  </w:r>
                </w:p>
              </w:tc>
              <w:tc>
                <w:tcPr>
                  <w:tcW w:w="851" w:type="dxa"/>
                  <w:tcMar>
                    <w:left w:w="28" w:type="dxa"/>
                    <w:right w:w="28" w:type="dxa"/>
                  </w:tcMar>
                  <w:vAlign w:val="center"/>
                </w:tcPr>
                <w:p w14:paraId="520AC419">
                  <w:pPr>
                    <w:pStyle w:val="50"/>
                    <w:rPr>
                      <w:color w:val="auto"/>
                    </w:rPr>
                  </w:pPr>
                  <w:r>
                    <w:rPr>
                      <w:rFonts w:hint="eastAsia" w:eastAsia="等线"/>
                      <w:color w:val="auto"/>
                      <w:lang w:val="zh-CN"/>
                    </w:rPr>
                    <w:t>0.0041</w:t>
                  </w:r>
                </w:p>
              </w:tc>
              <w:tc>
                <w:tcPr>
                  <w:tcW w:w="850" w:type="dxa"/>
                  <w:tcMar>
                    <w:left w:w="28" w:type="dxa"/>
                    <w:right w:w="28" w:type="dxa"/>
                  </w:tcMar>
                  <w:vAlign w:val="center"/>
                </w:tcPr>
                <w:p w14:paraId="520AC41A">
                  <w:pPr>
                    <w:pStyle w:val="50"/>
                    <w:rPr>
                      <w:color w:val="auto"/>
                    </w:rPr>
                  </w:pPr>
                  <w:r>
                    <w:rPr>
                      <w:rFonts w:hint="eastAsia" w:eastAsia="等线"/>
                      <w:color w:val="auto"/>
                      <w:lang w:val="zh-CN"/>
                    </w:rPr>
                    <w:t>0.0041</w:t>
                  </w:r>
                </w:p>
              </w:tc>
              <w:tc>
                <w:tcPr>
                  <w:tcW w:w="992" w:type="dxa"/>
                  <w:vAlign w:val="center"/>
                </w:tcPr>
                <w:p w14:paraId="520AC41B">
                  <w:pPr>
                    <w:jc w:val="center"/>
                  </w:pPr>
                  <w:r>
                    <w:rPr>
                      <w:rFonts w:hint="eastAsia"/>
                      <w:kern w:val="0"/>
                      <w:szCs w:val="21"/>
                      <w:lang w:val="zh-CN"/>
                    </w:rPr>
                    <w:t>/</w:t>
                  </w:r>
                </w:p>
              </w:tc>
              <w:tc>
                <w:tcPr>
                  <w:tcW w:w="851" w:type="dxa"/>
                  <w:tcMar>
                    <w:left w:w="28" w:type="dxa"/>
                    <w:right w:w="28" w:type="dxa"/>
                  </w:tcMar>
                  <w:vAlign w:val="center"/>
                </w:tcPr>
                <w:p w14:paraId="520AC41C">
                  <w:pPr>
                    <w:jc w:val="center"/>
                    <w:rPr>
                      <w:rFonts w:eastAsia="等线"/>
                      <w:szCs w:val="21"/>
                      <w:lang w:val="pt-BR"/>
                    </w:rPr>
                  </w:pPr>
                  <w:r>
                    <w:rPr>
                      <w:szCs w:val="21"/>
                    </w:rPr>
                    <w:t>0</w:t>
                  </w:r>
                </w:p>
              </w:tc>
              <w:tc>
                <w:tcPr>
                  <w:tcW w:w="851" w:type="dxa"/>
                  <w:tcMar>
                    <w:left w:w="28" w:type="dxa"/>
                    <w:right w:w="28" w:type="dxa"/>
                  </w:tcMar>
                  <w:vAlign w:val="center"/>
                </w:tcPr>
                <w:p w14:paraId="520AC41D">
                  <w:pPr>
                    <w:jc w:val="center"/>
                    <w:rPr>
                      <w:rFonts w:eastAsia="等线"/>
                      <w:szCs w:val="21"/>
                      <w:lang w:val="pt-BR"/>
                    </w:rPr>
                  </w:pPr>
                  <w:r>
                    <w:rPr>
                      <w:szCs w:val="21"/>
                    </w:rPr>
                    <w:t>0</w:t>
                  </w:r>
                </w:p>
              </w:tc>
              <w:tc>
                <w:tcPr>
                  <w:tcW w:w="1159" w:type="dxa"/>
                  <w:tcMar>
                    <w:left w:w="28" w:type="dxa"/>
                    <w:right w:w="28" w:type="dxa"/>
                  </w:tcMar>
                  <w:vAlign w:val="center"/>
                </w:tcPr>
                <w:p w14:paraId="520AC41E">
                  <w:pPr>
                    <w:jc w:val="center"/>
                    <w:rPr>
                      <w:rFonts w:eastAsia="等线"/>
                      <w:szCs w:val="21"/>
                    </w:rPr>
                  </w:pPr>
                  <w:r>
                    <w:rPr>
                      <w:rFonts w:hint="eastAsia" w:eastAsia="等线"/>
                      <w:kern w:val="0"/>
                      <w:szCs w:val="21"/>
                      <w:lang w:val="zh-CN"/>
                    </w:rPr>
                    <w:t>0.0041</w:t>
                  </w:r>
                </w:p>
              </w:tc>
              <w:tc>
                <w:tcPr>
                  <w:tcW w:w="925" w:type="dxa"/>
                  <w:tcMar>
                    <w:left w:w="28" w:type="dxa"/>
                    <w:right w:w="28" w:type="dxa"/>
                  </w:tcMar>
                  <w:vAlign w:val="center"/>
                </w:tcPr>
                <w:p w14:paraId="520AC41F">
                  <w:pPr>
                    <w:jc w:val="center"/>
                    <w:rPr>
                      <w:rFonts w:eastAsia="等线"/>
                      <w:szCs w:val="21"/>
                      <w:lang w:val="pt-BR"/>
                    </w:rPr>
                  </w:pPr>
                  <w:r>
                    <w:rPr>
                      <w:szCs w:val="21"/>
                    </w:rPr>
                    <w:t>0</w:t>
                  </w:r>
                </w:p>
              </w:tc>
            </w:tr>
            <w:tr w14:paraId="520AC42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421">
                  <w:pPr>
                    <w:widowControl/>
                    <w:jc w:val="center"/>
                    <w:rPr>
                      <w:kern w:val="0"/>
                      <w:szCs w:val="21"/>
                    </w:rPr>
                  </w:pPr>
                </w:p>
              </w:tc>
              <w:tc>
                <w:tcPr>
                  <w:tcW w:w="975" w:type="dxa"/>
                  <w:tcMar>
                    <w:left w:w="28" w:type="dxa"/>
                    <w:right w:w="28" w:type="dxa"/>
                  </w:tcMar>
                  <w:vAlign w:val="center"/>
                </w:tcPr>
                <w:p w14:paraId="520AC422">
                  <w:pPr>
                    <w:jc w:val="center"/>
                    <w:rPr>
                      <w:szCs w:val="21"/>
                    </w:rPr>
                  </w:pPr>
                  <w:r>
                    <w:rPr>
                      <w:szCs w:val="21"/>
                    </w:rPr>
                    <w:t>氮氧化物</w:t>
                  </w:r>
                </w:p>
              </w:tc>
              <w:tc>
                <w:tcPr>
                  <w:tcW w:w="851" w:type="dxa"/>
                  <w:tcMar>
                    <w:left w:w="28" w:type="dxa"/>
                    <w:right w:w="28" w:type="dxa"/>
                  </w:tcMar>
                  <w:vAlign w:val="center"/>
                </w:tcPr>
                <w:p w14:paraId="520AC423">
                  <w:pPr>
                    <w:pStyle w:val="50"/>
                    <w:rPr>
                      <w:color w:val="auto"/>
                    </w:rPr>
                  </w:pPr>
                  <w:r>
                    <w:rPr>
                      <w:rFonts w:hint="eastAsia" w:eastAsia="等线"/>
                      <w:color w:val="auto"/>
                      <w:lang w:val="zh-CN"/>
                    </w:rPr>
                    <w:t>2.035</w:t>
                  </w:r>
                </w:p>
              </w:tc>
              <w:tc>
                <w:tcPr>
                  <w:tcW w:w="850" w:type="dxa"/>
                  <w:tcMar>
                    <w:left w:w="28" w:type="dxa"/>
                    <w:right w:w="28" w:type="dxa"/>
                  </w:tcMar>
                  <w:vAlign w:val="center"/>
                </w:tcPr>
                <w:p w14:paraId="520AC424">
                  <w:pPr>
                    <w:pStyle w:val="50"/>
                    <w:rPr>
                      <w:color w:val="auto"/>
                    </w:rPr>
                  </w:pPr>
                  <w:r>
                    <w:rPr>
                      <w:rFonts w:hint="eastAsia" w:eastAsia="等线"/>
                      <w:color w:val="auto"/>
                      <w:lang w:val="zh-CN"/>
                    </w:rPr>
                    <w:t>2.035</w:t>
                  </w:r>
                </w:p>
              </w:tc>
              <w:tc>
                <w:tcPr>
                  <w:tcW w:w="992" w:type="dxa"/>
                  <w:vAlign w:val="center"/>
                </w:tcPr>
                <w:p w14:paraId="520AC425">
                  <w:pPr>
                    <w:jc w:val="center"/>
                  </w:pPr>
                  <w:r>
                    <w:rPr>
                      <w:rFonts w:hint="eastAsia"/>
                      <w:kern w:val="0"/>
                      <w:szCs w:val="21"/>
                      <w:lang w:val="zh-CN"/>
                    </w:rPr>
                    <w:t>/</w:t>
                  </w:r>
                </w:p>
              </w:tc>
              <w:tc>
                <w:tcPr>
                  <w:tcW w:w="851" w:type="dxa"/>
                  <w:tcMar>
                    <w:left w:w="28" w:type="dxa"/>
                    <w:right w:w="28" w:type="dxa"/>
                  </w:tcMar>
                  <w:vAlign w:val="center"/>
                </w:tcPr>
                <w:p w14:paraId="520AC426">
                  <w:pPr>
                    <w:jc w:val="center"/>
                    <w:rPr>
                      <w:rFonts w:eastAsia="等线"/>
                      <w:szCs w:val="21"/>
                      <w:lang w:val="pt-BR"/>
                    </w:rPr>
                  </w:pPr>
                  <w:r>
                    <w:rPr>
                      <w:szCs w:val="21"/>
                    </w:rPr>
                    <w:t>0</w:t>
                  </w:r>
                </w:p>
              </w:tc>
              <w:tc>
                <w:tcPr>
                  <w:tcW w:w="851" w:type="dxa"/>
                  <w:tcMar>
                    <w:left w:w="28" w:type="dxa"/>
                    <w:right w:w="28" w:type="dxa"/>
                  </w:tcMar>
                  <w:vAlign w:val="center"/>
                </w:tcPr>
                <w:p w14:paraId="520AC427">
                  <w:pPr>
                    <w:jc w:val="center"/>
                    <w:rPr>
                      <w:rFonts w:eastAsia="等线"/>
                      <w:szCs w:val="21"/>
                      <w:lang w:val="pt-BR"/>
                    </w:rPr>
                  </w:pPr>
                  <w:r>
                    <w:rPr>
                      <w:szCs w:val="21"/>
                    </w:rPr>
                    <w:t>0</w:t>
                  </w:r>
                </w:p>
              </w:tc>
              <w:tc>
                <w:tcPr>
                  <w:tcW w:w="1159" w:type="dxa"/>
                  <w:tcMar>
                    <w:left w:w="28" w:type="dxa"/>
                    <w:right w:w="28" w:type="dxa"/>
                  </w:tcMar>
                  <w:vAlign w:val="center"/>
                </w:tcPr>
                <w:p w14:paraId="520AC428">
                  <w:pPr>
                    <w:jc w:val="center"/>
                    <w:rPr>
                      <w:rFonts w:eastAsia="等线"/>
                      <w:szCs w:val="21"/>
                    </w:rPr>
                  </w:pPr>
                  <w:r>
                    <w:rPr>
                      <w:rFonts w:hint="eastAsia" w:eastAsia="等线"/>
                      <w:kern w:val="0"/>
                      <w:szCs w:val="21"/>
                      <w:lang w:val="zh-CN"/>
                    </w:rPr>
                    <w:t>2.035</w:t>
                  </w:r>
                </w:p>
              </w:tc>
              <w:tc>
                <w:tcPr>
                  <w:tcW w:w="925" w:type="dxa"/>
                  <w:tcMar>
                    <w:left w:w="28" w:type="dxa"/>
                    <w:right w:w="28" w:type="dxa"/>
                  </w:tcMar>
                  <w:vAlign w:val="center"/>
                </w:tcPr>
                <w:p w14:paraId="520AC429">
                  <w:pPr>
                    <w:jc w:val="center"/>
                    <w:rPr>
                      <w:rFonts w:eastAsia="等线"/>
                      <w:szCs w:val="21"/>
                      <w:lang w:val="pt-BR"/>
                    </w:rPr>
                  </w:pPr>
                  <w:r>
                    <w:rPr>
                      <w:szCs w:val="21"/>
                    </w:rPr>
                    <w:t>0</w:t>
                  </w:r>
                </w:p>
              </w:tc>
            </w:tr>
            <w:tr w14:paraId="520AC43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42B">
                  <w:pPr>
                    <w:widowControl/>
                    <w:jc w:val="center"/>
                    <w:rPr>
                      <w:kern w:val="0"/>
                      <w:szCs w:val="21"/>
                    </w:rPr>
                  </w:pPr>
                </w:p>
              </w:tc>
              <w:tc>
                <w:tcPr>
                  <w:tcW w:w="975" w:type="dxa"/>
                  <w:tcMar>
                    <w:left w:w="28" w:type="dxa"/>
                    <w:right w:w="28" w:type="dxa"/>
                  </w:tcMar>
                  <w:vAlign w:val="center"/>
                </w:tcPr>
                <w:p w14:paraId="520AC42C">
                  <w:pPr>
                    <w:jc w:val="center"/>
                    <w:rPr>
                      <w:szCs w:val="21"/>
                    </w:rPr>
                  </w:pPr>
                  <w:r>
                    <w:rPr>
                      <w:szCs w:val="21"/>
                    </w:rPr>
                    <w:t>硫化氢</w:t>
                  </w:r>
                </w:p>
              </w:tc>
              <w:tc>
                <w:tcPr>
                  <w:tcW w:w="851" w:type="dxa"/>
                  <w:tcMar>
                    <w:left w:w="28" w:type="dxa"/>
                    <w:right w:w="28" w:type="dxa"/>
                  </w:tcMar>
                  <w:vAlign w:val="center"/>
                </w:tcPr>
                <w:p w14:paraId="520AC42D">
                  <w:pPr>
                    <w:pStyle w:val="50"/>
                    <w:rPr>
                      <w:color w:val="auto"/>
                    </w:rPr>
                  </w:pPr>
                  <w:r>
                    <w:rPr>
                      <w:rFonts w:eastAsia="等线"/>
                      <w:color w:val="auto"/>
                      <w:lang w:val="zh-CN"/>
                    </w:rPr>
                    <w:t>0.000</w:t>
                  </w:r>
                  <w:r>
                    <w:rPr>
                      <w:rFonts w:hint="eastAsia" w:eastAsia="等线"/>
                      <w:color w:val="auto"/>
                      <w:lang w:val="zh-CN"/>
                    </w:rPr>
                    <w:t>5</w:t>
                  </w:r>
                </w:p>
              </w:tc>
              <w:tc>
                <w:tcPr>
                  <w:tcW w:w="850" w:type="dxa"/>
                  <w:tcMar>
                    <w:left w:w="28" w:type="dxa"/>
                    <w:right w:w="28" w:type="dxa"/>
                  </w:tcMar>
                  <w:vAlign w:val="center"/>
                </w:tcPr>
                <w:p w14:paraId="520AC42E">
                  <w:pPr>
                    <w:pStyle w:val="50"/>
                    <w:rPr>
                      <w:color w:val="auto"/>
                    </w:rPr>
                  </w:pPr>
                  <w:r>
                    <w:rPr>
                      <w:rFonts w:eastAsia="等线"/>
                      <w:color w:val="auto"/>
                      <w:lang w:val="zh-CN"/>
                    </w:rPr>
                    <w:t>0.000</w:t>
                  </w:r>
                  <w:r>
                    <w:rPr>
                      <w:rFonts w:hint="eastAsia" w:eastAsia="等线"/>
                      <w:color w:val="auto"/>
                      <w:lang w:val="zh-CN"/>
                    </w:rPr>
                    <w:t>54</w:t>
                  </w:r>
                </w:p>
              </w:tc>
              <w:tc>
                <w:tcPr>
                  <w:tcW w:w="992" w:type="dxa"/>
                  <w:vAlign w:val="center"/>
                </w:tcPr>
                <w:p w14:paraId="520AC42F">
                  <w:pPr>
                    <w:jc w:val="center"/>
                  </w:pPr>
                  <w:r>
                    <w:rPr>
                      <w:rFonts w:hint="eastAsia"/>
                      <w:kern w:val="0"/>
                      <w:szCs w:val="21"/>
                      <w:lang w:val="zh-CN"/>
                    </w:rPr>
                    <w:t>/</w:t>
                  </w:r>
                </w:p>
              </w:tc>
              <w:tc>
                <w:tcPr>
                  <w:tcW w:w="851" w:type="dxa"/>
                  <w:tcMar>
                    <w:left w:w="28" w:type="dxa"/>
                    <w:right w:w="28" w:type="dxa"/>
                  </w:tcMar>
                  <w:vAlign w:val="center"/>
                </w:tcPr>
                <w:p w14:paraId="520AC430">
                  <w:pPr>
                    <w:jc w:val="center"/>
                    <w:rPr>
                      <w:rFonts w:eastAsia="等线"/>
                      <w:szCs w:val="21"/>
                      <w:lang w:val="pt-BR"/>
                    </w:rPr>
                  </w:pPr>
                  <w:r>
                    <w:rPr>
                      <w:rFonts w:eastAsia="等线"/>
                      <w:szCs w:val="21"/>
                    </w:rPr>
                    <w:t>0</w:t>
                  </w:r>
                  <w:r>
                    <w:rPr>
                      <w:rFonts w:hint="eastAsia" w:eastAsia="等线"/>
                      <w:szCs w:val="21"/>
                    </w:rPr>
                    <w:t>.00006</w:t>
                  </w:r>
                </w:p>
              </w:tc>
              <w:tc>
                <w:tcPr>
                  <w:tcW w:w="851" w:type="dxa"/>
                  <w:tcMar>
                    <w:left w:w="28" w:type="dxa"/>
                    <w:right w:w="28" w:type="dxa"/>
                  </w:tcMar>
                  <w:vAlign w:val="center"/>
                </w:tcPr>
                <w:p w14:paraId="520AC431">
                  <w:pPr>
                    <w:jc w:val="center"/>
                    <w:rPr>
                      <w:rFonts w:eastAsia="等线"/>
                      <w:szCs w:val="21"/>
                      <w:lang w:val="pt-BR"/>
                    </w:rPr>
                  </w:pPr>
                  <w:r>
                    <w:rPr>
                      <w:rFonts w:eastAsia="等线"/>
                      <w:szCs w:val="21"/>
                    </w:rPr>
                    <w:t>0</w:t>
                  </w:r>
                  <w:r>
                    <w:rPr>
                      <w:rFonts w:hint="eastAsia" w:eastAsia="等线"/>
                      <w:szCs w:val="21"/>
                    </w:rPr>
                    <w:t>.00006</w:t>
                  </w:r>
                </w:p>
              </w:tc>
              <w:tc>
                <w:tcPr>
                  <w:tcW w:w="1159" w:type="dxa"/>
                  <w:tcMar>
                    <w:left w:w="28" w:type="dxa"/>
                    <w:right w:w="28" w:type="dxa"/>
                  </w:tcMar>
                  <w:vAlign w:val="center"/>
                </w:tcPr>
                <w:p w14:paraId="520AC432">
                  <w:pPr>
                    <w:jc w:val="center"/>
                    <w:rPr>
                      <w:rFonts w:eastAsia="等线"/>
                      <w:szCs w:val="21"/>
                    </w:rPr>
                  </w:pPr>
                  <w:r>
                    <w:rPr>
                      <w:rFonts w:hint="eastAsia" w:eastAsia="等线"/>
                      <w:szCs w:val="21"/>
                    </w:rPr>
                    <w:t>0.0005</w:t>
                  </w:r>
                </w:p>
              </w:tc>
              <w:tc>
                <w:tcPr>
                  <w:tcW w:w="925" w:type="dxa"/>
                  <w:tcMar>
                    <w:left w:w="28" w:type="dxa"/>
                    <w:right w:w="28" w:type="dxa"/>
                  </w:tcMar>
                  <w:vAlign w:val="center"/>
                </w:tcPr>
                <w:p w14:paraId="520AC433">
                  <w:pPr>
                    <w:jc w:val="center"/>
                    <w:rPr>
                      <w:rFonts w:eastAsia="等线"/>
                      <w:szCs w:val="21"/>
                      <w:lang w:val="pt-BR"/>
                    </w:rPr>
                  </w:pPr>
                  <w:r>
                    <w:rPr>
                      <w:rFonts w:hint="eastAsia" w:eastAsia="等线"/>
                      <w:szCs w:val="21"/>
                      <w:lang w:val="pt-BR"/>
                    </w:rPr>
                    <w:t>0</w:t>
                  </w:r>
                </w:p>
              </w:tc>
            </w:tr>
            <w:tr w14:paraId="520AC43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435">
                  <w:pPr>
                    <w:widowControl/>
                    <w:jc w:val="center"/>
                    <w:rPr>
                      <w:kern w:val="0"/>
                      <w:szCs w:val="21"/>
                    </w:rPr>
                  </w:pPr>
                </w:p>
              </w:tc>
              <w:tc>
                <w:tcPr>
                  <w:tcW w:w="975" w:type="dxa"/>
                  <w:tcMar>
                    <w:left w:w="28" w:type="dxa"/>
                    <w:right w:w="28" w:type="dxa"/>
                  </w:tcMar>
                  <w:vAlign w:val="center"/>
                </w:tcPr>
                <w:p w14:paraId="520AC436">
                  <w:pPr>
                    <w:jc w:val="center"/>
                    <w:rPr>
                      <w:szCs w:val="21"/>
                    </w:rPr>
                  </w:pPr>
                  <w:r>
                    <w:rPr>
                      <w:szCs w:val="21"/>
                    </w:rPr>
                    <w:t>颗粒物</w:t>
                  </w:r>
                </w:p>
              </w:tc>
              <w:tc>
                <w:tcPr>
                  <w:tcW w:w="851" w:type="dxa"/>
                  <w:tcMar>
                    <w:left w:w="28" w:type="dxa"/>
                    <w:right w:w="28" w:type="dxa"/>
                  </w:tcMar>
                  <w:vAlign w:val="center"/>
                </w:tcPr>
                <w:p w14:paraId="520AC437">
                  <w:pPr>
                    <w:pStyle w:val="50"/>
                    <w:rPr>
                      <w:color w:val="auto"/>
                    </w:rPr>
                  </w:pPr>
                  <w:r>
                    <w:rPr>
                      <w:rFonts w:hint="eastAsia"/>
                      <w:color w:val="auto"/>
                      <w:lang w:val="zh-CN"/>
                    </w:rPr>
                    <w:t>1.9554</w:t>
                  </w:r>
                </w:p>
              </w:tc>
              <w:tc>
                <w:tcPr>
                  <w:tcW w:w="850" w:type="dxa"/>
                  <w:tcMar>
                    <w:left w:w="28" w:type="dxa"/>
                    <w:right w:w="28" w:type="dxa"/>
                  </w:tcMar>
                  <w:vAlign w:val="center"/>
                </w:tcPr>
                <w:p w14:paraId="520AC438">
                  <w:pPr>
                    <w:pStyle w:val="50"/>
                    <w:rPr>
                      <w:color w:val="auto"/>
                    </w:rPr>
                  </w:pPr>
                  <w:r>
                    <w:rPr>
                      <w:color w:val="auto"/>
                      <w:lang w:val="zh-CN"/>
                    </w:rPr>
                    <w:t>2.6009</w:t>
                  </w:r>
                </w:p>
              </w:tc>
              <w:tc>
                <w:tcPr>
                  <w:tcW w:w="992" w:type="dxa"/>
                  <w:vAlign w:val="center"/>
                </w:tcPr>
                <w:p w14:paraId="520AC439">
                  <w:pPr>
                    <w:jc w:val="center"/>
                  </w:pPr>
                  <w:r>
                    <w:rPr>
                      <w:rFonts w:hint="eastAsia"/>
                      <w:kern w:val="0"/>
                      <w:szCs w:val="21"/>
                      <w:lang w:val="zh-CN"/>
                    </w:rPr>
                    <w:t>0.0595</w:t>
                  </w:r>
                </w:p>
              </w:tc>
              <w:tc>
                <w:tcPr>
                  <w:tcW w:w="851" w:type="dxa"/>
                  <w:tcMar>
                    <w:left w:w="28" w:type="dxa"/>
                    <w:right w:w="28" w:type="dxa"/>
                  </w:tcMar>
                  <w:vAlign w:val="center"/>
                </w:tcPr>
                <w:p w14:paraId="520AC43A">
                  <w:pPr>
                    <w:jc w:val="center"/>
                    <w:rPr>
                      <w:rFonts w:eastAsia="等线"/>
                      <w:szCs w:val="21"/>
                      <w:lang w:val="pt-BR"/>
                    </w:rPr>
                  </w:pPr>
                  <w:r>
                    <w:rPr>
                      <w:szCs w:val="21"/>
                    </w:rPr>
                    <w:t>0</w:t>
                  </w:r>
                </w:p>
              </w:tc>
              <w:tc>
                <w:tcPr>
                  <w:tcW w:w="851" w:type="dxa"/>
                  <w:tcMar>
                    <w:left w:w="28" w:type="dxa"/>
                    <w:right w:w="28" w:type="dxa"/>
                  </w:tcMar>
                  <w:vAlign w:val="center"/>
                </w:tcPr>
                <w:p w14:paraId="520AC43B">
                  <w:pPr>
                    <w:jc w:val="center"/>
                    <w:rPr>
                      <w:rFonts w:eastAsia="等线"/>
                      <w:szCs w:val="21"/>
                      <w:lang w:val="pt-BR"/>
                    </w:rPr>
                  </w:pPr>
                  <w:r>
                    <w:rPr>
                      <w:szCs w:val="21"/>
                    </w:rPr>
                    <w:t>0</w:t>
                  </w:r>
                </w:p>
              </w:tc>
              <w:tc>
                <w:tcPr>
                  <w:tcW w:w="1159" w:type="dxa"/>
                  <w:tcMar>
                    <w:left w:w="28" w:type="dxa"/>
                    <w:right w:w="28" w:type="dxa"/>
                  </w:tcMar>
                  <w:vAlign w:val="center"/>
                </w:tcPr>
                <w:p w14:paraId="520AC43C">
                  <w:pPr>
                    <w:jc w:val="center"/>
                    <w:rPr>
                      <w:rFonts w:eastAsia="等线"/>
                      <w:szCs w:val="21"/>
                    </w:rPr>
                  </w:pPr>
                  <w:r>
                    <w:rPr>
                      <w:rFonts w:hint="eastAsia" w:eastAsia="等线"/>
                      <w:szCs w:val="21"/>
                    </w:rPr>
                    <w:t>2.0149</w:t>
                  </w:r>
                </w:p>
              </w:tc>
              <w:tc>
                <w:tcPr>
                  <w:tcW w:w="925" w:type="dxa"/>
                  <w:tcMar>
                    <w:left w:w="28" w:type="dxa"/>
                    <w:right w:w="28" w:type="dxa"/>
                  </w:tcMar>
                  <w:vAlign w:val="center"/>
                </w:tcPr>
                <w:p w14:paraId="520AC43D">
                  <w:pPr>
                    <w:jc w:val="center"/>
                    <w:rPr>
                      <w:rFonts w:eastAsia="等线"/>
                      <w:szCs w:val="21"/>
                      <w:lang w:val="pt-BR"/>
                    </w:rPr>
                  </w:pPr>
                  <w:r>
                    <w:rPr>
                      <w:szCs w:val="21"/>
                    </w:rPr>
                    <w:t>0</w:t>
                  </w:r>
                </w:p>
              </w:tc>
            </w:tr>
            <w:tr w14:paraId="520AC44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43F">
                  <w:pPr>
                    <w:widowControl/>
                    <w:jc w:val="center"/>
                    <w:rPr>
                      <w:kern w:val="0"/>
                      <w:szCs w:val="21"/>
                    </w:rPr>
                  </w:pPr>
                </w:p>
              </w:tc>
              <w:tc>
                <w:tcPr>
                  <w:tcW w:w="975" w:type="dxa"/>
                  <w:tcMar>
                    <w:left w:w="28" w:type="dxa"/>
                    <w:right w:w="28" w:type="dxa"/>
                  </w:tcMar>
                  <w:vAlign w:val="center"/>
                </w:tcPr>
                <w:p w14:paraId="520AC440">
                  <w:pPr>
                    <w:jc w:val="center"/>
                    <w:rPr>
                      <w:szCs w:val="21"/>
                    </w:rPr>
                  </w:pPr>
                  <w:r>
                    <w:rPr>
                      <w:szCs w:val="21"/>
                    </w:rPr>
                    <w:t>氨</w:t>
                  </w:r>
                </w:p>
              </w:tc>
              <w:tc>
                <w:tcPr>
                  <w:tcW w:w="851" w:type="dxa"/>
                  <w:tcMar>
                    <w:left w:w="28" w:type="dxa"/>
                    <w:right w:w="28" w:type="dxa"/>
                  </w:tcMar>
                  <w:vAlign w:val="center"/>
                </w:tcPr>
                <w:p w14:paraId="520AC441">
                  <w:pPr>
                    <w:pStyle w:val="50"/>
                    <w:rPr>
                      <w:color w:val="auto"/>
                    </w:rPr>
                  </w:pPr>
                  <w:r>
                    <w:rPr>
                      <w:rFonts w:hint="eastAsia"/>
                      <w:color w:val="auto"/>
                      <w:lang w:val="zh-CN"/>
                    </w:rPr>
                    <w:t>/</w:t>
                  </w:r>
                </w:p>
              </w:tc>
              <w:tc>
                <w:tcPr>
                  <w:tcW w:w="850" w:type="dxa"/>
                  <w:tcMar>
                    <w:left w:w="28" w:type="dxa"/>
                    <w:right w:w="28" w:type="dxa"/>
                  </w:tcMar>
                  <w:vAlign w:val="center"/>
                </w:tcPr>
                <w:p w14:paraId="520AC442">
                  <w:pPr>
                    <w:pStyle w:val="50"/>
                    <w:rPr>
                      <w:color w:val="auto"/>
                    </w:rPr>
                  </w:pPr>
                  <w:r>
                    <w:rPr>
                      <w:rFonts w:hint="eastAsia"/>
                      <w:color w:val="auto"/>
                      <w:lang w:val="zh-CN"/>
                    </w:rPr>
                    <w:t>/</w:t>
                  </w:r>
                </w:p>
              </w:tc>
              <w:tc>
                <w:tcPr>
                  <w:tcW w:w="992" w:type="dxa"/>
                  <w:vAlign w:val="center"/>
                </w:tcPr>
                <w:p w14:paraId="520AC443">
                  <w:pPr>
                    <w:jc w:val="center"/>
                  </w:pPr>
                  <w:r>
                    <w:rPr>
                      <w:rFonts w:hint="eastAsia"/>
                      <w:kern w:val="0"/>
                      <w:szCs w:val="21"/>
                      <w:lang w:val="zh-CN"/>
                    </w:rPr>
                    <w:t>0.045</w:t>
                  </w:r>
                </w:p>
              </w:tc>
              <w:tc>
                <w:tcPr>
                  <w:tcW w:w="851" w:type="dxa"/>
                  <w:tcMar>
                    <w:left w:w="28" w:type="dxa"/>
                    <w:right w:w="28" w:type="dxa"/>
                  </w:tcMar>
                  <w:vAlign w:val="center"/>
                </w:tcPr>
                <w:p w14:paraId="520AC444">
                  <w:pPr>
                    <w:jc w:val="center"/>
                    <w:rPr>
                      <w:rFonts w:eastAsia="等线"/>
                      <w:szCs w:val="21"/>
                      <w:lang w:val="pt-BR"/>
                    </w:rPr>
                  </w:pPr>
                  <w:r>
                    <w:rPr>
                      <w:szCs w:val="21"/>
                    </w:rPr>
                    <w:t>0</w:t>
                  </w:r>
                </w:p>
              </w:tc>
              <w:tc>
                <w:tcPr>
                  <w:tcW w:w="851" w:type="dxa"/>
                  <w:tcMar>
                    <w:left w:w="28" w:type="dxa"/>
                    <w:right w:w="28" w:type="dxa"/>
                  </w:tcMar>
                  <w:vAlign w:val="center"/>
                </w:tcPr>
                <w:p w14:paraId="520AC445">
                  <w:pPr>
                    <w:jc w:val="center"/>
                    <w:rPr>
                      <w:rFonts w:eastAsia="等线"/>
                      <w:szCs w:val="21"/>
                      <w:lang w:val="pt-BR"/>
                    </w:rPr>
                  </w:pPr>
                  <w:r>
                    <w:rPr>
                      <w:szCs w:val="21"/>
                    </w:rPr>
                    <w:t>0</w:t>
                  </w:r>
                </w:p>
              </w:tc>
              <w:tc>
                <w:tcPr>
                  <w:tcW w:w="1159" w:type="dxa"/>
                  <w:tcMar>
                    <w:left w:w="28" w:type="dxa"/>
                    <w:right w:w="28" w:type="dxa"/>
                  </w:tcMar>
                  <w:vAlign w:val="center"/>
                </w:tcPr>
                <w:p w14:paraId="520AC446">
                  <w:pPr>
                    <w:jc w:val="center"/>
                    <w:rPr>
                      <w:rFonts w:eastAsia="等线"/>
                      <w:szCs w:val="21"/>
                    </w:rPr>
                  </w:pPr>
                  <w:r>
                    <w:rPr>
                      <w:rFonts w:hint="eastAsia" w:eastAsia="等线"/>
                      <w:szCs w:val="21"/>
                    </w:rPr>
                    <w:t>0.045</w:t>
                  </w:r>
                </w:p>
              </w:tc>
              <w:tc>
                <w:tcPr>
                  <w:tcW w:w="925" w:type="dxa"/>
                  <w:tcMar>
                    <w:left w:w="28" w:type="dxa"/>
                    <w:right w:w="28" w:type="dxa"/>
                  </w:tcMar>
                  <w:vAlign w:val="center"/>
                </w:tcPr>
                <w:p w14:paraId="520AC447">
                  <w:pPr>
                    <w:jc w:val="center"/>
                    <w:rPr>
                      <w:rFonts w:eastAsia="等线"/>
                      <w:szCs w:val="21"/>
                      <w:lang w:val="pt-BR"/>
                    </w:rPr>
                  </w:pPr>
                  <w:r>
                    <w:rPr>
                      <w:szCs w:val="21"/>
                    </w:rPr>
                    <w:t>0</w:t>
                  </w:r>
                </w:p>
              </w:tc>
            </w:tr>
            <w:tr w14:paraId="520AC45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520AC449">
                  <w:pPr>
                    <w:widowControl/>
                    <w:jc w:val="center"/>
                    <w:rPr>
                      <w:kern w:val="0"/>
                      <w:szCs w:val="21"/>
                    </w:rPr>
                  </w:pPr>
                </w:p>
              </w:tc>
              <w:tc>
                <w:tcPr>
                  <w:tcW w:w="975" w:type="dxa"/>
                  <w:tcMar>
                    <w:left w:w="28" w:type="dxa"/>
                    <w:right w:w="28" w:type="dxa"/>
                  </w:tcMar>
                  <w:vAlign w:val="center"/>
                </w:tcPr>
                <w:p w14:paraId="520AC44A">
                  <w:pPr>
                    <w:jc w:val="center"/>
                    <w:rPr>
                      <w:szCs w:val="21"/>
                    </w:rPr>
                  </w:pPr>
                  <w:r>
                    <w:rPr>
                      <w:szCs w:val="21"/>
                    </w:rPr>
                    <w:t>VOCs</w:t>
                  </w:r>
                </w:p>
              </w:tc>
              <w:tc>
                <w:tcPr>
                  <w:tcW w:w="851" w:type="dxa"/>
                  <w:tcMar>
                    <w:left w:w="28" w:type="dxa"/>
                    <w:right w:w="28" w:type="dxa"/>
                  </w:tcMar>
                  <w:vAlign w:val="center"/>
                </w:tcPr>
                <w:p w14:paraId="520AC44B">
                  <w:pPr>
                    <w:pStyle w:val="50"/>
                    <w:rPr>
                      <w:color w:val="auto"/>
                    </w:rPr>
                  </w:pPr>
                  <w:r>
                    <w:rPr>
                      <w:rFonts w:hint="eastAsia"/>
                      <w:bCs/>
                      <w:color w:val="auto"/>
                      <w:lang w:val="zh-CN"/>
                    </w:rPr>
                    <w:t>3.3834</w:t>
                  </w:r>
                </w:p>
              </w:tc>
              <w:tc>
                <w:tcPr>
                  <w:tcW w:w="850" w:type="dxa"/>
                  <w:tcMar>
                    <w:left w:w="28" w:type="dxa"/>
                    <w:right w:w="28" w:type="dxa"/>
                  </w:tcMar>
                  <w:vAlign w:val="center"/>
                </w:tcPr>
                <w:p w14:paraId="520AC44C">
                  <w:pPr>
                    <w:pStyle w:val="50"/>
                    <w:rPr>
                      <w:color w:val="auto"/>
                    </w:rPr>
                  </w:pPr>
                  <w:r>
                    <w:rPr>
                      <w:rFonts w:hint="eastAsia"/>
                      <w:bCs/>
                      <w:color w:val="auto"/>
                      <w:lang w:val="zh-CN"/>
                    </w:rPr>
                    <w:t>4</w:t>
                  </w:r>
                  <w:r>
                    <w:rPr>
                      <w:bCs/>
                      <w:color w:val="auto"/>
                      <w:lang w:val="zh-CN"/>
                    </w:rPr>
                    <w:t>.</w:t>
                  </w:r>
                  <w:r>
                    <w:rPr>
                      <w:rFonts w:hint="eastAsia"/>
                      <w:bCs/>
                      <w:color w:val="auto"/>
                      <w:lang w:val="zh-CN"/>
                    </w:rPr>
                    <w:t>9384</w:t>
                  </w:r>
                </w:p>
              </w:tc>
              <w:tc>
                <w:tcPr>
                  <w:tcW w:w="992" w:type="dxa"/>
                  <w:vAlign w:val="center"/>
                </w:tcPr>
                <w:p w14:paraId="520AC44D">
                  <w:pPr>
                    <w:jc w:val="center"/>
                  </w:pPr>
                  <w:r>
                    <w:rPr>
                      <w:rFonts w:hint="eastAsia"/>
                      <w:kern w:val="0"/>
                      <w:szCs w:val="21"/>
                      <w:lang w:val="zh-CN"/>
                    </w:rPr>
                    <w:t>0.6209</w:t>
                  </w:r>
                </w:p>
              </w:tc>
              <w:tc>
                <w:tcPr>
                  <w:tcW w:w="851" w:type="dxa"/>
                  <w:tcMar>
                    <w:left w:w="28" w:type="dxa"/>
                    <w:right w:w="28" w:type="dxa"/>
                  </w:tcMar>
                  <w:vAlign w:val="center"/>
                </w:tcPr>
                <w:p w14:paraId="520AC44E">
                  <w:pPr>
                    <w:jc w:val="center"/>
                    <w:rPr>
                      <w:rFonts w:eastAsia="等线"/>
                      <w:szCs w:val="21"/>
                      <w:lang w:val="pt-BR"/>
                    </w:rPr>
                  </w:pPr>
                  <w:r>
                    <w:rPr>
                      <w:rFonts w:eastAsia="等线"/>
                      <w:szCs w:val="21"/>
                    </w:rPr>
                    <w:t>0</w:t>
                  </w:r>
                  <w:r>
                    <w:rPr>
                      <w:rFonts w:hint="eastAsia" w:eastAsia="等线"/>
                      <w:szCs w:val="21"/>
                    </w:rPr>
                    <w:t>.0002</w:t>
                  </w:r>
                </w:p>
              </w:tc>
              <w:tc>
                <w:tcPr>
                  <w:tcW w:w="851" w:type="dxa"/>
                  <w:tcMar>
                    <w:left w:w="28" w:type="dxa"/>
                    <w:right w:w="28" w:type="dxa"/>
                  </w:tcMar>
                  <w:vAlign w:val="center"/>
                </w:tcPr>
                <w:p w14:paraId="520AC44F">
                  <w:pPr>
                    <w:jc w:val="center"/>
                    <w:rPr>
                      <w:rFonts w:eastAsia="等线"/>
                      <w:szCs w:val="21"/>
                      <w:lang w:val="pt-BR"/>
                    </w:rPr>
                  </w:pPr>
                  <w:r>
                    <w:rPr>
                      <w:rFonts w:eastAsia="等线"/>
                      <w:szCs w:val="21"/>
                    </w:rPr>
                    <w:t>0</w:t>
                  </w:r>
                  <w:r>
                    <w:rPr>
                      <w:rFonts w:hint="eastAsia" w:eastAsia="等线"/>
                      <w:szCs w:val="21"/>
                    </w:rPr>
                    <w:t>.0002</w:t>
                  </w:r>
                </w:p>
              </w:tc>
              <w:tc>
                <w:tcPr>
                  <w:tcW w:w="1159" w:type="dxa"/>
                  <w:tcMar>
                    <w:left w:w="28" w:type="dxa"/>
                    <w:right w:w="28" w:type="dxa"/>
                  </w:tcMar>
                  <w:vAlign w:val="center"/>
                </w:tcPr>
                <w:p w14:paraId="520AC450">
                  <w:pPr>
                    <w:jc w:val="center"/>
                    <w:rPr>
                      <w:rFonts w:eastAsia="等线"/>
                      <w:szCs w:val="21"/>
                    </w:rPr>
                  </w:pPr>
                  <w:r>
                    <w:rPr>
                      <w:rFonts w:hint="eastAsia" w:eastAsia="等线"/>
                      <w:szCs w:val="21"/>
                    </w:rPr>
                    <w:t>4.0043</w:t>
                  </w:r>
                </w:p>
              </w:tc>
              <w:tc>
                <w:tcPr>
                  <w:tcW w:w="925" w:type="dxa"/>
                  <w:tcMar>
                    <w:left w:w="28" w:type="dxa"/>
                    <w:right w:w="28" w:type="dxa"/>
                  </w:tcMar>
                  <w:vAlign w:val="center"/>
                </w:tcPr>
                <w:p w14:paraId="520AC451">
                  <w:pPr>
                    <w:jc w:val="center"/>
                    <w:rPr>
                      <w:rFonts w:eastAsia="等线"/>
                      <w:szCs w:val="21"/>
                      <w:lang w:val="pt-BR"/>
                    </w:rPr>
                  </w:pPr>
                  <w:r>
                    <w:rPr>
                      <w:rFonts w:hint="eastAsia" w:eastAsia="等线"/>
                      <w:szCs w:val="21"/>
                      <w:lang w:val="pt-BR"/>
                    </w:rPr>
                    <w:t>0</w:t>
                  </w:r>
                </w:p>
              </w:tc>
            </w:tr>
            <w:tr w14:paraId="38F1159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20" w:type="dxa"/>
                  <w:vMerge w:val="continue"/>
                  <w:tcMar>
                    <w:left w:w="28" w:type="dxa"/>
                    <w:right w:w="28" w:type="dxa"/>
                  </w:tcMar>
                  <w:vAlign w:val="center"/>
                </w:tcPr>
                <w:p w14:paraId="74C0FF1D">
                  <w:pPr>
                    <w:widowControl/>
                    <w:jc w:val="center"/>
                    <w:rPr>
                      <w:kern w:val="0"/>
                      <w:szCs w:val="21"/>
                    </w:rPr>
                  </w:pPr>
                </w:p>
              </w:tc>
              <w:tc>
                <w:tcPr>
                  <w:tcW w:w="975" w:type="dxa"/>
                  <w:tcMar>
                    <w:left w:w="28" w:type="dxa"/>
                    <w:right w:w="28" w:type="dxa"/>
                  </w:tcMar>
                  <w:vAlign w:val="center"/>
                </w:tcPr>
                <w:p w14:paraId="2B07DFCA">
                  <w:pPr>
                    <w:jc w:val="center"/>
                    <w:rPr>
                      <w:szCs w:val="21"/>
                    </w:rPr>
                  </w:pPr>
                  <w:r>
                    <w:rPr>
                      <w:rFonts w:hint="eastAsia"/>
                      <w:szCs w:val="21"/>
                    </w:rPr>
                    <w:t>SO</w:t>
                  </w:r>
                  <w:r>
                    <w:rPr>
                      <w:rFonts w:hint="eastAsia"/>
                      <w:szCs w:val="21"/>
                      <w:vertAlign w:val="subscript"/>
                    </w:rPr>
                    <w:t>2</w:t>
                  </w:r>
                </w:p>
              </w:tc>
              <w:tc>
                <w:tcPr>
                  <w:tcW w:w="851" w:type="dxa"/>
                  <w:tcMar>
                    <w:left w:w="28" w:type="dxa"/>
                    <w:right w:w="28" w:type="dxa"/>
                  </w:tcMar>
                  <w:vAlign w:val="center"/>
                </w:tcPr>
                <w:p w14:paraId="682123B8">
                  <w:pPr>
                    <w:pStyle w:val="50"/>
                    <w:rPr>
                      <w:bCs/>
                      <w:color w:val="auto"/>
                      <w:lang w:val="zh-CN"/>
                    </w:rPr>
                  </w:pPr>
                  <w:r>
                    <w:rPr>
                      <w:rFonts w:hint="eastAsia"/>
                      <w:bCs/>
                      <w:color w:val="auto"/>
                      <w:lang w:val="zh-CN"/>
                    </w:rPr>
                    <w:t>0.0351</w:t>
                  </w:r>
                </w:p>
              </w:tc>
              <w:tc>
                <w:tcPr>
                  <w:tcW w:w="850" w:type="dxa"/>
                  <w:tcMar>
                    <w:left w:w="28" w:type="dxa"/>
                    <w:right w:w="28" w:type="dxa"/>
                  </w:tcMar>
                  <w:vAlign w:val="center"/>
                </w:tcPr>
                <w:p w14:paraId="5A6433CB">
                  <w:pPr>
                    <w:pStyle w:val="50"/>
                    <w:rPr>
                      <w:bCs/>
                      <w:color w:val="auto"/>
                      <w:lang w:val="zh-CN"/>
                    </w:rPr>
                  </w:pPr>
                  <w:r>
                    <w:rPr>
                      <w:rFonts w:hint="eastAsia"/>
                      <w:bCs/>
                      <w:color w:val="auto"/>
                      <w:lang w:val="zh-CN"/>
                    </w:rPr>
                    <w:t>0.0351</w:t>
                  </w:r>
                </w:p>
              </w:tc>
              <w:tc>
                <w:tcPr>
                  <w:tcW w:w="992" w:type="dxa"/>
                  <w:vAlign w:val="center"/>
                </w:tcPr>
                <w:p w14:paraId="5123C671">
                  <w:pPr>
                    <w:jc w:val="center"/>
                    <w:rPr>
                      <w:kern w:val="0"/>
                      <w:szCs w:val="21"/>
                      <w:lang w:val="zh-CN"/>
                    </w:rPr>
                  </w:pPr>
                  <w:r>
                    <w:rPr>
                      <w:rFonts w:hint="eastAsia"/>
                      <w:kern w:val="0"/>
                      <w:szCs w:val="21"/>
                      <w:lang w:val="zh-CN"/>
                    </w:rPr>
                    <w:t>/</w:t>
                  </w:r>
                </w:p>
              </w:tc>
              <w:tc>
                <w:tcPr>
                  <w:tcW w:w="851" w:type="dxa"/>
                  <w:tcMar>
                    <w:left w:w="28" w:type="dxa"/>
                    <w:right w:w="28" w:type="dxa"/>
                  </w:tcMar>
                  <w:vAlign w:val="center"/>
                </w:tcPr>
                <w:p w14:paraId="6480B2C4">
                  <w:pPr>
                    <w:jc w:val="center"/>
                    <w:rPr>
                      <w:rFonts w:eastAsia="等线"/>
                      <w:szCs w:val="21"/>
                    </w:rPr>
                  </w:pPr>
                  <w:r>
                    <w:rPr>
                      <w:rFonts w:hint="eastAsia" w:eastAsia="等线"/>
                      <w:szCs w:val="21"/>
                    </w:rPr>
                    <w:t>0.0009</w:t>
                  </w:r>
                </w:p>
              </w:tc>
              <w:tc>
                <w:tcPr>
                  <w:tcW w:w="851" w:type="dxa"/>
                  <w:tcMar>
                    <w:left w:w="28" w:type="dxa"/>
                    <w:right w:w="28" w:type="dxa"/>
                  </w:tcMar>
                  <w:vAlign w:val="center"/>
                </w:tcPr>
                <w:p w14:paraId="3857019D">
                  <w:pPr>
                    <w:jc w:val="center"/>
                    <w:rPr>
                      <w:rFonts w:eastAsia="等线"/>
                      <w:szCs w:val="21"/>
                    </w:rPr>
                  </w:pPr>
                  <w:r>
                    <w:rPr>
                      <w:rFonts w:hint="eastAsia" w:eastAsia="等线"/>
                      <w:szCs w:val="21"/>
                    </w:rPr>
                    <w:t>0.0009</w:t>
                  </w:r>
                </w:p>
              </w:tc>
              <w:tc>
                <w:tcPr>
                  <w:tcW w:w="1159" w:type="dxa"/>
                  <w:tcMar>
                    <w:left w:w="28" w:type="dxa"/>
                    <w:right w:w="28" w:type="dxa"/>
                  </w:tcMar>
                  <w:vAlign w:val="center"/>
                </w:tcPr>
                <w:p w14:paraId="7CE5B9E6">
                  <w:pPr>
                    <w:jc w:val="center"/>
                    <w:rPr>
                      <w:rFonts w:eastAsia="等线"/>
                      <w:szCs w:val="21"/>
                    </w:rPr>
                  </w:pPr>
                  <w:r>
                    <w:rPr>
                      <w:rFonts w:hint="eastAsia" w:eastAsia="等线"/>
                      <w:szCs w:val="21"/>
                    </w:rPr>
                    <w:t>0.0351</w:t>
                  </w:r>
                </w:p>
              </w:tc>
              <w:tc>
                <w:tcPr>
                  <w:tcW w:w="925" w:type="dxa"/>
                  <w:tcMar>
                    <w:left w:w="28" w:type="dxa"/>
                    <w:right w:w="28" w:type="dxa"/>
                  </w:tcMar>
                  <w:vAlign w:val="center"/>
                </w:tcPr>
                <w:p w14:paraId="1419B2E7">
                  <w:pPr>
                    <w:jc w:val="center"/>
                    <w:rPr>
                      <w:rFonts w:eastAsia="等线"/>
                      <w:szCs w:val="21"/>
                    </w:rPr>
                  </w:pPr>
                  <w:r>
                    <w:rPr>
                      <w:rFonts w:hint="eastAsia" w:eastAsia="等线"/>
                      <w:szCs w:val="21"/>
                    </w:rPr>
                    <w:t>0</w:t>
                  </w:r>
                </w:p>
              </w:tc>
            </w:tr>
          </w:tbl>
          <w:p w14:paraId="520AC453">
            <w:pPr>
              <w:adjustRightInd w:val="0"/>
              <w:snapToGrid w:val="0"/>
              <w:spacing w:line="460" w:lineRule="exact"/>
              <w:ind w:firstLine="480" w:firstLineChars="200"/>
              <w:rPr>
                <w:sz w:val="24"/>
                <w:highlight w:val="yellow"/>
              </w:rPr>
            </w:pPr>
            <w:r>
              <w:rPr>
                <w:rFonts w:hint="eastAsia"/>
                <w:sz w:val="24"/>
              </w:rPr>
              <w:t>本项目属于改建项目，其中建设路厂区污染物排放量为VOCs</w:t>
            </w:r>
            <w:r>
              <w:rPr>
                <w:sz w:val="24"/>
              </w:rPr>
              <w:t xml:space="preserve"> </w:t>
            </w:r>
            <w:r>
              <w:rPr>
                <w:rFonts w:hint="eastAsia"/>
                <w:sz w:val="24"/>
              </w:rPr>
              <w:t>0.00513t/a、 COD 0.0034t/a，</w:t>
            </w:r>
            <w:r>
              <w:rPr>
                <w:color w:val="000000" w:themeColor="text1"/>
                <w:sz w:val="24"/>
                <w14:textFill>
                  <w14:solidFill>
                    <w14:schemeClr w14:val="tx1"/>
                  </w14:solidFill>
                </w14:textFill>
              </w:rPr>
              <w:t>现有工程以新带老削减量为VOCs 0.</w:t>
            </w:r>
            <w:r>
              <w:rPr>
                <w:rFonts w:hint="eastAsia"/>
                <w:color w:val="000000" w:themeColor="text1"/>
                <w:sz w:val="24"/>
                <w14:textFill>
                  <w14:solidFill>
                    <w14:schemeClr w14:val="tx1"/>
                  </w14:solidFill>
                </w14:textFill>
              </w:rPr>
              <w:t>0052</w:t>
            </w:r>
            <w:r>
              <w:rPr>
                <w:color w:val="000000" w:themeColor="text1"/>
                <w:sz w:val="24"/>
                <w14:textFill>
                  <w14:solidFill>
                    <w14:schemeClr w14:val="tx1"/>
                  </w14:solidFill>
                </w14:textFill>
              </w:rPr>
              <w:t>t/a、</w:t>
            </w:r>
            <w:r>
              <w:rPr>
                <w:rFonts w:hint="eastAsia"/>
                <w:sz w:val="24"/>
              </w:rPr>
              <w:t>COD 0.005t/a、氨氮0.0005t/a、TP 0.00005t/a、TN 0.0015t/a</w:t>
            </w:r>
            <w:r>
              <w:rPr>
                <w:rFonts w:hint="eastAsia"/>
                <w:color w:val="000000" w:themeColor="text1"/>
                <w:sz w:val="24"/>
                <w14:textFill>
                  <w14:solidFill>
                    <w14:schemeClr w14:val="tx1"/>
                  </w14:solidFill>
                </w14:textFill>
              </w:rPr>
              <w:t>；解放路厂区污染物排放量为</w:t>
            </w:r>
            <w:r>
              <w:rPr>
                <w:rFonts w:hint="eastAsia"/>
                <w:sz w:val="24"/>
              </w:rPr>
              <w:t>非甲烷总烃0.0002t/a、硫化氢0.00006t/a、SO</w:t>
            </w:r>
            <w:r>
              <w:rPr>
                <w:rFonts w:hint="eastAsia"/>
                <w:sz w:val="24"/>
                <w:vertAlign w:val="subscript"/>
              </w:rPr>
              <w:t>2</w:t>
            </w:r>
            <w:r>
              <w:rPr>
                <w:rFonts w:hint="eastAsia"/>
                <w:sz w:val="24"/>
              </w:rPr>
              <w:t xml:space="preserve"> 0.0009t/a，</w:t>
            </w:r>
            <w:r>
              <w:rPr>
                <w:color w:val="000000" w:themeColor="text1"/>
                <w:sz w:val="24"/>
                <w14:textFill>
                  <w14:solidFill>
                    <w14:schemeClr w14:val="tx1"/>
                  </w14:solidFill>
                </w14:textFill>
              </w:rPr>
              <w:t>现有工程以新带老削减量为</w:t>
            </w:r>
            <w:r>
              <w:rPr>
                <w:rFonts w:hint="eastAsia"/>
                <w:sz w:val="24"/>
              </w:rPr>
              <w:t>非甲烷总烃0.0002t/a、硫化氢0.00006t/a、SO</w:t>
            </w:r>
            <w:r>
              <w:rPr>
                <w:rFonts w:hint="eastAsia"/>
                <w:sz w:val="24"/>
                <w:vertAlign w:val="subscript"/>
              </w:rPr>
              <w:t>2</w:t>
            </w:r>
            <w:r>
              <w:rPr>
                <w:rFonts w:hint="eastAsia"/>
                <w:sz w:val="24"/>
              </w:rPr>
              <w:t xml:space="preserve"> 0.0009t/a，</w:t>
            </w:r>
            <w:r>
              <w:rPr>
                <w:color w:val="000000" w:themeColor="text1"/>
                <w:sz w:val="24"/>
                <w14:textFill>
                  <w14:solidFill>
                    <w14:schemeClr w14:val="tx1"/>
                  </w14:solidFill>
                </w14:textFill>
              </w:rPr>
              <w:t>本项目建成后全厂</w:t>
            </w:r>
            <w:r>
              <w:rPr>
                <w:rFonts w:hint="eastAsia"/>
                <w:color w:val="000000" w:themeColor="text1"/>
                <w:sz w:val="24"/>
                <w14:textFill>
                  <w14:solidFill>
                    <w14:schemeClr w14:val="tx1"/>
                  </w14:solidFill>
                </w14:textFill>
              </w:rPr>
              <w:t>不</w:t>
            </w:r>
            <w:r>
              <w:rPr>
                <w:color w:val="000000" w:themeColor="text1"/>
                <w:sz w:val="24"/>
                <w14:textFill>
                  <w14:solidFill>
                    <w14:schemeClr w14:val="tx1"/>
                  </w14:solidFill>
                </w14:textFill>
              </w:rPr>
              <w:t>新增污染物排放</w:t>
            </w:r>
            <w:r>
              <w:rPr>
                <w:rFonts w:hint="eastAsia"/>
                <w:color w:val="000000" w:themeColor="text1"/>
                <w:sz w:val="24"/>
                <w14:textFill>
                  <w14:solidFill>
                    <w14:schemeClr w14:val="tx1"/>
                  </w14:solidFill>
                </w14:textFill>
              </w:rPr>
              <w:t>，因此不再进行总量替代</w:t>
            </w:r>
            <w:r>
              <w:rPr>
                <w:rFonts w:hint="eastAsia"/>
                <w:bCs/>
                <w:color w:val="000000" w:themeColor="text1"/>
                <w:sz w:val="24"/>
                <w:lang w:val="fr-FR"/>
                <w14:textFill>
                  <w14:solidFill>
                    <w14:schemeClr w14:val="tx1"/>
                  </w14:solidFill>
                </w14:textFill>
              </w:rPr>
              <w:t>。</w:t>
            </w:r>
          </w:p>
          <w:p w14:paraId="520AC454">
            <w:pPr>
              <w:adjustRightInd w:val="0"/>
              <w:snapToGrid w:val="0"/>
              <w:spacing w:line="460" w:lineRule="exact"/>
              <w:ind w:firstLine="480" w:firstLineChars="200"/>
              <w:rPr>
                <w:bCs/>
                <w:sz w:val="24"/>
                <w:highlight w:val="yellow"/>
              </w:rPr>
            </w:pPr>
          </w:p>
          <w:p w14:paraId="520AC455">
            <w:pPr>
              <w:adjustRightInd w:val="0"/>
              <w:snapToGrid w:val="0"/>
              <w:spacing w:line="460" w:lineRule="exact"/>
              <w:ind w:firstLine="480" w:firstLineChars="200"/>
              <w:rPr>
                <w:bCs/>
                <w:sz w:val="24"/>
                <w:highlight w:val="yellow"/>
              </w:rPr>
            </w:pPr>
          </w:p>
          <w:p w14:paraId="520AC456">
            <w:pPr>
              <w:adjustRightInd w:val="0"/>
              <w:snapToGrid w:val="0"/>
              <w:spacing w:line="460" w:lineRule="exact"/>
              <w:ind w:firstLine="480" w:firstLineChars="200"/>
              <w:rPr>
                <w:bCs/>
                <w:sz w:val="24"/>
                <w:highlight w:val="yellow"/>
              </w:rPr>
            </w:pPr>
          </w:p>
          <w:p w14:paraId="520AC457">
            <w:pPr>
              <w:adjustRightInd w:val="0"/>
              <w:snapToGrid w:val="0"/>
              <w:spacing w:line="460" w:lineRule="exact"/>
              <w:ind w:firstLine="480" w:firstLineChars="200"/>
              <w:rPr>
                <w:bCs/>
                <w:sz w:val="24"/>
                <w:highlight w:val="yellow"/>
              </w:rPr>
            </w:pPr>
          </w:p>
          <w:p w14:paraId="520AC458">
            <w:pPr>
              <w:adjustRightInd w:val="0"/>
              <w:snapToGrid w:val="0"/>
              <w:spacing w:line="460" w:lineRule="exact"/>
              <w:ind w:firstLine="480" w:firstLineChars="200"/>
              <w:rPr>
                <w:bCs/>
                <w:sz w:val="24"/>
                <w:highlight w:val="yellow"/>
              </w:rPr>
            </w:pPr>
          </w:p>
          <w:p w14:paraId="520AC459">
            <w:pPr>
              <w:adjustRightInd w:val="0"/>
              <w:snapToGrid w:val="0"/>
              <w:spacing w:line="460" w:lineRule="exact"/>
              <w:ind w:firstLine="480" w:firstLineChars="200"/>
              <w:rPr>
                <w:bCs/>
                <w:sz w:val="24"/>
                <w:highlight w:val="yellow"/>
              </w:rPr>
            </w:pPr>
          </w:p>
          <w:p w14:paraId="520AC45A">
            <w:pPr>
              <w:adjustRightInd w:val="0"/>
              <w:snapToGrid w:val="0"/>
              <w:spacing w:line="460" w:lineRule="exact"/>
              <w:ind w:firstLine="480" w:firstLineChars="200"/>
              <w:rPr>
                <w:bCs/>
                <w:sz w:val="24"/>
                <w:highlight w:val="yellow"/>
              </w:rPr>
            </w:pPr>
          </w:p>
          <w:p w14:paraId="520AC45B">
            <w:pPr>
              <w:adjustRightInd w:val="0"/>
              <w:snapToGrid w:val="0"/>
              <w:spacing w:line="460" w:lineRule="exact"/>
              <w:ind w:firstLine="480" w:firstLineChars="200"/>
              <w:rPr>
                <w:bCs/>
                <w:sz w:val="24"/>
                <w:highlight w:val="yellow"/>
              </w:rPr>
            </w:pPr>
          </w:p>
          <w:p w14:paraId="520AC45C">
            <w:pPr>
              <w:adjustRightInd w:val="0"/>
              <w:snapToGrid w:val="0"/>
              <w:spacing w:line="460" w:lineRule="exact"/>
              <w:ind w:firstLine="480" w:firstLineChars="200"/>
              <w:rPr>
                <w:bCs/>
                <w:sz w:val="24"/>
                <w:highlight w:val="yellow"/>
              </w:rPr>
            </w:pPr>
          </w:p>
          <w:p w14:paraId="520AC45D">
            <w:pPr>
              <w:adjustRightInd w:val="0"/>
              <w:snapToGrid w:val="0"/>
              <w:spacing w:line="460" w:lineRule="exact"/>
              <w:ind w:firstLine="480" w:firstLineChars="200"/>
              <w:rPr>
                <w:bCs/>
                <w:sz w:val="24"/>
                <w:highlight w:val="yellow"/>
              </w:rPr>
            </w:pPr>
          </w:p>
          <w:p w14:paraId="520AC45E">
            <w:pPr>
              <w:adjustRightInd w:val="0"/>
              <w:snapToGrid w:val="0"/>
              <w:spacing w:line="460" w:lineRule="exact"/>
              <w:ind w:firstLine="480" w:firstLineChars="200"/>
              <w:rPr>
                <w:bCs/>
                <w:sz w:val="24"/>
                <w:highlight w:val="yellow"/>
              </w:rPr>
            </w:pPr>
          </w:p>
          <w:p w14:paraId="520AC45F">
            <w:pPr>
              <w:adjustRightInd w:val="0"/>
              <w:snapToGrid w:val="0"/>
              <w:spacing w:line="460" w:lineRule="exact"/>
              <w:ind w:firstLine="480" w:firstLineChars="200"/>
              <w:rPr>
                <w:bCs/>
                <w:sz w:val="24"/>
                <w:highlight w:val="yellow"/>
              </w:rPr>
            </w:pPr>
          </w:p>
          <w:p w14:paraId="520AC461">
            <w:pPr>
              <w:adjustRightInd w:val="0"/>
              <w:snapToGrid w:val="0"/>
              <w:spacing w:line="460" w:lineRule="exact"/>
              <w:ind w:firstLine="480" w:firstLineChars="200"/>
              <w:rPr>
                <w:bCs/>
                <w:sz w:val="24"/>
                <w:highlight w:val="yellow"/>
              </w:rPr>
            </w:pPr>
          </w:p>
          <w:p w14:paraId="520AC466">
            <w:pPr>
              <w:adjustRightInd w:val="0"/>
              <w:snapToGrid w:val="0"/>
              <w:spacing w:line="460" w:lineRule="exact"/>
              <w:ind w:firstLine="480" w:firstLineChars="200"/>
              <w:rPr>
                <w:sz w:val="24"/>
                <w:highlight w:val="yellow"/>
                <w:lang w:val="pt-BR"/>
              </w:rPr>
            </w:pPr>
          </w:p>
        </w:tc>
      </w:tr>
    </w:tbl>
    <w:p w14:paraId="520AC468">
      <w:pPr>
        <w:pStyle w:val="16"/>
        <w:adjustRightInd w:val="0"/>
        <w:snapToGrid w:val="0"/>
        <w:spacing w:before="0" w:beforeAutospacing="0" w:after="0" w:afterAutospacing="0"/>
        <w:jc w:val="center"/>
        <w:rPr>
          <w:rFonts w:hint="eastAsia" w:ascii="黑体" w:hAnsi="黑体" w:eastAsia="黑体"/>
          <w:snapToGrid w:val="0"/>
          <w:sz w:val="15"/>
          <w:szCs w:val="15"/>
          <w:highlight w:val="yellow"/>
        </w:rPr>
        <w:sectPr>
          <w:pgSz w:w="11907" w:h="16840"/>
          <w:pgMar w:top="1701" w:right="1531" w:bottom="2127" w:left="1531" w:header="851" w:footer="851" w:gutter="0"/>
          <w:cols w:space="720" w:num="1"/>
          <w:docGrid w:linePitch="312" w:charSpace="0"/>
        </w:sectPr>
      </w:pPr>
    </w:p>
    <w:p w14:paraId="520AC469">
      <w:pPr>
        <w:pStyle w:val="16"/>
        <w:jc w:val="center"/>
        <w:outlineLvl w:val="0"/>
        <w:rPr>
          <w:rFonts w:hint="eastAsia" w:ascii="黑体" w:hAnsi="黑体" w:eastAsia="黑体"/>
          <w:snapToGrid w:val="0"/>
          <w:sz w:val="30"/>
          <w:szCs w:val="30"/>
        </w:rPr>
      </w:pPr>
      <w:r>
        <w:rPr>
          <w:rFonts w:hint="eastAsia" w:ascii="黑体" w:hAnsi="黑体" w:eastAsia="黑体"/>
          <w:snapToGrid w:val="0"/>
          <w:sz w:val="30"/>
          <w:szCs w:val="30"/>
        </w:rPr>
        <w:t>四、主要环境影响和保护措施</w:t>
      </w:r>
    </w:p>
    <w:tbl>
      <w:tblPr>
        <w:tblStyle w:val="18"/>
        <w:tblW w:w="890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57"/>
        <w:gridCol w:w="8351"/>
      </w:tblGrid>
      <w:tr w14:paraId="520AC4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8" w:hRule="atLeast"/>
          <w:jc w:val="center"/>
        </w:trPr>
        <w:tc>
          <w:tcPr>
            <w:tcW w:w="557" w:type="dxa"/>
            <w:tcMar>
              <w:left w:w="28" w:type="dxa"/>
              <w:right w:w="28" w:type="dxa"/>
            </w:tcMar>
            <w:vAlign w:val="center"/>
          </w:tcPr>
          <w:p w14:paraId="520AC46A">
            <w:pPr>
              <w:pStyle w:val="16"/>
              <w:adjustRightInd w:val="0"/>
              <w:snapToGrid w:val="0"/>
              <w:spacing w:before="0" w:beforeAutospacing="0" w:after="0" w:afterAutospacing="0"/>
              <w:jc w:val="center"/>
              <w:rPr>
                <w:rFonts w:hint="eastAsia" w:cs="宋体"/>
                <w:kern w:val="2"/>
                <w:sz w:val="21"/>
                <w:szCs w:val="21"/>
                <w:lang w:val="en-US"/>
              </w:rPr>
            </w:pPr>
            <w:r>
              <w:rPr>
                <w:rFonts w:hint="eastAsia" w:cs="宋体"/>
                <w:kern w:val="2"/>
                <w:sz w:val="21"/>
                <w:szCs w:val="21"/>
                <w:lang w:val="en-US"/>
              </w:rPr>
              <w:t>施工</w:t>
            </w:r>
          </w:p>
          <w:p w14:paraId="520AC46B">
            <w:pPr>
              <w:pStyle w:val="16"/>
              <w:adjustRightInd w:val="0"/>
              <w:snapToGrid w:val="0"/>
              <w:spacing w:before="0" w:beforeAutospacing="0" w:after="0" w:afterAutospacing="0"/>
              <w:jc w:val="center"/>
              <w:rPr>
                <w:rFonts w:hint="eastAsia" w:cs="宋体"/>
                <w:kern w:val="2"/>
                <w:sz w:val="21"/>
                <w:szCs w:val="21"/>
                <w:lang w:val="en-US"/>
              </w:rPr>
            </w:pPr>
            <w:r>
              <w:rPr>
                <w:rFonts w:hint="eastAsia" w:cs="宋体"/>
                <w:kern w:val="2"/>
                <w:sz w:val="21"/>
                <w:szCs w:val="21"/>
                <w:lang w:val="en-US"/>
              </w:rPr>
              <w:t>期环</w:t>
            </w:r>
          </w:p>
          <w:p w14:paraId="520AC46C">
            <w:pPr>
              <w:pStyle w:val="16"/>
              <w:adjustRightInd w:val="0"/>
              <w:snapToGrid w:val="0"/>
              <w:spacing w:before="0" w:beforeAutospacing="0" w:after="0" w:afterAutospacing="0"/>
              <w:jc w:val="center"/>
              <w:rPr>
                <w:rFonts w:hint="eastAsia" w:cs="宋体"/>
                <w:kern w:val="2"/>
                <w:sz w:val="21"/>
                <w:szCs w:val="21"/>
                <w:lang w:val="en-US"/>
              </w:rPr>
            </w:pPr>
            <w:r>
              <w:rPr>
                <w:rFonts w:hint="eastAsia" w:cs="宋体"/>
                <w:kern w:val="2"/>
                <w:sz w:val="21"/>
                <w:szCs w:val="21"/>
                <w:lang w:val="en-US"/>
              </w:rPr>
              <w:t>境保</w:t>
            </w:r>
          </w:p>
          <w:p w14:paraId="520AC46D">
            <w:pPr>
              <w:pStyle w:val="16"/>
              <w:adjustRightInd w:val="0"/>
              <w:snapToGrid w:val="0"/>
              <w:spacing w:before="0" w:beforeAutospacing="0" w:after="0" w:afterAutospacing="0"/>
              <w:jc w:val="center"/>
              <w:rPr>
                <w:rFonts w:hint="eastAsia" w:cs="宋体"/>
                <w:kern w:val="2"/>
                <w:sz w:val="21"/>
                <w:szCs w:val="21"/>
                <w:lang w:val="en-US"/>
              </w:rPr>
            </w:pPr>
            <w:r>
              <w:rPr>
                <w:rFonts w:hint="eastAsia" w:cs="宋体"/>
                <w:kern w:val="2"/>
                <w:sz w:val="21"/>
                <w:szCs w:val="21"/>
                <w:lang w:val="en-US"/>
              </w:rPr>
              <w:t>护措</w:t>
            </w:r>
          </w:p>
          <w:p w14:paraId="520AC46E">
            <w:pPr>
              <w:pStyle w:val="16"/>
              <w:adjustRightInd w:val="0"/>
              <w:snapToGrid w:val="0"/>
              <w:spacing w:before="0" w:beforeAutospacing="0" w:after="0" w:afterAutospacing="0"/>
              <w:jc w:val="center"/>
              <w:rPr>
                <w:rFonts w:hint="eastAsia" w:cs="宋体"/>
                <w:bCs/>
                <w:kern w:val="2"/>
                <w:sz w:val="21"/>
                <w:szCs w:val="21"/>
                <w:highlight w:val="yellow"/>
                <w:lang w:val="en-US"/>
              </w:rPr>
            </w:pPr>
            <w:r>
              <w:rPr>
                <w:rFonts w:hint="eastAsia" w:cs="宋体"/>
                <w:kern w:val="2"/>
                <w:sz w:val="21"/>
                <w:szCs w:val="21"/>
                <w:lang w:val="en-US"/>
              </w:rPr>
              <w:t>施</w:t>
            </w:r>
          </w:p>
        </w:tc>
        <w:tc>
          <w:tcPr>
            <w:tcW w:w="8351" w:type="dxa"/>
            <w:vAlign w:val="center"/>
          </w:tcPr>
          <w:p w14:paraId="520AC46F">
            <w:pPr>
              <w:adjustRightInd w:val="0"/>
              <w:snapToGrid w:val="0"/>
              <w:spacing w:line="460" w:lineRule="exact"/>
              <w:ind w:firstLine="480" w:firstLineChars="200"/>
              <w:rPr>
                <w:bCs/>
                <w:sz w:val="24"/>
              </w:rPr>
            </w:pPr>
            <w:r>
              <w:rPr>
                <w:rFonts w:hint="eastAsia"/>
                <w:bCs/>
                <w:sz w:val="24"/>
              </w:rPr>
              <w:t>本项目建设涉及新航集团建设路厂区和解放路厂区，本项目利用现有厂房进行生产，不存在构筑物的建设，施工期主要工作为设备的安装，设备安装主要是人工组装。</w:t>
            </w:r>
          </w:p>
          <w:p w14:paraId="520AC470">
            <w:pPr>
              <w:adjustRightInd w:val="0"/>
              <w:snapToGrid w:val="0"/>
              <w:spacing w:line="460" w:lineRule="exact"/>
              <w:ind w:firstLine="480" w:firstLineChars="200"/>
              <w:rPr>
                <w:rFonts w:hint="eastAsia" w:ascii="宋体" w:hAnsi="宋体" w:cs="宋体"/>
                <w:bCs/>
                <w:spacing w:val="-10"/>
                <w:sz w:val="24"/>
                <w:highlight w:val="yellow"/>
              </w:rPr>
            </w:pPr>
            <w:r>
              <w:rPr>
                <w:rFonts w:hint="eastAsia"/>
                <w:bCs/>
                <w:sz w:val="24"/>
              </w:rPr>
              <w:t>施工期主要污染为施工噪声和工人生活污水，全部施工均在现有车间内，经厂房隔音和距离衰减后施工噪声对周边环境影响不大；生活污水经厂区现有</w:t>
            </w:r>
            <w:r>
              <w:rPr>
                <w:rFonts w:hint="eastAsia"/>
                <w:sz w:val="24"/>
              </w:rPr>
              <w:t>综合</w:t>
            </w:r>
            <w:r>
              <w:rPr>
                <w:rFonts w:hint="eastAsia"/>
                <w:bCs/>
                <w:sz w:val="24"/>
              </w:rPr>
              <w:t>污水处理站处理后排入小尚庄污水处理厂。项目施工时间短暂，随着施工期的结束，施工影响也随之消失。</w:t>
            </w:r>
          </w:p>
        </w:tc>
      </w:tr>
      <w:tr w14:paraId="520AC8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557" w:type="dxa"/>
            <w:tcMar>
              <w:left w:w="28" w:type="dxa"/>
              <w:right w:w="28" w:type="dxa"/>
            </w:tcMar>
            <w:vAlign w:val="center"/>
          </w:tcPr>
          <w:p w14:paraId="520AC472">
            <w:pPr>
              <w:adjustRightInd w:val="0"/>
              <w:snapToGrid w:val="0"/>
              <w:jc w:val="center"/>
              <w:rPr>
                <w:rFonts w:hint="eastAsia" w:ascii="宋体" w:hAnsi="宋体" w:cs="宋体"/>
                <w:bCs/>
                <w:szCs w:val="21"/>
              </w:rPr>
            </w:pPr>
            <w:r>
              <w:rPr>
                <w:rFonts w:hint="eastAsia" w:ascii="宋体" w:hAnsi="宋体" w:cs="宋体"/>
                <w:bCs/>
                <w:szCs w:val="21"/>
              </w:rPr>
              <w:t>运营</w:t>
            </w:r>
          </w:p>
          <w:p w14:paraId="520AC473">
            <w:pPr>
              <w:adjustRightInd w:val="0"/>
              <w:snapToGrid w:val="0"/>
              <w:jc w:val="center"/>
              <w:rPr>
                <w:rFonts w:hint="eastAsia" w:ascii="宋体" w:hAnsi="宋体" w:cs="宋体"/>
                <w:bCs/>
                <w:szCs w:val="21"/>
              </w:rPr>
            </w:pPr>
            <w:r>
              <w:rPr>
                <w:rFonts w:hint="eastAsia" w:ascii="宋体" w:hAnsi="宋体" w:cs="宋体"/>
                <w:bCs/>
                <w:szCs w:val="21"/>
              </w:rPr>
              <w:t>期环</w:t>
            </w:r>
          </w:p>
          <w:p w14:paraId="520AC474">
            <w:pPr>
              <w:adjustRightInd w:val="0"/>
              <w:snapToGrid w:val="0"/>
              <w:jc w:val="center"/>
              <w:rPr>
                <w:rFonts w:hint="eastAsia" w:ascii="宋体" w:hAnsi="宋体" w:cs="宋体"/>
                <w:bCs/>
                <w:szCs w:val="21"/>
              </w:rPr>
            </w:pPr>
            <w:r>
              <w:rPr>
                <w:rFonts w:hint="eastAsia" w:ascii="宋体" w:hAnsi="宋体" w:cs="宋体"/>
                <w:bCs/>
                <w:szCs w:val="21"/>
              </w:rPr>
              <w:t>境影</w:t>
            </w:r>
          </w:p>
          <w:p w14:paraId="520AC475">
            <w:pPr>
              <w:adjustRightInd w:val="0"/>
              <w:snapToGrid w:val="0"/>
              <w:jc w:val="center"/>
              <w:rPr>
                <w:rFonts w:hint="eastAsia" w:ascii="宋体" w:hAnsi="宋体" w:cs="宋体"/>
                <w:bCs/>
                <w:szCs w:val="21"/>
              </w:rPr>
            </w:pPr>
            <w:r>
              <w:rPr>
                <w:rFonts w:hint="eastAsia" w:ascii="宋体" w:hAnsi="宋体" w:cs="宋体"/>
                <w:bCs/>
                <w:szCs w:val="21"/>
              </w:rPr>
              <w:t>响和</w:t>
            </w:r>
          </w:p>
          <w:p w14:paraId="520AC476">
            <w:pPr>
              <w:adjustRightInd w:val="0"/>
              <w:snapToGrid w:val="0"/>
              <w:jc w:val="center"/>
              <w:rPr>
                <w:rFonts w:hint="eastAsia" w:ascii="宋体" w:hAnsi="宋体" w:cs="宋体"/>
                <w:bCs/>
                <w:szCs w:val="21"/>
              </w:rPr>
            </w:pPr>
            <w:r>
              <w:rPr>
                <w:rFonts w:hint="eastAsia" w:ascii="宋体" w:hAnsi="宋体" w:cs="宋体"/>
                <w:bCs/>
                <w:szCs w:val="21"/>
              </w:rPr>
              <w:t>保护</w:t>
            </w:r>
          </w:p>
          <w:p w14:paraId="520AC477">
            <w:pPr>
              <w:adjustRightInd w:val="0"/>
              <w:snapToGrid w:val="0"/>
              <w:jc w:val="center"/>
              <w:rPr>
                <w:rFonts w:hint="eastAsia" w:ascii="宋体" w:hAnsi="宋体" w:cs="宋体"/>
                <w:bCs/>
                <w:szCs w:val="21"/>
                <w:highlight w:val="yellow"/>
              </w:rPr>
            </w:pPr>
            <w:r>
              <w:rPr>
                <w:rFonts w:hint="eastAsia" w:ascii="宋体" w:hAnsi="宋体" w:cs="宋体"/>
                <w:bCs/>
                <w:szCs w:val="21"/>
              </w:rPr>
              <w:t>措施</w:t>
            </w:r>
          </w:p>
        </w:tc>
        <w:tc>
          <w:tcPr>
            <w:tcW w:w="8351" w:type="dxa"/>
            <w:vAlign w:val="center"/>
          </w:tcPr>
          <w:p w14:paraId="520AC478">
            <w:pPr>
              <w:adjustRightInd w:val="0"/>
              <w:snapToGrid w:val="0"/>
              <w:spacing w:line="460" w:lineRule="exact"/>
              <w:rPr>
                <w:b/>
                <w:sz w:val="24"/>
              </w:rPr>
            </w:pPr>
            <w:r>
              <w:rPr>
                <w:b/>
                <w:sz w:val="24"/>
              </w:rPr>
              <w:t>营运期环境影响分析：</w:t>
            </w:r>
          </w:p>
          <w:p w14:paraId="520AC479">
            <w:pPr>
              <w:adjustRightInd w:val="0"/>
              <w:snapToGrid w:val="0"/>
              <w:spacing w:line="460" w:lineRule="exact"/>
              <w:ind w:firstLine="480" w:firstLineChars="200"/>
              <w:rPr>
                <w:sz w:val="24"/>
              </w:rPr>
            </w:pPr>
            <w:r>
              <w:rPr>
                <w:sz w:val="24"/>
              </w:rPr>
              <w:t>营运期污染因素主要有废水、废气、噪声、固废，具体内容详见以下分析。</w:t>
            </w:r>
          </w:p>
          <w:p w14:paraId="520AC47A">
            <w:pPr>
              <w:adjustRightInd w:val="0"/>
              <w:snapToGrid w:val="0"/>
              <w:spacing w:line="460" w:lineRule="exact"/>
              <w:ind w:firstLine="482" w:firstLineChars="200"/>
              <w:rPr>
                <w:b/>
                <w:sz w:val="24"/>
              </w:rPr>
            </w:pPr>
            <w:r>
              <w:rPr>
                <w:b/>
                <w:sz w:val="24"/>
              </w:rPr>
              <w:t>一、废水</w:t>
            </w:r>
          </w:p>
          <w:p w14:paraId="520AC47B">
            <w:pPr>
              <w:adjustRightInd w:val="0"/>
              <w:snapToGrid w:val="0"/>
              <w:spacing w:line="460" w:lineRule="exact"/>
              <w:ind w:firstLine="482" w:firstLineChars="200"/>
              <w:rPr>
                <w:b/>
                <w:sz w:val="24"/>
              </w:rPr>
            </w:pPr>
            <w:r>
              <w:rPr>
                <w:rFonts w:hint="eastAsia"/>
                <w:b/>
                <w:sz w:val="24"/>
              </w:rPr>
              <w:t>1、废水产生及排放情况</w:t>
            </w:r>
          </w:p>
          <w:p w14:paraId="520AC47C">
            <w:pPr>
              <w:adjustRightInd w:val="0"/>
              <w:snapToGrid w:val="0"/>
              <w:spacing w:line="460" w:lineRule="exact"/>
              <w:ind w:firstLine="482" w:firstLineChars="200"/>
              <w:rPr>
                <w:sz w:val="24"/>
              </w:rPr>
            </w:pPr>
            <w:r>
              <w:rPr>
                <w:rFonts w:hint="eastAsia"/>
                <w:b/>
                <w:bCs/>
                <w:sz w:val="24"/>
              </w:rPr>
              <w:t>（1）</w:t>
            </w:r>
            <w:r>
              <w:rPr>
                <w:rFonts w:hint="eastAsia"/>
                <w:b/>
                <w:sz w:val="24"/>
              </w:rPr>
              <w:t>建设路厂区</w:t>
            </w:r>
          </w:p>
          <w:p w14:paraId="520AC47D">
            <w:pPr>
              <w:adjustRightInd w:val="0"/>
              <w:snapToGrid w:val="0"/>
              <w:spacing w:line="460" w:lineRule="exact"/>
              <w:ind w:firstLine="480" w:firstLineChars="200"/>
              <w:rPr>
                <w:sz w:val="24"/>
              </w:rPr>
            </w:pPr>
            <w:r>
              <w:rPr>
                <w:rFonts w:hint="eastAsia"/>
                <w:sz w:val="24"/>
              </w:rPr>
              <w:t>①生活污水</w:t>
            </w:r>
          </w:p>
          <w:p w14:paraId="520AC47E">
            <w:pPr>
              <w:adjustRightInd w:val="0"/>
              <w:snapToGrid w:val="0"/>
              <w:spacing w:line="460" w:lineRule="exact"/>
              <w:ind w:firstLine="480" w:firstLineChars="200"/>
              <w:rPr>
                <w:bCs/>
                <w:sz w:val="24"/>
              </w:rPr>
            </w:pPr>
            <w:r>
              <w:rPr>
                <w:rFonts w:hint="eastAsia"/>
                <w:sz w:val="24"/>
              </w:rPr>
              <w:t>本项目建设路厂区需要员工12人，全部从现有员工内调剂，不新增员工，因此本项目不新增生活污水。现有</w:t>
            </w:r>
            <w:r>
              <w:rPr>
                <w:rFonts w:hint="eastAsia"/>
                <w:bCs/>
                <w:sz w:val="24"/>
              </w:rPr>
              <w:t>建设路厂区</w:t>
            </w:r>
            <w:r>
              <w:rPr>
                <w:rFonts w:hint="eastAsia"/>
                <w:sz w:val="24"/>
              </w:rPr>
              <w:t>生活污水经</w:t>
            </w:r>
            <w:r>
              <w:rPr>
                <w:rFonts w:hint="eastAsia"/>
                <w:bCs/>
                <w:sz w:val="24"/>
              </w:rPr>
              <w:t>厂区现有</w:t>
            </w:r>
            <w:r>
              <w:rPr>
                <w:rFonts w:hint="eastAsia"/>
                <w:sz w:val="24"/>
              </w:rPr>
              <w:t>综合</w:t>
            </w:r>
            <w:r>
              <w:rPr>
                <w:rFonts w:hint="eastAsia"/>
                <w:bCs/>
                <w:sz w:val="24"/>
              </w:rPr>
              <w:t>污水处理站</w:t>
            </w:r>
            <w:r>
              <w:rPr>
                <w:rFonts w:hint="eastAsia"/>
                <w:sz w:val="24"/>
              </w:rPr>
              <w:t>处理后排入小尚庄污水处理厂进一步处理。</w:t>
            </w:r>
          </w:p>
          <w:p w14:paraId="520AC47F">
            <w:pPr>
              <w:adjustRightInd w:val="0"/>
              <w:snapToGrid w:val="0"/>
              <w:spacing w:line="460" w:lineRule="exact"/>
              <w:ind w:firstLine="480" w:firstLineChars="200"/>
              <w:rPr>
                <w:sz w:val="24"/>
              </w:rPr>
            </w:pPr>
            <w:r>
              <w:rPr>
                <w:rFonts w:hint="eastAsia"/>
                <w:sz w:val="24"/>
              </w:rPr>
              <w:t>②纯水制备废水和蒸汽发生器排污水</w:t>
            </w:r>
          </w:p>
          <w:p w14:paraId="520AC480">
            <w:pPr>
              <w:adjustRightInd w:val="0"/>
              <w:snapToGrid w:val="0"/>
              <w:spacing w:line="460" w:lineRule="exact"/>
              <w:ind w:firstLine="480" w:firstLineChars="200"/>
              <w:rPr>
                <w:sz w:val="24"/>
              </w:rPr>
            </w:pPr>
            <w:r>
              <w:rPr>
                <w:rFonts w:hint="eastAsia"/>
                <w:sz w:val="24"/>
              </w:rPr>
              <w:t>本项目表面处理安全改造主要是将电加热改为蒸汽加热，蒸汽主要来源于本次新增的设备蒸汽发生器，蒸汽发生器采用纯水制备系统产生的纯水，纯水制备工艺为“超滤-一级反渗透-二级反渗透”。本项目蒸汽用量为0.5t/h（4t/d，1000t/a），其中20%蒸汽（0.8t/d）损耗，80%蒸汽（3.2t/d）经冷凝后回用于蒸汽发生器。蒸汽发生器排污水为蒸汽产生量的1.5%，即0.06t/d，则纯水补充量为0.86t/d。纯水制备系统制水能力为80%，则纯水制备废水产生量为0.215t/d（53.75t/a），蒸汽发生器排污水为0.06t/d（15t/a）。纯水制备废水和蒸汽发生器排污水进入厂区现有综合废水污水处理设施处理后经厂区总排口排入小尚庄污水处理厂处理。</w:t>
            </w:r>
          </w:p>
          <w:p w14:paraId="520AC481">
            <w:pPr>
              <w:adjustRightInd w:val="0"/>
              <w:snapToGrid w:val="0"/>
              <w:spacing w:line="460" w:lineRule="exact"/>
              <w:ind w:firstLine="480" w:firstLineChars="200"/>
              <w:rPr>
                <w:sz w:val="24"/>
              </w:rPr>
            </w:pPr>
            <w:r>
              <w:rPr>
                <w:rFonts w:hint="eastAsia"/>
                <w:sz w:val="24"/>
              </w:rPr>
              <w:t>河南省联谊制药有限公司纯水制备系统与本项目纯水制备系统一致，均为反渗透工艺，因此其废水水质具有可类比性。根据河南省联谊制药有限公司现有工程实际检测数据（报告编号：PY2408065），纯水制备废水水质为：COD 55mg/L、SS 77mg/L。本次评价类比其水质，取值：COD 60mg/L、SS 80mg/L。新乡拓新药业股份有限公司采用蒸汽锅炉供热，与本项目蒸汽发生器工作原理相似，且均会定期排水，因此其废水水质具有可类比性。根据新乡拓新药业股份有限公司小试检测数据（报告编号：YFJC-WT22F03059），供热系统排污水水质为：COD 46mg/L、SS 19mg/L。本次评价类比其水质，取值：COD 50mg/L、SS 20mg/L。</w:t>
            </w:r>
          </w:p>
          <w:p w14:paraId="520AC482">
            <w:pPr>
              <w:adjustRightInd w:val="0"/>
              <w:snapToGrid w:val="0"/>
              <w:spacing w:line="460" w:lineRule="exact"/>
              <w:ind w:firstLine="480" w:firstLineChars="200"/>
              <w:rPr>
                <w:sz w:val="24"/>
              </w:rPr>
            </w:pPr>
            <w:r>
              <w:rPr>
                <w:rFonts w:hint="eastAsia"/>
                <w:sz w:val="24"/>
              </w:rPr>
              <w:t>综上，本项目建设炉厂区废水产生情况见下表。</w:t>
            </w:r>
          </w:p>
          <w:p w14:paraId="520AC483">
            <w:pPr>
              <w:adjustRightInd w:val="0"/>
              <w:snapToGrid w:val="0"/>
              <w:spacing w:line="460" w:lineRule="exact"/>
              <w:ind w:firstLine="480" w:firstLineChars="200"/>
              <w:rPr>
                <w:rFonts w:eastAsia="黑体"/>
                <w:sz w:val="24"/>
              </w:rPr>
            </w:pPr>
            <w:r>
              <w:rPr>
                <w:rFonts w:hint="eastAsia" w:eastAsia="黑体"/>
                <w:sz w:val="24"/>
              </w:rPr>
              <w:t>表48      本项目建设路厂区废水产生情况一览表</w:t>
            </w:r>
          </w:p>
          <w:tbl>
            <w:tblPr>
              <w:tblStyle w:val="19"/>
              <w:tblW w:w="0" w:type="auto"/>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151"/>
              <w:gridCol w:w="1843"/>
              <w:gridCol w:w="1985"/>
              <w:gridCol w:w="2146"/>
            </w:tblGrid>
            <w:tr w14:paraId="520AC48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51" w:type="dxa"/>
                  <w:vAlign w:val="center"/>
                </w:tcPr>
                <w:p w14:paraId="520AC484">
                  <w:pPr>
                    <w:adjustRightInd w:val="0"/>
                    <w:snapToGrid w:val="0"/>
                    <w:jc w:val="center"/>
                    <w:rPr>
                      <w:b/>
                      <w:bCs/>
                      <w:szCs w:val="21"/>
                    </w:rPr>
                  </w:pPr>
                  <w:r>
                    <w:rPr>
                      <w:rFonts w:hint="eastAsia"/>
                      <w:b/>
                      <w:bCs/>
                      <w:szCs w:val="21"/>
                    </w:rPr>
                    <w:t>项目</w:t>
                  </w:r>
                </w:p>
              </w:tc>
              <w:tc>
                <w:tcPr>
                  <w:tcW w:w="1843" w:type="dxa"/>
                  <w:vAlign w:val="center"/>
                </w:tcPr>
                <w:p w14:paraId="520AC485">
                  <w:pPr>
                    <w:adjustRightInd w:val="0"/>
                    <w:snapToGrid w:val="0"/>
                    <w:jc w:val="center"/>
                    <w:rPr>
                      <w:b/>
                      <w:bCs/>
                      <w:szCs w:val="21"/>
                    </w:rPr>
                  </w:pPr>
                  <w:r>
                    <w:rPr>
                      <w:rFonts w:hint="eastAsia"/>
                      <w:b/>
                      <w:bCs/>
                      <w:szCs w:val="21"/>
                    </w:rPr>
                    <w:t>水量（t/d）</w:t>
                  </w:r>
                </w:p>
              </w:tc>
              <w:tc>
                <w:tcPr>
                  <w:tcW w:w="1985" w:type="dxa"/>
                  <w:vAlign w:val="center"/>
                </w:tcPr>
                <w:p w14:paraId="520AC486">
                  <w:pPr>
                    <w:jc w:val="center"/>
                    <w:rPr>
                      <w:szCs w:val="21"/>
                    </w:rPr>
                  </w:pPr>
                  <w:r>
                    <w:rPr>
                      <w:b/>
                      <w:szCs w:val="21"/>
                    </w:rPr>
                    <w:t>COD(mg/L)</w:t>
                  </w:r>
                </w:p>
              </w:tc>
              <w:tc>
                <w:tcPr>
                  <w:tcW w:w="2146" w:type="dxa"/>
                  <w:vAlign w:val="center"/>
                </w:tcPr>
                <w:p w14:paraId="520AC487">
                  <w:pPr>
                    <w:jc w:val="center"/>
                    <w:rPr>
                      <w:szCs w:val="21"/>
                    </w:rPr>
                  </w:pPr>
                  <w:r>
                    <w:rPr>
                      <w:b/>
                      <w:szCs w:val="21"/>
                    </w:rPr>
                    <w:t>SS(mg/L)</w:t>
                  </w:r>
                </w:p>
              </w:tc>
            </w:tr>
            <w:tr w14:paraId="520AC48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51" w:type="dxa"/>
                  <w:vAlign w:val="center"/>
                </w:tcPr>
                <w:p w14:paraId="520AC489">
                  <w:pPr>
                    <w:adjustRightInd w:val="0"/>
                    <w:snapToGrid w:val="0"/>
                    <w:jc w:val="center"/>
                    <w:rPr>
                      <w:szCs w:val="21"/>
                    </w:rPr>
                  </w:pPr>
                  <w:r>
                    <w:rPr>
                      <w:rFonts w:hint="eastAsia"/>
                      <w:szCs w:val="21"/>
                    </w:rPr>
                    <w:t>纯水制备废水</w:t>
                  </w:r>
                </w:p>
              </w:tc>
              <w:tc>
                <w:tcPr>
                  <w:tcW w:w="1843" w:type="dxa"/>
                  <w:vAlign w:val="center"/>
                </w:tcPr>
                <w:p w14:paraId="520AC48A">
                  <w:pPr>
                    <w:adjustRightInd w:val="0"/>
                    <w:snapToGrid w:val="0"/>
                    <w:jc w:val="center"/>
                    <w:rPr>
                      <w:szCs w:val="21"/>
                    </w:rPr>
                  </w:pPr>
                  <w:r>
                    <w:rPr>
                      <w:rFonts w:hint="eastAsia"/>
                      <w:szCs w:val="21"/>
                    </w:rPr>
                    <w:t>0.215</w:t>
                  </w:r>
                </w:p>
              </w:tc>
              <w:tc>
                <w:tcPr>
                  <w:tcW w:w="1985" w:type="dxa"/>
                  <w:vAlign w:val="center"/>
                </w:tcPr>
                <w:p w14:paraId="520AC48B">
                  <w:pPr>
                    <w:adjustRightInd w:val="0"/>
                    <w:snapToGrid w:val="0"/>
                    <w:jc w:val="center"/>
                    <w:rPr>
                      <w:szCs w:val="21"/>
                    </w:rPr>
                  </w:pPr>
                  <w:r>
                    <w:rPr>
                      <w:rFonts w:hint="eastAsia"/>
                      <w:szCs w:val="21"/>
                    </w:rPr>
                    <w:t>60</w:t>
                  </w:r>
                </w:p>
              </w:tc>
              <w:tc>
                <w:tcPr>
                  <w:tcW w:w="2146" w:type="dxa"/>
                  <w:vAlign w:val="center"/>
                </w:tcPr>
                <w:p w14:paraId="520AC48C">
                  <w:pPr>
                    <w:adjustRightInd w:val="0"/>
                    <w:snapToGrid w:val="0"/>
                    <w:jc w:val="center"/>
                    <w:rPr>
                      <w:szCs w:val="21"/>
                    </w:rPr>
                  </w:pPr>
                  <w:r>
                    <w:rPr>
                      <w:rFonts w:hint="eastAsia"/>
                      <w:szCs w:val="21"/>
                    </w:rPr>
                    <w:t>80</w:t>
                  </w:r>
                </w:p>
              </w:tc>
            </w:tr>
            <w:tr w14:paraId="520AC49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51" w:type="dxa"/>
                  <w:vAlign w:val="center"/>
                </w:tcPr>
                <w:p w14:paraId="520AC48E">
                  <w:pPr>
                    <w:adjustRightInd w:val="0"/>
                    <w:snapToGrid w:val="0"/>
                    <w:jc w:val="center"/>
                    <w:rPr>
                      <w:szCs w:val="21"/>
                    </w:rPr>
                  </w:pPr>
                  <w:r>
                    <w:rPr>
                      <w:rFonts w:hint="eastAsia"/>
                      <w:szCs w:val="21"/>
                    </w:rPr>
                    <w:t>蒸汽发生器排污水</w:t>
                  </w:r>
                </w:p>
              </w:tc>
              <w:tc>
                <w:tcPr>
                  <w:tcW w:w="1843" w:type="dxa"/>
                  <w:vAlign w:val="center"/>
                </w:tcPr>
                <w:p w14:paraId="520AC48F">
                  <w:pPr>
                    <w:adjustRightInd w:val="0"/>
                    <w:snapToGrid w:val="0"/>
                    <w:jc w:val="center"/>
                    <w:rPr>
                      <w:szCs w:val="21"/>
                    </w:rPr>
                  </w:pPr>
                  <w:r>
                    <w:rPr>
                      <w:rFonts w:hint="eastAsia"/>
                      <w:szCs w:val="21"/>
                    </w:rPr>
                    <w:t>0.06</w:t>
                  </w:r>
                </w:p>
              </w:tc>
              <w:tc>
                <w:tcPr>
                  <w:tcW w:w="1985" w:type="dxa"/>
                  <w:vAlign w:val="center"/>
                </w:tcPr>
                <w:p w14:paraId="520AC490">
                  <w:pPr>
                    <w:adjustRightInd w:val="0"/>
                    <w:snapToGrid w:val="0"/>
                    <w:jc w:val="center"/>
                    <w:rPr>
                      <w:szCs w:val="21"/>
                    </w:rPr>
                  </w:pPr>
                  <w:r>
                    <w:rPr>
                      <w:rFonts w:hint="eastAsia"/>
                      <w:szCs w:val="21"/>
                    </w:rPr>
                    <w:t>50</w:t>
                  </w:r>
                </w:p>
              </w:tc>
              <w:tc>
                <w:tcPr>
                  <w:tcW w:w="2146" w:type="dxa"/>
                  <w:vAlign w:val="center"/>
                </w:tcPr>
                <w:p w14:paraId="520AC491">
                  <w:pPr>
                    <w:adjustRightInd w:val="0"/>
                    <w:snapToGrid w:val="0"/>
                    <w:jc w:val="center"/>
                    <w:rPr>
                      <w:szCs w:val="21"/>
                    </w:rPr>
                  </w:pPr>
                  <w:r>
                    <w:rPr>
                      <w:rFonts w:hint="eastAsia"/>
                      <w:szCs w:val="21"/>
                    </w:rPr>
                    <w:t>20</w:t>
                  </w:r>
                </w:p>
              </w:tc>
            </w:tr>
            <w:tr w14:paraId="520AC49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51" w:type="dxa"/>
                  <w:vAlign w:val="center"/>
                </w:tcPr>
                <w:p w14:paraId="520AC493">
                  <w:pPr>
                    <w:adjustRightInd w:val="0"/>
                    <w:snapToGrid w:val="0"/>
                    <w:jc w:val="center"/>
                    <w:rPr>
                      <w:szCs w:val="21"/>
                    </w:rPr>
                  </w:pPr>
                  <w:r>
                    <w:rPr>
                      <w:rFonts w:hint="eastAsia"/>
                      <w:szCs w:val="21"/>
                    </w:rPr>
                    <w:t>混合后</w:t>
                  </w:r>
                </w:p>
              </w:tc>
              <w:tc>
                <w:tcPr>
                  <w:tcW w:w="1843" w:type="dxa"/>
                  <w:vAlign w:val="center"/>
                </w:tcPr>
                <w:p w14:paraId="520AC494">
                  <w:pPr>
                    <w:adjustRightInd w:val="0"/>
                    <w:snapToGrid w:val="0"/>
                    <w:jc w:val="center"/>
                    <w:rPr>
                      <w:szCs w:val="21"/>
                    </w:rPr>
                  </w:pPr>
                  <w:r>
                    <w:rPr>
                      <w:rFonts w:hint="eastAsia"/>
                      <w:szCs w:val="21"/>
                    </w:rPr>
                    <w:t>0.275</w:t>
                  </w:r>
                </w:p>
              </w:tc>
              <w:tc>
                <w:tcPr>
                  <w:tcW w:w="1985" w:type="dxa"/>
                  <w:vAlign w:val="center"/>
                </w:tcPr>
                <w:p w14:paraId="520AC495">
                  <w:pPr>
                    <w:adjustRightInd w:val="0"/>
                    <w:snapToGrid w:val="0"/>
                    <w:jc w:val="center"/>
                    <w:rPr>
                      <w:szCs w:val="21"/>
                    </w:rPr>
                  </w:pPr>
                  <w:r>
                    <w:rPr>
                      <w:rFonts w:hint="eastAsia"/>
                      <w:szCs w:val="21"/>
                    </w:rPr>
                    <w:t>57.8</w:t>
                  </w:r>
                </w:p>
              </w:tc>
              <w:tc>
                <w:tcPr>
                  <w:tcW w:w="2146" w:type="dxa"/>
                  <w:vAlign w:val="center"/>
                </w:tcPr>
                <w:p w14:paraId="520AC496">
                  <w:pPr>
                    <w:adjustRightInd w:val="0"/>
                    <w:snapToGrid w:val="0"/>
                    <w:jc w:val="center"/>
                    <w:rPr>
                      <w:szCs w:val="21"/>
                    </w:rPr>
                  </w:pPr>
                  <w:r>
                    <w:rPr>
                      <w:rFonts w:hint="eastAsia"/>
                      <w:szCs w:val="21"/>
                    </w:rPr>
                    <w:t>66.9</w:t>
                  </w:r>
                </w:p>
              </w:tc>
            </w:tr>
          </w:tbl>
          <w:p w14:paraId="520AC498">
            <w:pPr>
              <w:adjustRightInd w:val="0"/>
              <w:snapToGrid w:val="0"/>
              <w:spacing w:line="460" w:lineRule="exact"/>
              <w:ind w:firstLine="482" w:firstLineChars="200"/>
              <w:rPr>
                <w:b/>
                <w:bCs/>
                <w:sz w:val="24"/>
              </w:rPr>
            </w:pPr>
            <w:r>
              <w:rPr>
                <w:rFonts w:hint="eastAsia"/>
                <w:b/>
                <w:bCs/>
                <w:sz w:val="24"/>
              </w:rPr>
              <w:t>（2）解放路厂区</w:t>
            </w:r>
          </w:p>
          <w:p w14:paraId="520AC499">
            <w:pPr>
              <w:adjustRightInd w:val="0"/>
              <w:snapToGrid w:val="0"/>
              <w:spacing w:line="460" w:lineRule="exact"/>
              <w:ind w:firstLine="480" w:firstLineChars="200"/>
              <w:rPr>
                <w:sz w:val="24"/>
              </w:rPr>
            </w:pPr>
            <w:r>
              <w:rPr>
                <w:rFonts w:hint="eastAsia"/>
                <w:sz w:val="24"/>
              </w:rPr>
              <w:t>本项目解放路厂区需要员工8人，全部从现有员工内调剂，不新增员工，因此本项目不新增生活污水。现解放</w:t>
            </w:r>
            <w:r>
              <w:rPr>
                <w:rFonts w:hint="eastAsia"/>
                <w:bCs/>
                <w:sz w:val="24"/>
              </w:rPr>
              <w:t>路厂区</w:t>
            </w:r>
            <w:r>
              <w:rPr>
                <w:rFonts w:hint="eastAsia"/>
                <w:sz w:val="24"/>
              </w:rPr>
              <w:t>生活污水经</w:t>
            </w:r>
            <w:r>
              <w:rPr>
                <w:rFonts w:hint="eastAsia"/>
                <w:bCs/>
                <w:sz w:val="24"/>
              </w:rPr>
              <w:t>厂区现有</w:t>
            </w:r>
            <w:r>
              <w:rPr>
                <w:rFonts w:hint="eastAsia"/>
                <w:sz w:val="24"/>
              </w:rPr>
              <w:t>综合</w:t>
            </w:r>
            <w:r>
              <w:rPr>
                <w:rFonts w:hint="eastAsia"/>
                <w:bCs/>
                <w:sz w:val="24"/>
              </w:rPr>
              <w:t>污水处理站</w:t>
            </w:r>
            <w:r>
              <w:rPr>
                <w:rFonts w:hint="eastAsia"/>
                <w:sz w:val="24"/>
              </w:rPr>
              <w:t>处理后排入小尚庄污水处理厂进一步处理。</w:t>
            </w:r>
          </w:p>
          <w:p w14:paraId="520AC49A">
            <w:pPr>
              <w:adjustRightInd w:val="0"/>
              <w:snapToGrid w:val="0"/>
              <w:spacing w:line="460" w:lineRule="exact"/>
              <w:ind w:firstLine="482" w:firstLineChars="200"/>
              <w:rPr>
                <w:b/>
                <w:sz w:val="24"/>
              </w:rPr>
            </w:pPr>
            <w:r>
              <w:rPr>
                <w:rFonts w:hint="eastAsia"/>
                <w:b/>
                <w:sz w:val="24"/>
              </w:rPr>
              <w:t>2、</w:t>
            </w:r>
            <w:r>
              <w:rPr>
                <w:rFonts w:hint="eastAsia"/>
                <w:b/>
                <w:bCs/>
                <w:sz w:val="24"/>
              </w:rPr>
              <w:t>废水处理情况分析</w:t>
            </w:r>
          </w:p>
          <w:p w14:paraId="520AC49B">
            <w:pPr>
              <w:adjustRightInd w:val="0"/>
              <w:snapToGrid w:val="0"/>
              <w:spacing w:line="460" w:lineRule="exact"/>
              <w:ind w:firstLine="480" w:firstLineChars="200"/>
              <w:rPr>
                <w:sz w:val="24"/>
              </w:rPr>
            </w:pPr>
            <w:r>
              <w:rPr>
                <w:rFonts w:hint="eastAsia"/>
                <w:sz w:val="24"/>
              </w:rPr>
              <w:t>本项目外排废水主要为建设路厂区纯水制备废水和蒸汽发生器排污水，故仅对建设路厂区废水处理情况进一步分析。本项目建设路厂区废水进入厂区现有综合废水污水处理设施（处理规模：960m</w:t>
            </w:r>
            <w:r>
              <w:rPr>
                <w:rFonts w:hint="eastAsia"/>
                <w:sz w:val="24"/>
                <w:vertAlign w:val="superscript"/>
              </w:rPr>
              <w:t>3</w:t>
            </w:r>
            <w:r>
              <w:rPr>
                <w:rFonts w:hint="eastAsia"/>
                <w:sz w:val="24"/>
              </w:rPr>
              <w:t>/d）处理后经厂区总排口排入小尚庄污水处理厂处理，综合废水污水处理设施具体处理工艺流程见下图：</w:t>
            </w:r>
          </w:p>
          <w:p w14:paraId="520AC49C">
            <w:pPr>
              <w:adjustRightInd w:val="0"/>
              <w:snapToGrid w:val="0"/>
              <w:spacing w:line="460" w:lineRule="exact"/>
              <w:ind w:firstLine="480" w:firstLineChars="200"/>
              <w:rPr>
                <w:sz w:val="24"/>
              </w:rPr>
            </w:pPr>
          </w:p>
          <w:p w14:paraId="520AC49D">
            <w:pPr>
              <w:adjustRightInd w:val="0"/>
              <w:snapToGrid w:val="0"/>
              <w:spacing w:line="460" w:lineRule="exact"/>
              <w:ind w:firstLine="480" w:firstLineChars="200"/>
              <w:rPr>
                <w:sz w:val="24"/>
              </w:rPr>
            </w:pPr>
          </w:p>
          <w:p w14:paraId="520AC49E">
            <w:pPr>
              <w:adjustRightInd w:val="0"/>
              <w:snapToGrid w:val="0"/>
              <w:spacing w:line="460" w:lineRule="exact"/>
              <w:ind w:firstLine="480" w:firstLineChars="200"/>
              <w:rPr>
                <w:sz w:val="24"/>
              </w:rPr>
            </w:pPr>
          </w:p>
          <w:p w14:paraId="520AC49F">
            <w:pPr>
              <w:adjustRightInd w:val="0"/>
              <w:snapToGrid w:val="0"/>
              <w:spacing w:line="460" w:lineRule="exact"/>
              <w:ind w:firstLine="480" w:firstLineChars="200"/>
              <w:rPr>
                <w:sz w:val="24"/>
              </w:rPr>
            </w:pPr>
          </w:p>
          <w:p w14:paraId="520AC4A1">
            <w:pPr>
              <w:adjustRightInd w:val="0"/>
              <w:snapToGrid w:val="0"/>
              <w:jc w:val="center"/>
              <w:rPr>
                <w:highlight w:val="yellow"/>
              </w:rPr>
            </w:pPr>
            <w:r>
              <w:object>
                <v:shape id="_x0000_i1027" o:spt="75" alt="" type="#_x0000_t75" style="height:444pt;width:402pt;" o:ole="t" filled="f" o:preferrelative="t" stroked="f" coordsize="21600,21600">
                  <v:fill on="f" focussize="0,0"/>
                  <v:stroke on="f"/>
                  <v:imagedata r:id="rId23" o:title=""/>
                  <o:lock v:ext="edit" aspectratio="t"/>
                  <w10:wrap type="none"/>
                  <w10:anchorlock/>
                </v:shape>
                <o:OLEObject Type="Embed" ProgID="Visio.Drawing.11" ShapeID="_x0000_i1027" DrawAspect="Content" ObjectID="_1468075725" r:id="rId22">
                  <o:LockedField>false</o:LockedField>
                </o:OLEObject>
              </w:object>
            </w:r>
          </w:p>
          <w:p w14:paraId="520AC4A2">
            <w:pPr>
              <w:adjustRightInd w:val="0"/>
              <w:snapToGrid w:val="0"/>
              <w:jc w:val="center"/>
              <w:rPr>
                <w:rFonts w:eastAsia="黑体"/>
                <w:sz w:val="24"/>
              </w:rPr>
            </w:pPr>
            <w:r>
              <w:rPr>
                <w:rFonts w:hint="eastAsia" w:eastAsia="黑体"/>
                <w:sz w:val="24"/>
              </w:rPr>
              <w:t>图</w:t>
            </w:r>
            <w:r>
              <w:rPr>
                <w:rFonts w:eastAsia="黑体"/>
                <w:sz w:val="24"/>
              </w:rPr>
              <w:t xml:space="preserve">9   </w:t>
            </w:r>
            <w:r>
              <w:rPr>
                <w:rFonts w:hint="eastAsia" w:eastAsia="黑体"/>
                <w:sz w:val="24"/>
              </w:rPr>
              <w:t>企业综合废水处理系统工艺流程图</w:t>
            </w:r>
          </w:p>
          <w:p w14:paraId="520AC4A3">
            <w:pPr>
              <w:spacing w:line="460" w:lineRule="exact"/>
              <w:ind w:firstLine="480" w:firstLineChars="200"/>
              <w:rPr>
                <w:sz w:val="24"/>
              </w:rPr>
            </w:pPr>
            <w:r>
              <w:rPr>
                <w:rFonts w:hint="eastAsia"/>
                <w:sz w:val="24"/>
              </w:rPr>
              <w:t>本项目废水根据企业2025年1月1日-2025年6月23日厂区总排口在线监测数据日均值统计和河南鑫成环测检测技术有限公司于2025年4月27日对厂区总排口进行的检测数据可知，厂区总排口废水水质为pH</w:t>
            </w:r>
            <w:r>
              <w:rPr>
                <w:sz w:val="24"/>
              </w:rPr>
              <w:t xml:space="preserve"> </w:t>
            </w:r>
            <w:r>
              <w:rPr>
                <w:rFonts w:hint="eastAsia"/>
                <w:sz w:val="24"/>
              </w:rPr>
              <w:t>6.956~8.368、COD</w:t>
            </w:r>
            <w:r>
              <w:rPr>
                <w:sz w:val="24"/>
              </w:rPr>
              <w:t xml:space="preserve"> </w:t>
            </w:r>
            <w:r>
              <w:rPr>
                <w:rFonts w:hint="eastAsia"/>
                <w:sz w:val="24"/>
              </w:rPr>
              <w:t>20.65~89.464mg/L、SS</w:t>
            </w:r>
            <w:r>
              <w:rPr>
                <w:sz w:val="24"/>
              </w:rPr>
              <w:t xml:space="preserve"> </w:t>
            </w:r>
            <w:r>
              <w:rPr>
                <w:rFonts w:hint="eastAsia"/>
                <w:sz w:val="24"/>
              </w:rPr>
              <w:t>22~27mg/L、NH</w:t>
            </w:r>
            <w:r>
              <w:rPr>
                <w:rFonts w:hint="eastAsia"/>
                <w:sz w:val="24"/>
                <w:vertAlign w:val="subscript"/>
              </w:rPr>
              <w:t>3</w:t>
            </w:r>
            <w:r>
              <w:rPr>
                <w:rFonts w:hint="eastAsia"/>
                <w:sz w:val="24"/>
              </w:rPr>
              <w:t>-N</w:t>
            </w:r>
            <w:r>
              <w:rPr>
                <w:sz w:val="24"/>
              </w:rPr>
              <w:t xml:space="preserve"> </w:t>
            </w:r>
            <w:r>
              <w:rPr>
                <w:rFonts w:hint="eastAsia"/>
                <w:sz w:val="24"/>
              </w:rPr>
              <w:t>0.267~8.396mg/L、TP 0.059~0.669mg/L、TN</w:t>
            </w:r>
            <w:r>
              <w:rPr>
                <w:sz w:val="24"/>
              </w:rPr>
              <w:t xml:space="preserve"> </w:t>
            </w:r>
            <w:r>
              <w:rPr>
                <w:rFonts w:hint="eastAsia"/>
                <w:sz w:val="24"/>
              </w:rPr>
              <w:t>3.651~21.627mg/L、石油类0.5~0.52mg/L、总铜0.09~0.11mg/L、总锌0.52~0.57 mg/L、总氰化物0.073~0.079mg/L，最大流量427.734m</w:t>
            </w:r>
            <w:r>
              <w:rPr>
                <w:rFonts w:hint="eastAsia"/>
                <w:sz w:val="24"/>
                <w:vertAlign w:val="superscript"/>
              </w:rPr>
              <w:t>3</w:t>
            </w:r>
            <w:r>
              <w:rPr>
                <w:rFonts w:hint="eastAsia"/>
                <w:sz w:val="24"/>
              </w:rPr>
              <w:t>/d。本项目纯水制备废水和蒸汽发生器排污水排放量为</w:t>
            </w:r>
            <w:r>
              <w:rPr>
                <w:sz w:val="24"/>
              </w:rPr>
              <w:t>0.</w:t>
            </w:r>
            <w:r>
              <w:rPr>
                <w:rFonts w:hint="eastAsia"/>
                <w:sz w:val="24"/>
              </w:rPr>
              <w:t>275</w:t>
            </w:r>
            <w:r>
              <w:rPr>
                <w:sz w:val="24"/>
              </w:rPr>
              <w:t>m</w:t>
            </w:r>
            <w:r>
              <w:rPr>
                <w:sz w:val="24"/>
                <w:vertAlign w:val="superscript"/>
              </w:rPr>
              <w:t>3</w:t>
            </w:r>
            <w:r>
              <w:rPr>
                <w:sz w:val="24"/>
              </w:rPr>
              <w:t>/d</w:t>
            </w:r>
            <w:r>
              <w:rPr>
                <w:rFonts w:hint="eastAsia"/>
                <w:sz w:val="24"/>
              </w:rPr>
              <w:t>，仅占现有工程废水排放量的0.064%，且水质较简单，</w:t>
            </w:r>
            <w:r>
              <w:rPr>
                <w:sz w:val="24"/>
              </w:rPr>
              <w:t>不会对</w:t>
            </w:r>
            <w:r>
              <w:rPr>
                <w:rFonts w:hint="eastAsia"/>
                <w:sz w:val="24"/>
              </w:rPr>
              <w:t>厂区现</w:t>
            </w:r>
            <w:r>
              <w:rPr>
                <w:rFonts w:hint="eastAsia"/>
                <w:kern w:val="0"/>
                <w:sz w:val="24"/>
              </w:rPr>
              <w:t>有综合废水处理设施</w:t>
            </w:r>
            <w:r>
              <w:rPr>
                <w:sz w:val="24"/>
              </w:rPr>
              <w:t>造成冲击，</w:t>
            </w:r>
            <w:r>
              <w:rPr>
                <w:rFonts w:hint="eastAsia"/>
                <w:sz w:val="24"/>
              </w:rPr>
              <w:t>因此评价认为本项目完成后全厂总排口废水排放浓度不变，按照最不利原则，本项目完成后全厂废水污染物最大排放浓度为pH</w:t>
            </w:r>
            <w:r>
              <w:rPr>
                <w:sz w:val="24"/>
              </w:rPr>
              <w:t xml:space="preserve"> </w:t>
            </w:r>
            <w:r>
              <w:rPr>
                <w:rFonts w:hint="eastAsia"/>
                <w:sz w:val="24"/>
              </w:rPr>
              <w:t>8.368、COD</w:t>
            </w:r>
            <w:r>
              <w:rPr>
                <w:sz w:val="24"/>
              </w:rPr>
              <w:t xml:space="preserve"> </w:t>
            </w:r>
            <w:r>
              <w:rPr>
                <w:rFonts w:hint="eastAsia"/>
                <w:sz w:val="24"/>
              </w:rPr>
              <w:t>89.464mg/L、SS</w:t>
            </w:r>
            <w:r>
              <w:rPr>
                <w:sz w:val="24"/>
              </w:rPr>
              <w:t xml:space="preserve"> </w:t>
            </w:r>
            <w:r>
              <w:rPr>
                <w:rFonts w:hint="eastAsia"/>
                <w:sz w:val="24"/>
              </w:rPr>
              <w:t>27mg/L、NH</w:t>
            </w:r>
            <w:r>
              <w:rPr>
                <w:rFonts w:hint="eastAsia"/>
                <w:sz w:val="24"/>
                <w:vertAlign w:val="subscript"/>
              </w:rPr>
              <w:t>3</w:t>
            </w:r>
            <w:r>
              <w:rPr>
                <w:rFonts w:hint="eastAsia"/>
                <w:sz w:val="24"/>
              </w:rPr>
              <w:t>-N</w:t>
            </w:r>
            <w:r>
              <w:rPr>
                <w:sz w:val="24"/>
              </w:rPr>
              <w:t xml:space="preserve"> </w:t>
            </w:r>
            <w:r>
              <w:rPr>
                <w:rFonts w:hint="eastAsia"/>
                <w:sz w:val="24"/>
              </w:rPr>
              <w:t>8.396mg/L、TN</w:t>
            </w:r>
            <w:r>
              <w:rPr>
                <w:sz w:val="24"/>
              </w:rPr>
              <w:t xml:space="preserve"> </w:t>
            </w:r>
            <w:r>
              <w:rPr>
                <w:rFonts w:hint="eastAsia"/>
                <w:sz w:val="24"/>
              </w:rPr>
              <w:t>21.627mg/L、TP</w:t>
            </w:r>
            <w:r>
              <w:rPr>
                <w:sz w:val="24"/>
              </w:rPr>
              <w:t xml:space="preserve"> </w:t>
            </w:r>
            <w:r>
              <w:rPr>
                <w:rFonts w:hint="eastAsia"/>
                <w:sz w:val="24"/>
              </w:rPr>
              <w:t>0.669mg/L、石油类0.52mg/L、总铜0.11mg/L、总锌0.57 mg/L、总氰化物0.079mg/L；pH、COD、SS、NH</w:t>
            </w:r>
            <w:r>
              <w:rPr>
                <w:rFonts w:hint="eastAsia"/>
                <w:sz w:val="24"/>
                <w:vertAlign w:val="subscript"/>
              </w:rPr>
              <w:t>3</w:t>
            </w:r>
            <w:r>
              <w:rPr>
                <w:rFonts w:hint="eastAsia"/>
                <w:sz w:val="24"/>
              </w:rPr>
              <w:t>-N、TN、TP满足小尚庄污水处理厂pH</w:t>
            </w:r>
            <w:r>
              <w:rPr>
                <w:sz w:val="24"/>
              </w:rPr>
              <w:t xml:space="preserve"> </w:t>
            </w:r>
            <w:r>
              <w:rPr>
                <w:rFonts w:hint="eastAsia"/>
                <w:sz w:val="24"/>
              </w:rPr>
              <w:t>6~9、COD 350mg/L、SS 250mg/L、NH</w:t>
            </w:r>
            <w:r>
              <w:rPr>
                <w:rFonts w:hint="eastAsia"/>
                <w:sz w:val="24"/>
                <w:vertAlign w:val="subscript"/>
              </w:rPr>
              <w:t>3</w:t>
            </w:r>
            <w:r>
              <w:rPr>
                <w:rFonts w:hint="eastAsia"/>
                <w:sz w:val="24"/>
              </w:rPr>
              <w:t>-N 30mg/L、TP 3mg/L、TN 40mg/L的收水标准要求和《污水综合排放标准》（GB8978-1996）表4二级pH</w:t>
            </w:r>
            <w:r>
              <w:rPr>
                <w:sz w:val="24"/>
              </w:rPr>
              <w:t xml:space="preserve"> </w:t>
            </w:r>
            <w:r>
              <w:rPr>
                <w:rFonts w:hint="eastAsia"/>
                <w:sz w:val="24"/>
              </w:rPr>
              <w:t>6~9、COD</w:t>
            </w:r>
            <w:r>
              <w:rPr>
                <w:sz w:val="24"/>
              </w:rPr>
              <w:t xml:space="preserve"> </w:t>
            </w:r>
            <w:r>
              <w:rPr>
                <w:rFonts w:hint="eastAsia"/>
                <w:sz w:val="24"/>
              </w:rPr>
              <w:t>150mg/L、SS</w:t>
            </w:r>
            <w:r>
              <w:rPr>
                <w:sz w:val="24"/>
              </w:rPr>
              <w:t xml:space="preserve"> </w:t>
            </w:r>
            <w:r>
              <w:rPr>
                <w:rFonts w:hint="eastAsia"/>
                <w:sz w:val="24"/>
              </w:rPr>
              <w:t>150mg/L、NH</w:t>
            </w:r>
            <w:r>
              <w:rPr>
                <w:rFonts w:hint="eastAsia"/>
                <w:sz w:val="24"/>
                <w:vertAlign w:val="subscript"/>
              </w:rPr>
              <w:t>3</w:t>
            </w:r>
            <w:r>
              <w:rPr>
                <w:rFonts w:hint="eastAsia"/>
                <w:sz w:val="24"/>
              </w:rPr>
              <w:t>-N</w:t>
            </w:r>
            <w:r>
              <w:rPr>
                <w:sz w:val="24"/>
              </w:rPr>
              <w:t xml:space="preserve"> </w:t>
            </w:r>
            <w:r>
              <w:rPr>
                <w:rFonts w:hint="eastAsia"/>
                <w:sz w:val="24"/>
              </w:rPr>
              <w:t>25mg/L、TP</w:t>
            </w:r>
            <w:r>
              <w:rPr>
                <w:sz w:val="24"/>
              </w:rPr>
              <w:t xml:space="preserve"> </w:t>
            </w:r>
            <w:r>
              <w:rPr>
                <w:rFonts w:hint="eastAsia"/>
                <w:sz w:val="24"/>
              </w:rPr>
              <w:t>1.0mg/L的排放标准要求，</w:t>
            </w:r>
            <w:r>
              <w:rPr>
                <w:bCs/>
                <w:sz w:val="24"/>
              </w:rPr>
              <w:t>石油类、总铜、总锌、总氰化物排放浓度</w:t>
            </w:r>
            <w:r>
              <w:rPr>
                <w:rFonts w:hint="eastAsia"/>
                <w:bCs/>
                <w:sz w:val="24"/>
              </w:rPr>
              <w:t>均能满足</w:t>
            </w:r>
            <w:r>
              <w:rPr>
                <w:rFonts w:hint="eastAsia"/>
                <w:sz w:val="24"/>
              </w:rPr>
              <w:t>《电镀污染物排放标准》（GB21900-2008）表2企业废水总排放口</w:t>
            </w:r>
            <w:r>
              <w:rPr>
                <w:bCs/>
                <w:sz w:val="24"/>
              </w:rPr>
              <w:t>石油类</w:t>
            </w:r>
            <w:r>
              <w:rPr>
                <w:rFonts w:hint="eastAsia"/>
                <w:bCs/>
                <w:sz w:val="24"/>
              </w:rPr>
              <w:t>3.0</w:t>
            </w:r>
            <w:r>
              <w:rPr>
                <w:bCs/>
                <w:sz w:val="24"/>
              </w:rPr>
              <w:t>mg/L、总铜</w:t>
            </w:r>
            <w:r>
              <w:rPr>
                <w:rFonts w:hint="eastAsia"/>
                <w:bCs/>
                <w:sz w:val="24"/>
              </w:rPr>
              <w:t>0.5</w:t>
            </w:r>
            <w:r>
              <w:rPr>
                <w:bCs/>
                <w:sz w:val="24"/>
              </w:rPr>
              <w:t>mg/L、总锌</w:t>
            </w:r>
            <w:r>
              <w:rPr>
                <w:rFonts w:hint="eastAsia"/>
                <w:bCs/>
                <w:sz w:val="24"/>
              </w:rPr>
              <w:t>1.5</w:t>
            </w:r>
            <w:r>
              <w:rPr>
                <w:bCs/>
                <w:sz w:val="24"/>
              </w:rPr>
              <w:t>mg/L、总氰化物</w:t>
            </w:r>
            <w:r>
              <w:rPr>
                <w:rFonts w:hint="eastAsia"/>
                <w:bCs/>
                <w:sz w:val="24"/>
              </w:rPr>
              <w:t>0.3</w:t>
            </w:r>
            <w:r>
              <w:rPr>
                <w:bCs/>
                <w:sz w:val="24"/>
              </w:rPr>
              <w:t>mg/L</w:t>
            </w:r>
            <w:r>
              <w:rPr>
                <w:rFonts w:hint="eastAsia"/>
                <w:sz w:val="24"/>
              </w:rPr>
              <w:t>的限值要求。</w:t>
            </w:r>
          </w:p>
          <w:p w14:paraId="520AC4A4">
            <w:pPr>
              <w:adjustRightInd w:val="0"/>
              <w:snapToGrid w:val="0"/>
              <w:spacing w:line="460" w:lineRule="exact"/>
              <w:ind w:firstLine="480" w:firstLineChars="200"/>
              <w:rPr>
                <w:sz w:val="24"/>
              </w:rPr>
            </w:pPr>
            <w:r>
              <w:rPr>
                <w:rFonts w:hint="eastAsia"/>
                <w:sz w:val="24"/>
              </w:rPr>
              <w:t>本项目外排废水与现有工程综合废水一起经厂区现有综合废水处理设施处理后经污水管网排入小尚庄污水处理厂进一步处理，处理后排入卫河，属于间接排放。</w:t>
            </w:r>
          </w:p>
          <w:p w14:paraId="520AC4A5">
            <w:pPr>
              <w:adjustRightInd w:val="0"/>
              <w:snapToGrid w:val="0"/>
              <w:spacing w:line="460" w:lineRule="exact"/>
              <w:ind w:firstLine="482" w:firstLineChars="200"/>
              <w:rPr>
                <w:b/>
                <w:sz w:val="24"/>
              </w:rPr>
            </w:pPr>
            <w:r>
              <w:rPr>
                <w:rFonts w:hint="eastAsia"/>
                <w:b/>
                <w:sz w:val="24"/>
              </w:rPr>
              <w:t>3、</w:t>
            </w:r>
            <w:r>
              <w:rPr>
                <w:b/>
                <w:bCs/>
                <w:kern w:val="0"/>
                <w:sz w:val="24"/>
              </w:rPr>
              <w:t>废水污染治理设施可行性分析</w:t>
            </w:r>
          </w:p>
          <w:p w14:paraId="520AC4A6">
            <w:pPr>
              <w:snapToGrid w:val="0"/>
              <w:spacing w:line="460" w:lineRule="exact"/>
              <w:ind w:firstLine="480" w:firstLineChars="200"/>
              <w:rPr>
                <w:sz w:val="24"/>
                <w:highlight w:val="yellow"/>
              </w:rPr>
            </w:pPr>
            <w:r>
              <w:rPr>
                <w:rFonts w:hint="eastAsia"/>
                <w:sz w:val="24"/>
              </w:rPr>
              <w:t>本项目建设路厂区新增外排废水为纯水制备废水和蒸汽发生器排污水，</w:t>
            </w:r>
            <w:r>
              <w:rPr>
                <w:sz w:val="24"/>
              </w:rPr>
              <w:t>主要污染物</w:t>
            </w:r>
            <w:r>
              <w:rPr>
                <w:rFonts w:hint="eastAsia"/>
                <w:sz w:val="24"/>
              </w:rPr>
              <w:t>为</w:t>
            </w:r>
            <w:r>
              <w:rPr>
                <w:sz w:val="24"/>
              </w:rPr>
              <w:t>COD、SS</w:t>
            </w:r>
            <w:r>
              <w:rPr>
                <w:rFonts w:hint="eastAsia"/>
                <w:sz w:val="24"/>
              </w:rPr>
              <w:t>，属于排入综合废水处理设施废水，经查阅《排污许可证申请与核发技术规范 铁路、船舶、航空航天和其他运输设备制造业》（HJ1124-2020）附录C表C.5铁路、船舶、航空航天和其他运输设备制造业排污单位废水污染防治推荐可行技术，排入综合废水处理设施废水推荐可行技术为“隔油、调节、混凝、沉淀/气浮、砂滤、活性炭吸附、水解酸化、生化（活性污泥、生物膜等）、二级生化、砂滤、膜处理、消毒、碱性氯化法等”。本项目建设路厂区综合废水污水处理设施采用工艺为“格栅渠-隔油池-调节池-混凝反应池-沉淀池1-水解酸化池-接触氧化池-沉淀池2-沉淀池3-清水池”，符合技术规范的要求。</w:t>
            </w:r>
          </w:p>
          <w:p w14:paraId="520AC4A7">
            <w:pPr>
              <w:adjustRightInd w:val="0"/>
              <w:snapToGrid w:val="0"/>
              <w:spacing w:line="460" w:lineRule="exact"/>
              <w:ind w:firstLine="482" w:firstLineChars="200"/>
              <w:rPr>
                <w:b/>
                <w:sz w:val="24"/>
              </w:rPr>
            </w:pPr>
            <w:r>
              <w:rPr>
                <w:rFonts w:hint="eastAsia"/>
                <w:b/>
                <w:sz w:val="24"/>
              </w:rPr>
              <w:t>4、</w:t>
            </w:r>
            <w:r>
              <w:rPr>
                <w:b/>
                <w:sz w:val="24"/>
              </w:rPr>
              <w:t>污水处理厂依托可行性分析</w:t>
            </w:r>
          </w:p>
          <w:p w14:paraId="520AC4A8">
            <w:pPr>
              <w:spacing w:line="460" w:lineRule="exact"/>
              <w:ind w:firstLine="480" w:firstLineChars="200"/>
              <w:rPr>
                <w:sz w:val="24"/>
              </w:rPr>
            </w:pPr>
            <w:r>
              <w:rPr>
                <w:rFonts w:hint="eastAsia"/>
                <w:sz w:val="24"/>
              </w:rPr>
              <w:t>小尚庄污水处理厂位于新乡市卫河以北、牧野路以东、河南师范大学东北的小尚庄附近，占地面积141.5亩，设计处理规模为25万</w:t>
            </w:r>
            <w:r>
              <w:rPr>
                <w:sz w:val="24"/>
              </w:rPr>
              <w:t>m³/d</w:t>
            </w:r>
            <w:r>
              <w:rPr>
                <w:rFonts w:hint="eastAsia"/>
                <w:sz w:val="24"/>
              </w:rPr>
              <w:t>，</w:t>
            </w:r>
            <w:r>
              <w:rPr>
                <w:sz w:val="24"/>
              </w:rPr>
              <w:t>目前建设规模为</w:t>
            </w:r>
            <w:r>
              <w:rPr>
                <w:rFonts w:hint="eastAsia"/>
                <w:sz w:val="24"/>
              </w:rPr>
              <w:t>25万</w:t>
            </w:r>
            <w:r>
              <w:rPr>
                <w:sz w:val="24"/>
              </w:rPr>
              <w:t>m³/d</w:t>
            </w:r>
            <w:r>
              <w:rPr>
                <w:rFonts w:hint="eastAsia"/>
                <w:sz w:val="24"/>
              </w:rPr>
              <w:t>。小尚庄污水处理厂于2</w:t>
            </w:r>
            <w:r>
              <w:rPr>
                <w:sz w:val="24"/>
              </w:rPr>
              <w:t>008</w:t>
            </w:r>
            <w:r>
              <w:rPr>
                <w:rFonts w:hint="eastAsia"/>
                <w:sz w:val="24"/>
              </w:rPr>
              <w:t>年1</w:t>
            </w:r>
            <w:r>
              <w:rPr>
                <w:sz w:val="24"/>
              </w:rPr>
              <w:t>0</w:t>
            </w:r>
            <w:r>
              <w:rPr>
                <w:rFonts w:hint="eastAsia"/>
                <w:sz w:val="24"/>
              </w:rPr>
              <w:t>月进行升级改造，升级改造后的工艺为改良A/O﹢微絮凝工艺，2</w:t>
            </w:r>
            <w:r>
              <w:rPr>
                <w:sz w:val="24"/>
              </w:rPr>
              <w:t>017</w:t>
            </w:r>
            <w:r>
              <w:rPr>
                <w:rFonts w:hint="eastAsia"/>
                <w:sz w:val="24"/>
              </w:rPr>
              <w:t>年进行改扩建时采用A/A/O+平板膜MBR处理工艺。</w:t>
            </w:r>
            <w:r>
              <w:rPr>
                <w:sz w:val="24"/>
              </w:rPr>
              <w:t>小尚庄污水处理厂的收水范围为新乡市卫河以北所有城市污水管网，主要处理城市生活污水和工业废水，本项目属于小尚庄污水处理厂的收水范围。</w:t>
            </w:r>
          </w:p>
          <w:p w14:paraId="520AC4A9">
            <w:pPr>
              <w:spacing w:line="460" w:lineRule="exact"/>
              <w:ind w:firstLine="480" w:firstLineChars="200"/>
              <w:rPr>
                <w:sz w:val="24"/>
              </w:rPr>
            </w:pPr>
            <w:r>
              <w:rPr>
                <w:sz w:val="24"/>
              </w:rPr>
              <w:t>本项目</w:t>
            </w:r>
            <w:r>
              <w:rPr>
                <w:rFonts w:hint="eastAsia"/>
                <w:sz w:val="24"/>
              </w:rPr>
              <w:t>外排废水水质为pH</w:t>
            </w:r>
            <w:r>
              <w:rPr>
                <w:sz w:val="24"/>
              </w:rPr>
              <w:t xml:space="preserve"> </w:t>
            </w:r>
            <w:r>
              <w:rPr>
                <w:rFonts w:hint="eastAsia"/>
                <w:sz w:val="24"/>
              </w:rPr>
              <w:t>8.368、COD</w:t>
            </w:r>
            <w:r>
              <w:rPr>
                <w:sz w:val="24"/>
              </w:rPr>
              <w:t xml:space="preserve"> </w:t>
            </w:r>
            <w:r>
              <w:rPr>
                <w:rFonts w:hint="eastAsia"/>
                <w:sz w:val="24"/>
              </w:rPr>
              <w:t>89.464mg/L、SS</w:t>
            </w:r>
            <w:r>
              <w:rPr>
                <w:sz w:val="24"/>
              </w:rPr>
              <w:t xml:space="preserve"> </w:t>
            </w:r>
            <w:r>
              <w:rPr>
                <w:rFonts w:hint="eastAsia"/>
                <w:sz w:val="24"/>
              </w:rPr>
              <w:t>27mg/L、NH</w:t>
            </w:r>
            <w:r>
              <w:rPr>
                <w:rFonts w:hint="eastAsia"/>
                <w:sz w:val="24"/>
                <w:vertAlign w:val="subscript"/>
              </w:rPr>
              <w:t>3</w:t>
            </w:r>
            <w:r>
              <w:rPr>
                <w:rFonts w:hint="eastAsia"/>
                <w:sz w:val="24"/>
              </w:rPr>
              <w:t>-N</w:t>
            </w:r>
            <w:r>
              <w:rPr>
                <w:sz w:val="24"/>
              </w:rPr>
              <w:t xml:space="preserve"> </w:t>
            </w:r>
            <w:r>
              <w:rPr>
                <w:rFonts w:hint="eastAsia"/>
                <w:sz w:val="24"/>
              </w:rPr>
              <w:t>8.396mg/L、TN</w:t>
            </w:r>
            <w:r>
              <w:rPr>
                <w:sz w:val="24"/>
              </w:rPr>
              <w:t xml:space="preserve"> </w:t>
            </w:r>
            <w:r>
              <w:rPr>
                <w:rFonts w:hint="eastAsia"/>
                <w:sz w:val="24"/>
              </w:rPr>
              <w:t>21.627mg/L、TP</w:t>
            </w:r>
            <w:r>
              <w:rPr>
                <w:sz w:val="24"/>
              </w:rPr>
              <w:t xml:space="preserve"> </w:t>
            </w:r>
            <w:r>
              <w:rPr>
                <w:rFonts w:hint="eastAsia"/>
                <w:sz w:val="24"/>
              </w:rPr>
              <w:t>0.669mg/L、石油类0.52mg/L、总铜0.11mg/L、总锌0.57 mg/L、总氰化物0.079mg/L</w:t>
            </w:r>
            <w:r>
              <w:rPr>
                <w:rFonts w:hint="eastAsia"/>
                <w:bCs/>
                <w:sz w:val="24"/>
              </w:rPr>
              <w:t>，</w:t>
            </w:r>
            <w:r>
              <w:rPr>
                <w:rFonts w:hint="eastAsia"/>
                <w:sz w:val="24"/>
              </w:rPr>
              <w:t>pH、COD、SS、NH</w:t>
            </w:r>
            <w:r>
              <w:rPr>
                <w:rFonts w:hint="eastAsia"/>
                <w:sz w:val="24"/>
                <w:vertAlign w:val="subscript"/>
              </w:rPr>
              <w:t>3</w:t>
            </w:r>
            <w:r>
              <w:rPr>
                <w:rFonts w:hint="eastAsia"/>
                <w:sz w:val="24"/>
              </w:rPr>
              <w:t>-N、TN、TP满足小尚庄污水处理厂pH</w:t>
            </w:r>
            <w:r>
              <w:rPr>
                <w:sz w:val="24"/>
              </w:rPr>
              <w:t xml:space="preserve"> </w:t>
            </w:r>
            <w:r>
              <w:rPr>
                <w:rFonts w:hint="eastAsia"/>
                <w:sz w:val="24"/>
              </w:rPr>
              <w:t>6~9、COD 350mg/L、SS 250mg/L、NH</w:t>
            </w:r>
            <w:r>
              <w:rPr>
                <w:rFonts w:hint="eastAsia"/>
                <w:sz w:val="24"/>
                <w:vertAlign w:val="subscript"/>
              </w:rPr>
              <w:t>3</w:t>
            </w:r>
            <w:r>
              <w:rPr>
                <w:rFonts w:hint="eastAsia"/>
                <w:sz w:val="24"/>
              </w:rPr>
              <w:t>-N 30mg/L、TP 3mg/L、TN 40mg/L的收水标准要求和《污水综合排放标准》（GB8978-1996）表4二级pH</w:t>
            </w:r>
            <w:r>
              <w:rPr>
                <w:sz w:val="24"/>
              </w:rPr>
              <w:t xml:space="preserve"> </w:t>
            </w:r>
            <w:r>
              <w:rPr>
                <w:rFonts w:hint="eastAsia"/>
                <w:sz w:val="24"/>
              </w:rPr>
              <w:t>6~9、COD</w:t>
            </w:r>
            <w:r>
              <w:rPr>
                <w:sz w:val="24"/>
              </w:rPr>
              <w:t xml:space="preserve"> </w:t>
            </w:r>
            <w:r>
              <w:rPr>
                <w:rFonts w:hint="eastAsia"/>
                <w:sz w:val="24"/>
              </w:rPr>
              <w:t>150mg/L、SS</w:t>
            </w:r>
            <w:r>
              <w:rPr>
                <w:sz w:val="24"/>
              </w:rPr>
              <w:t xml:space="preserve"> </w:t>
            </w:r>
            <w:r>
              <w:rPr>
                <w:rFonts w:hint="eastAsia"/>
                <w:sz w:val="24"/>
              </w:rPr>
              <w:t>150mg/L、NH</w:t>
            </w:r>
            <w:r>
              <w:rPr>
                <w:rFonts w:hint="eastAsia"/>
                <w:sz w:val="24"/>
                <w:vertAlign w:val="subscript"/>
              </w:rPr>
              <w:t>3</w:t>
            </w:r>
            <w:r>
              <w:rPr>
                <w:rFonts w:hint="eastAsia"/>
                <w:sz w:val="24"/>
              </w:rPr>
              <w:t>-N</w:t>
            </w:r>
            <w:r>
              <w:rPr>
                <w:sz w:val="24"/>
              </w:rPr>
              <w:t xml:space="preserve"> </w:t>
            </w:r>
            <w:r>
              <w:rPr>
                <w:rFonts w:hint="eastAsia"/>
                <w:sz w:val="24"/>
              </w:rPr>
              <w:t>25mg/L、TP</w:t>
            </w:r>
            <w:r>
              <w:rPr>
                <w:sz w:val="24"/>
              </w:rPr>
              <w:t xml:space="preserve"> </w:t>
            </w:r>
            <w:r>
              <w:rPr>
                <w:rFonts w:hint="eastAsia"/>
                <w:sz w:val="24"/>
              </w:rPr>
              <w:t>1.0mg/L的排放标准要求，</w:t>
            </w:r>
            <w:r>
              <w:rPr>
                <w:bCs/>
                <w:sz w:val="24"/>
              </w:rPr>
              <w:t>石油类、总铜、总锌、总氰化物排放浓度</w:t>
            </w:r>
            <w:r>
              <w:rPr>
                <w:rFonts w:hint="eastAsia"/>
                <w:bCs/>
                <w:sz w:val="24"/>
              </w:rPr>
              <w:t>均能满足</w:t>
            </w:r>
            <w:r>
              <w:rPr>
                <w:rFonts w:hint="eastAsia"/>
                <w:sz w:val="24"/>
              </w:rPr>
              <w:t>《电镀污染物排放标准》（GB21900-2008）表2企业废水总排放口</w:t>
            </w:r>
            <w:r>
              <w:rPr>
                <w:bCs/>
                <w:sz w:val="24"/>
              </w:rPr>
              <w:t>石油类</w:t>
            </w:r>
            <w:r>
              <w:rPr>
                <w:rFonts w:hint="eastAsia"/>
                <w:bCs/>
                <w:sz w:val="24"/>
              </w:rPr>
              <w:t>3.0</w:t>
            </w:r>
            <w:r>
              <w:rPr>
                <w:bCs/>
                <w:sz w:val="24"/>
              </w:rPr>
              <w:t>mg/L、总铜</w:t>
            </w:r>
            <w:r>
              <w:rPr>
                <w:rFonts w:hint="eastAsia"/>
                <w:bCs/>
                <w:sz w:val="24"/>
              </w:rPr>
              <w:t>0.5</w:t>
            </w:r>
            <w:r>
              <w:rPr>
                <w:bCs/>
                <w:sz w:val="24"/>
              </w:rPr>
              <w:t>mg/L、总锌</w:t>
            </w:r>
            <w:r>
              <w:rPr>
                <w:rFonts w:hint="eastAsia"/>
                <w:bCs/>
                <w:sz w:val="24"/>
              </w:rPr>
              <w:t>1.5</w:t>
            </w:r>
            <w:r>
              <w:rPr>
                <w:bCs/>
                <w:sz w:val="24"/>
              </w:rPr>
              <w:t>mg/L、总氰化物</w:t>
            </w:r>
            <w:r>
              <w:rPr>
                <w:rFonts w:hint="eastAsia"/>
                <w:bCs/>
                <w:sz w:val="24"/>
              </w:rPr>
              <w:t>0.3</w:t>
            </w:r>
            <w:r>
              <w:rPr>
                <w:bCs/>
                <w:sz w:val="24"/>
              </w:rPr>
              <w:t>mg/L</w:t>
            </w:r>
            <w:r>
              <w:rPr>
                <w:rFonts w:hint="eastAsia"/>
                <w:sz w:val="24"/>
              </w:rPr>
              <w:t>的限值要求。</w:t>
            </w:r>
            <w:r>
              <w:rPr>
                <w:rFonts w:hint="eastAsia"/>
                <w:bCs/>
                <w:sz w:val="24"/>
              </w:rPr>
              <w:t>目前小尚庄污水处理厂实际收水量为13.26万</w:t>
            </w:r>
            <w:r>
              <w:rPr>
                <w:bCs/>
                <w:sz w:val="24"/>
              </w:rPr>
              <w:t>m</w:t>
            </w:r>
            <w:r>
              <w:rPr>
                <w:bCs/>
                <w:sz w:val="24"/>
                <w:vertAlign w:val="superscript"/>
              </w:rPr>
              <w:t>3</w:t>
            </w:r>
            <w:r>
              <w:rPr>
                <w:bCs/>
                <w:sz w:val="24"/>
              </w:rPr>
              <w:t>/d</w:t>
            </w:r>
            <w:r>
              <w:rPr>
                <w:rFonts w:hint="eastAsia"/>
                <w:bCs/>
                <w:sz w:val="24"/>
              </w:rPr>
              <w:t>左右，尚有11.74万</w:t>
            </w:r>
            <w:r>
              <w:rPr>
                <w:bCs/>
                <w:sz w:val="24"/>
              </w:rPr>
              <w:t>m</w:t>
            </w:r>
            <w:r>
              <w:rPr>
                <w:bCs/>
                <w:sz w:val="24"/>
                <w:vertAlign w:val="superscript"/>
              </w:rPr>
              <w:t>3</w:t>
            </w:r>
            <w:r>
              <w:rPr>
                <w:bCs/>
                <w:sz w:val="24"/>
              </w:rPr>
              <w:t>/d</w:t>
            </w:r>
            <w:r>
              <w:rPr>
                <w:rFonts w:hint="eastAsia"/>
                <w:bCs/>
                <w:sz w:val="24"/>
              </w:rPr>
              <w:t>余量，</w:t>
            </w:r>
            <w:r>
              <w:rPr>
                <w:sz w:val="24"/>
              </w:rPr>
              <w:t>本项目新增外排废水0.</w:t>
            </w:r>
            <w:r>
              <w:rPr>
                <w:rFonts w:hint="eastAsia"/>
                <w:sz w:val="24"/>
              </w:rPr>
              <w:t>275</w:t>
            </w:r>
            <w:r>
              <w:rPr>
                <w:sz w:val="24"/>
              </w:rPr>
              <w:t>m</w:t>
            </w:r>
            <w:r>
              <w:rPr>
                <w:sz w:val="24"/>
                <w:vertAlign w:val="superscript"/>
              </w:rPr>
              <w:t>3</w:t>
            </w:r>
            <w:r>
              <w:rPr>
                <w:sz w:val="24"/>
              </w:rPr>
              <w:t>/d，仅占剩余处理能力的</w:t>
            </w:r>
            <w:r>
              <w:rPr>
                <w:kern w:val="0"/>
                <w:sz w:val="24"/>
              </w:rPr>
              <w:t>0.00</w:t>
            </w:r>
            <w:r>
              <w:rPr>
                <w:rFonts w:hint="eastAsia"/>
                <w:kern w:val="0"/>
                <w:sz w:val="24"/>
              </w:rPr>
              <w:t>23</w:t>
            </w:r>
            <w:r>
              <w:rPr>
                <w:kern w:val="0"/>
                <w:sz w:val="24"/>
              </w:rPr>
              <w:t>‰</w:t>
            </w:r>
            <w:r>
              <w:rPr>
                <w:sz w:val="24"/>
              </w:rPr>
              <w:t>，满足项目处理的需要，不会对污水处理厂造成冲击</w:t>
            </w:r>
            <w:r>
              <w:rPr>
                <w:rFonts w:hint="eastAsia"/>
                <w:sz w:val="24"/>
              </w:rPr>
              <w:t>，</w:t>
            </w:r>
            <w:r>
              <w:rPr>
                <w:sz w:val="24"/>
              </w:rPr>
              <w:t>评价认为本项目</w:t>
            </w:r>
            <w:r>
              <w:rPr>
                <w:rFonts w:hint="eastAsia"/>
                <w:sz w:val="24"/>
              </w:rPr>
              <w:t>外排</w:t>
            </w:r>
            <w:r>
              <w:rPr>
                <w:sz w:val="24"/>
              </w:rPr>
              <w:t>废水经</w:t>
            </w:r>
            <w:r>
              <w:rPr>
                <w:rFonts w:hint="eastAsia"/>
                <w:sz w:val="24"/>
              </w:rPr>
              <w:t>厂区综合废水处理设施处理后通过</w:t>
            </w:r>
            <w:r>
              <w:rPr>
                <w:sz w:val="24"/>
              </w:rPr>
              <w:t>污水管网排入小尚庄污水处理厂处理是可行的。</w:t>
            </w:r>
          </w:p>
          <w:p w14:paraId="520AC4AA">
            <w:pPr>
              <w:adjustRightInd w:val="0"/>
              <w:snapToGrid w:val="0"/>
              <w:spacing w:line="460" w:lineRule="exact"/>
              <w:ind w:firstLine="482" w:firstLineChars="200"/>
              <w:rPr>
                <w:b/>
                <w:sz w:val="24"/>
              </w:rPr>
            </w:pPr>
            <w:r>
              <w:rPr>
                <w:rFonts w:hint="eastAsia"/>
                <w:b/>
                <w:sz w:val="24"/>
              </w:rPr>
              <w:t>5、</w:t>
            </w:r>
            <w:r>
              <w:rPr>
                <w:rFonts w:hint="eastAsia"/>
                <w:b/>
                <w:kern w:val="0"/>
                <w:sz w:val="24"/>
                <w:szCs w:val="20"/>
              </w:rPr>
              <w:t>废水污染物排放信息</w:t>
            </w:r>
          </w:p>
          <w:p w14:paraId="520AC4AB">
            <w:pPr>
              <w:adjustRightInd w:val="0"/>
              <w:snapToGrid w:val="0"/>
              <w:spacing w:line="460" w:lineRule="exact"/>
              <w:ind w:firstLine="480" w:firstLineChars="200"/>
              <w:rPr>
                <w:sz w:val="24"/>
              </w:rPr>
            </w:pPr>
            <w:r>
              <w:rPr>
                <w:rFonts w:hint="eastAsia"/>
                <w:sz w:val="24"/>
              </w:rPr>
              <w:t>（1）废水类别、污染物及污染治理设施信息表</w:t>
            </w:r>
          </w:p>
          <w:p w14:paraId="520AC4AC">
            <w:pPr>
              <w:adjustRightInd w:val="0"/>
              <w:snapToGrid w:val="0"/>
              <w:spacing w:line="460" w:lineRule="exact"/>
              <w:ind w:firstLine="480" w:firstLineChars="200"/>
              <w:textAlignment w:val="baseline"/>
              <w:rPr>
                <w:rFonts w:eastAsia="黑体"/>
                <w:sz w:val="24"/>
                <w:szCs w:val="22"/>
              </w:rPr>
            </w:pPr>
            <w:r>
              <w:rPr>
                <w:rFonts w:eastAsia="黑体"/>
                <w:sz w:val="24"/>
                <w:szCs w:val="22"/>
              </w:rPr>
              <w:t>表</w:t>
            </w:r>
            <w:r>
              <w:rPr>
                <w:rFonts w:hint="eastAsia" w:eastAsia="黑体"/>
                <w:sz w:val="24"/>
                <w:szCs w:val="22"/>
              </w:rPr>
              <w:t>49</w:t>
            </w:r>
            <w:r>
              <w:rPr>
                <w:rFonts w:eastAsia="黑体"/>
                <w:sz w:val="24"/>
                <w:szCs w:val="22"/>
              </w:rPr>
              <w:t xml:space="preserve">      废水类别、污染物及污染治理设施信息表</w:t>
            </w:r>
          </w:p>
          <w:tbl>
            <w:tblPr>
              <w:tblStyle w:val="18"/>
              <w:tblpPr w:leftFromText="180" w:rightFromText="180" w:vertAnchor="text" w:tblpXSpec="center" w:tblpY="1"/>
              <w:tblOverlap w:val="never"/>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62"/>
              <w:gridCol w:w="890"/>
              <w:gridCol w:w="579"/>
              <w:gridCol w:w="434"/>
              <w:gridCol w:w="726"/>
              <w:gridCol w:w="726"/>
              <w:gridCol w:w="1306"/>
              <w:gridCol w:w="587"/>
              <w:gridCol w:w="721"/>
              <w:gridCol w:w="1604"/>
            </w:tblGrid>
            <w:tr w14:paraId="520AC4B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345" w:type="pct"/>
                  <w:vMerge w:val="restart"/>
                  <w:tcMar>
                    <w:top w:w="0" w:type="dxa"/>
                    <w:left w:w="0" w:type="dxa"/>
                    <w:bottom w:w="0" w:type="dxa"/>
                    <w:right w:w="0" w:type="dxa"/>
                  </w:tcMar>
                  <w:vAlign w:val="center"/>
                </w:tcPr>
                <w:p w14:paraId="520AC4AD">
                  <w:pPr>
                    <w:jc w:val="center"/>
                    <w:rPr>
                      <w:rFonts w:cs="宋体"/>
                      <w:b/>
                      <w:szCs w:val="20"/>
                    </w:rPr>
                  </w:pPr>
                  <w:r>
                    <w:rPr>
                      <w:rFonts w:hint="eastAsia" w:cs="宋体"/>
                      <w:b/>
                      <w:szCs w:val="20"/>
                    </w:rPr>
                    <w:t>废水类别</w:t>
                  </w:r>
                </w:p>
              </w:tc>
              <w:tc>
                <w:tcPr>
                  <w:tcW w:w="547" w:type="pct"/>
                  <w:vMerge w:val="restart"/>
                  <w:tcMar>
                    <w:top w:w="0" w:type="dxa"/>
                    <w:left w:w="0" w:type="dxa"/>
                    <w:bottom w:w="0" w:type="dxa"/>
                    <w:right w:w="0" w:type="dxa"/>
                  </w:tcMar>
                  <w:vAlign w:val="center"/>
                </w:tcPr>
                <w:p w14:paraId="520AC4AE">
                  <w:pPr>
                    <w:jc w:val="center"/>
                    <w:rPr>
                      <w:rFonts w:cs="宋体"/>
                      <w:b/>
                      <w:szCs w:val="20"/>
                    </w:rPr>
                  </w:pPr>
                  <w:r>
                    <w:rPr>
                      <w:rFonts w:hint="eastAsia" w:cs="宋体"/>
                      <w:b/>
                      <w:szCs w:val="20"/>
                    </w:rPr>
                    <w:t>污染物种类</w:t>
                  </w:r>
                </w:p>
              </w:tc>
              <w:tc>
                <w:tcPr>
                  <w:tcW w:w="356" w:type="pct"/>
                  <w:vMerge w:val="restart"/>
                  <w:tcMar>
                    <w:top w:w="0" w:type="dxa"/>
                    <w:left w:w="0" w:type="dxa"/>
                    <w:bottom w:w="0" w:type="dxa"/>
                    <w:right w:w="0" w:type="dxa"/>
                  </w:tcMar>
                  <w:vAlign w:val="center"/>
                </w:tcPr>
                <w:p w14:paraId="520AC4AF">
                  <w:pPr>
                    <w:jc w:val="center"/>
                    <w:rPr>
                      <w:rFonts w:cs="宋体"/>
                      <w:b/>
                      <w:szCs w:val="20"/>
                    </w:rPr>
                  </w:pPr>
                  <w:r>
                    <w:rPr>
                      <w:rFonts w:hint="eastAsia" w:cs="宋体"/>
                      <w:b/>
                      <w:szCs w:val="20"/>
                    </w:rPr>
                    <w:t>排放去向</w:t>
                  </w:r>
                </w:p>
              </w:tc>
              <w:tc>
                <w:tcPr>
                  <w:tcW w:w="267" w:type="pct"/>
                  <w:vMerge w:val="restart"/>
                  <w:tcMar>
                    <w:top w:w="0" w:type="dxa"/>
                    <w:left w:w="0" w:type="dxa"/>
                    <w:bottom w:w="0" w:type="dxa"/>
                    <w:right w:w="0" w:type="dxa"/>
                  </w:tcMar>
                  <w:vAlign w:val="center"/>
                </w:tcPr>
                <w:p w14:paraId="520AC4B0">
                  <w:pPr>
                    <w:jc w:val="center"/>
                    <w:rPr>
                      <w:rFonts w:cs="宋体"/>
                      <w:b/>
                      <w:szCs w:val="20"/>
                    </w:rPr>
                  </w:pPr>
                  <w:r>
                    <w:rPr>
                      <w:rFonts w:hint="eastAsia" w:cs="宋体"/>
                      <w:b/>
                      <w:szCs w:val="20"/>
                    </w:rPr>
                    <w:t>排放规律</w:t>
                  </w:r>
                </w:p>
              </w:tc>
              <w:tc>
                <w:tcPr>
                  <w:tcW w:w="1695" w:type="pct"/>
                  <w:gridSpan w:val="3"/>
                  <w:tcMar>
                    <w:top w:w="0" w:type="dxa"/>
                    <w:left w:w="0" w:type="dxa"/>
                    <w:bottom w:w="0" w:type="dxa"/>
                    <w:right w:w="0" w:type="dxa"/>
                  </w:tcMar>
                  <w:vAlign w:val="center"/>
                </w:tcPr>
                <w:p w14:paraId="520AC4B1">
                  <w:pPr>
                    <w:jc w:val="center"/>
                    <w:rPr>
                      <w:rFonts w:cs="宋体"/>
                      <w:b/>
                      <w:szCs w:val="20"/>
                    </w:rPr>
                  </w:pPr>
                  <w:r>
                    <w:rPr>
                      <w:rFonts w:hint="eastAsia" w:cs="宋体"/>
                      <w:b/>
                      <w:szCs w:val="20"/>
                    </w:rPr>
                    <w:t>污染治理措施</w:t>
                  </w:r>
                </w:p>
              </w:tc>
              <w:tc>
                <w:tcPr>
                  <w:tcW w:w="361" w:type="pct"/>
                  <w:vMerge w:val="restart"/>
                  <w:tcMar>
                    <w:top w:w="0" w:type="dxa"/>
                    <w:left w:w="0" w:type="dxa"/>
                    <w:bottom w:w="0" w:type="dxa"/>
                    <w:right w:w="0" w:type="dxa"/>
                  </w:tcMar>
                  <w:vAlign w:val="center"/>
                </w:tcPr>
                <w:p w14:paraId="520AC4B2">
                  <w:pPr>
                    <w:jc w:val="center"/>
                    <w:rPr>
                      <w:rFonts w:cs="宋体"/>
                      <w:b/>
                      <w:szCs w:val="20"/>
                    </w:rPr>
                  </w:pPr>
                  <w:r>
                    <w:rPr>
                      <w:rFonts w:hint="eastAsia" w:cs="宋体"/>
                      <w:b/>
                      <w:szCs w:val="20"/>
                    </w:rPr>
                    <w:t>排放口编号</w:t>
                  </w:r>
                </w:p>
              </w:tc>
              <w:tc>
                <w:tcPr>
                  <w:tcW w:w="443" w:type="pct"/>
                  <w:vMerge w:val="restart"/>
                  <w:tcMar>
                    <w:top w:w="0" w:type="dxa"/>
                    <w:left w:w="0" w:type="dxa"/>
                    <w:bottom w:w="0" w:type="dxa"/>
                    <w:right w:w="0" w:type="dxa"/>
                  </w:tcMar>
                  <w:vAlign w:val="center"/>
                </w:tcPr>
                <w:p w14:paraId="520AC4B3">
                  <w:pPr>
                    <w:jc w:val="center"/>
                    <w:rPr>
                      <w:rFonts w:cs="宋体"/>
                      <w:b/>
                      <w:szCs w:val="20"/>
                    </w:rPr>
                  </w:pPr>
                  <w:r>
                    <w:rPr>
                      <w:rFonts w:hint="eastAsia" w:cs="宋体"/>
                      <w:b/>
                      <w:szCs w:val="20"/>
                    </w:rPr>
                    <w:t>排放口设置是否符合要求</w:t>
                  </w:r>
                </w:p>
              </w:tc>
              <w:tc>
                <w:tcPr>
                  <w:tcW w:w="986" w:type="pct"/>
                  <w:vMerge w:val="restart"/>
                  <w:tcMar>
                    <w:top w:w="0" w:type="dxa"/>
                    <w:left w:w="0" w:type="dxa"/>
                    <w:bottom w:w="0" w:type="dxa"/>
                    <w:right w:w="0" w:type="dxa"/>
                  </w:tcMar>
                  <w:vAlign w:val="center"/>
                </w:tcPr>
                <w:p w14:paraId="520AC4B4">
                  <w:pPr>
                    <w:jc w:val="center"/>
                    <w:rPr>
                      <w:rFonts w:cs="宋体"/>
                      <w:b/>
                      <w:szCs w:val="20"/>
                    </w:rPr>
                  </w:pPr>
                  <w:r>
                    <w:rPr>
                      <w:rFonts w:hint="eastAsia" w:cs="宋体"/>
                      <w:b/>
                      <w:szCs w:val="20"/>
                    </w:rPr>
                    <w:t>排放口类型</w:t>
                  </w:r>
                </w:p>
              </w:tc>
            </w:tr>
            <w:tr w14:paraId="520AC4C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345" w:type="pct"/>
                  <w:vMerge w:val="continue"/>
                  <w:vAlign w:val="center"/>
                </w:tcPr>
                <w:p w14:paraId="520AC4B6">
                  <w:pPr>
                    <w:jc w:val="center"/>
                    <w:rPr>
                      <w:rFonts w:cs="宋体"/>
                      <w:b/>
                      <w:szCs w:val="20"/>
                    </w:rPr>
                  </w:pPr>
                </w:p>
              </w:tc>
              <w:tc>
                <w:tcPr>
                  <w:tcW w:w="547" w:type="pct"/>
                  <w:vMerge w:val="continue"/>
                  <w:vAlign w:val="center"/>
                </w:tcPr>
                <w:p w14:paraId="520AC4B7">
                  <w:pPr>
                    <w:jc w:val="center"/>
                    <w:rPr>
                      <w:rFonts w:cs="宋体"/>
                      <w:b/>
                      <w:szCs w:val="20"/>
                    </w:rPr>
                  </w:pPr>
                </w:p>
              </w:tc>
              <w:tc>
                <w:tcPr>
                  <w:tcW w:w="356" w:type="pct"/>
                  <w:vMerge w:val="continue"/>
                  <w:vAlign w:val="center"/>
                </w:tcPr>
                <w:p w14:paraId="520AC4B8">
                  <w:pPr>
                    <w:jc w:val="center"/>
                    <w:rPr>
                      <w:rFonts w:cs="宋体"/>
                      <w:b/>
                      <w:szCs w:val="20"/>
                    </w:rPr>
                  </w:pPr>
                </w:p>
              </w:tc>
              <w:tc>
                <w:tcPr>
                  <w:tcW w:w="267" w:type="pct"/>
                  <w:vMerge w:val="continue"/>
                  <w:vAlign w:val="center"/>
                </w:tcPr>
                <w:p w14:paraId="520AC4B9">
                  <w:pPr>
                    <w:jc w:val="center"/>
                    <w:rPr>
                      <w:rFonts w:cs="宋体"/>
                      <w:b/>
                      <w:szCs w:val="20"/>
                    </w:rPr>
                  </w:pPr>
                </w:p>
              </w:tc>
              <w:tc>
                <w:tcPr>
                  <w:tcW w:w="446" w:type="pct"/>
                  <w:tcMar>
                    <w:top w:w="0" w:type="dxa"/>
                    <w:left w:w="0" w:type="dxa"/>
                    <w:bottom w:w="0" w:type="dxa"/>
                    <w:right w:w="0" w:type="dxa"/>
                  </w:tcMar>
                  <w:vAlign w:val="center"/>
                </w:tcPr>
                <w:p w14:paraId="520AC4BA">
                  <w:pPr>
                    <w:jc w:val="center"/>
                    <w:rPr>
                      <w:rFonts w:cs="宋体"/>
                      <w:b/>
                      <w:szCs w:val="20"/>
                    </w:rPr>
                  </w:pPr>
                  <w:r>
                    <w:rPr>
                      <w:rFonts w:hint="eastAsia" w:cs="宋体"/>
                      <w:b/>
                      <w:szCs w:val="20"/>
                    </w:rPr>
                    <w:t>污染治理措施编号</w:t>
                  </w:r>
                </w:p>
              </w:tc>
              <w:tc>
                <w:tcPr>
                  <w:tcW w:w="446" w:type="pct"/>
                  <w:tcMar>
                    <w:top w:w="0" w:type="dxa"/>
                    <w:left w:w="0" w:type="dxa"/>
                    <w:bottom w:w="0" w:type="dxa"/>
                    <w:right w:w="0" w:type="dxa"/>
                  </w:tcMar>
                  <w:vAlign w:val="center"/>
                </w:tcPr>
                <w:p w14:paraId="520AC4BB">
                  <w:pPr>
                    <w:jc w:val="center"/>
                    <w:rPr>
                      <w:rFonts w:cs="宋体"/>
                      <w:b/>
                      <w:szCs w:val="20"/>
                    </w:rPr>
                  </w:pPr>
                  <w:r>
                    <w:rPr>
                      <w:rFonts w:hint="eastAsia" w:cs="宋体"/>
                      <w:b/>
                      <w:szCs w:val="20"/>
                    </w:rPr>
                    <w:t>污染治理措施名称</w:t>
                  </w:r>
                </w:p>
              </w:tc>
              <w:tc>
                <w:tcPr>
                  <w:tcW w:w="803" w:type="pct"/>
                  <w:tcMar>
                    <w:top w:w="0" w:type="dxa"/>
                    <w:left w:w="0" w:type="dxa"/>
                    <w:bottom w:w="0" w:type="dxa"/>
                    <w:right w:w="0" w:type="dxa"/>
                  </w:tcMar>
                  <w:vAlign w:val="center"/>
                </w:tcPr>
                <w:p w14:paraId="520AC4BC">
                  <w:pPr>
                    <w:jc w:val="center"/>
                    <w:rPr>
                      <w:rFonts w:cs="宋体"/>
                      <w:b/>
                      <w:szCs w:val="20"/>
                    </w:rPr>
                  </w:pPr>
                  <w:r>
                    <w:rPr>
                      <w:rFonts w:hint="eastAsia" w:cs="宋体"/>
                      <w:b/>
                      <w:szCs w:val="20"/>
                    </w:rPr>
                    <w:t>污染治理措施工艺</w:t>
                  </w:r>
                </w:p>
              </w:tc>
              <w:tc>
                <w:tcPr>
                  <w:tcW w:w="361" w:type="pct"/>
                  <w:vMerge w:val="continue"/>
                  <w:vAlign w:val="center"/>
                </w:tcPr>
                <w:p w14:paraId="520AC4BD">
                  <w:pPr>
                    <w:contextualSpacing/>
                    <w:jc w:val="center"/>
                    <w:textAlignment w:val="baseline"/>
                    <w:rPr>
                      <w:kern w:val="0"/>
                      <w:szCs w:val="21"/>
                    </w:rPr>
                  </w:pPr>
                </w:p>
              </w:tc>
              <w:tc>
                <w:tcPr>
                  <w:tcW w:w="443" w:type="pct"/>
                  <w:vMerge w:val="continue"/>
                  <w:vAlign w:val="center"/>
                </w:tcPr>
                <w:p w14:paraId="520AC4BE">
                  <w:pPr>
                    <w:contextualSpacing/>
                    <w:jc w:val="center"/>
                    <w:textAlignment w:val="baseline"/>
                    <w:rPr>
                      <w:kern w:val="0"/>
                      <w:szCs w:val="21"/>
                    </w:rPr>
                  </w:pPr>
                </w:p>
              </w:tc>
              <w:tc>
                <w:tcPr>
                  <w:tcW w:w="986" w:type="pct"/>
                  <w:vMerge w:val="continue"/>
                  <w:vAlign w:val="center"/>
                </w:tcPr>
                <w:p w14:paraId="520AC4BF">
                  <w:pPr>
                    <w:contextualSpacing/>
                    <w:jc w:val="center"/>
                    <w:textAlignment w:val="baseline"/>
                    <w:rPr>
                      <w:kern w:val="0"/>
                      <w:szCs w:val="21"/>
                    </w:rPr>
                  </w:pPr>
                </w:p>
              </w:tc>
            </w:tr>
            <w:tr w14:paraId="520AC4D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345" w:type="pct"/>
                  <w:tcMar>
                    <w:top w:w="0" w:type="dxa"/>
                    <w:left w:w="0" w:type="dxa"/>
                    <w:bottom w:w="0" w:type="dxa"/>
                    <w:right w:w="0" w:type="dxa"/>
                  </w:tcMar>
                  <w:vAlign w:val="center"/>
                </w:tcPr>
                <w:p w14:paraId="520AC4C1">
                  <w:pPr>
                    <w:contextualSpacing/>
                    <w:jc w:val="center"/>
                    <w:textAlignment w:val="baseline"/>
                    <w:rPr>
                      <w:kern w:val="0"/>
                      <w:szCs w:val="21"/>
                      <w:highlight w:val="yellow"/>
                    </w:rPr>
                  </w:pPr>
                  <w:r>
                    <w:rPr>
                      <w:rFonts w:hint="eastAsia"/>
                      <w:kern w:val="0"/>
                      <w:szCs w:val="21"/>
                    </w:rPr>
                    <w:t>纯水制备废水和蒸汽发生器排污水</w:t>
                  </w:r>
                </w:p>
              </w:tc>
              <w:tc>
                <w:tcPr>
                  <w:tcW w:w="547" w:type="pct"/>
                  <w:tcMar>
                    <w:top w:w="0" w:type="dxa"/>
                    <w:left w:w="0" w:type="dxa"/>
                    <w:bottom w:w="0" w:type="dxa"/>
                    <w:right w:w="0" w:type="dxa"/>
                  </w:tcMar>
                  <w:vAlign w:val="center"/>
                </w:tcPr>
                <w:p w14:paraId="520AC4C2">
                  <w:pPr>
                    <w:jc w:val="center"/>
                    <w:rPr>
                      <w:szCs w:val="21"/>
                    </w:rPr>
                  </w:pPr>
                  <w:r>
                    <w:t>COD、SS</w:t>
                  </w:r>
                  <w:r>
                    <w:rPr>
                      <w:szCs w:val="21"/>
                    </w:rPr>
                    <w:t xml:space="preserve"> </w:t>
                  </w:r>
                </w:p>
              </w:tc>
              <w:tc>
                <w:tcPr>
                  <w:tcW w:w="356" w:type="pct"/>
                  <w:tcMar>
                    <w:top w:w="0" w:type="dxa"/>
                    <w:left w:w="0" w:type="dxa"/>
                    <w:bottom w:w="0" w:type="dxa"/>
                    <w:right w:w="0" w:type="dxa"/>
                  </w:tcMar>
                  <w:vAlign w:val="center"/>
                </w:tcPr>
                <w:p w14:paraId="520AC4C3">
                  <w:pPr>
                    <w:contextualSpacing/>
                    <w:jc w:val="center"/>
                    <w:textAlignment w:val="baseline"/>
                    <w:rPr>
                      <w:kern w:val="0"/>
                      <w:szCs w:val="21"/>
                    </w:rPr>
                  </w:pPr>
                  <w:r>
                    <w:rPr>
                      <w:rFonts w:hint="eastAsia"/>
                      <w:kern w:val="0"/>
                      <w:szCs w:val="21"/>
                    </w:rPr>
                    <w:t>城镇</w:t>
                  </w:r>
                  <w:r>
                    <w:rPr>
                      <w:kern w:val="0"/>
                      <w:szCs w:val="21"/>
                    </w:rPr>
                    <w:t>污水处理厂</w:t>
                  </w:r>
                </w:p>
              </w:tc>
              <w:tc>
                <w:tcPr>
                  <w:tcW w:w="267" w:type="pct"/>
                  <w:tcMar>
                    <w:top w:w="0" w:type="dxa"/>
                    <w:left w:w="0" w:type="dxa"/>
                    <w:bottom w:w="0" w:type="dxa"/>
                    <w:right w:w="0" w:type="dxa"/>
                  </w:tcMar>
                  <w:vAlign w:val="center"/>
                </w:tcPr>
                <w:p w14:paraId="520AC4C4">
                  <w:pPr>
                    <w:contextualSpacing/>
                    <w:jc w:val="center"/>
                    <w:textAlignment w:val="baseline"/>
                    <w:rPr>
                      <w:kern w:val="0"/>
                      <w:szCs w:val="21"/>
                    </w:rPr>
                  </w:pPr>
                  <w:r>
                    <w:rPr>
                      <w:rFonts w:hint="eastAsia"/>
                      <w:kern w:val="0"/>
                      <w:szCs w:val="21"/>
                    </w:rPr>
                    <w:t>间断排放</w:t>
                  </w:r>
                </w:p>
              </w:tc>
              <w:tc>
                <w:tcPr>
                  <w:tcW w:w="446" w:type="pct"/>
                  <w:tcMar>
                    <w:top w:w="0" w:type="dxa"/>
                    <w:left w:w="0" w:type="dxa"/>
                    <w:bottom w:w="0" w:type="dxa"/>
                    <w:right w:w="0" w:type="dxa"/>
                  </w:tcMar>
                  <w:vAlign w:val="center"/>
                </w:tcPr>
                <w:p w14:paraId="520AC4C5">
                  <w:pPr>
                    <w:contextualSpacing/>
                    <w:jc w:val="center"/>
                    <w:textAlignment w:val="baseline"/>
                    <w:rPr>
                      <w:kern w:val="0"/>
                      <w:szCs w:val="21"/>
                    </w:rPr>
                  </w:pPr>
                  <w:r>
                    <w:rPr>
                      <w:kern w:val="0"/>
                      <w:szCs w:val="21"/>
                    </w:rPr>
                    <w:t>TW00</w:t>
                  </w:r>
                  <w:r>
                    <w:rPr>
                      <w:rFonts w:hint="eastAsia"/>
                      <w:kern w:val="0"/>
                      <w:szCs w:val="21"/>
                    </w:rPr>
                    <w:t>1</w:t>
                  </w:r>
                </w:p>
              </w:tc>
              <w:tc>
                <w:tcPr>
                  <w:tcW w:w="446" w:type="pct"/>
                  <w:tcMar>
                    <w:top w:w="0" w:type="dxa"/>
                    <w:left w:w="0" w:type="dxa"/>
                    <w:bottom w:w="0" w:type="dxa"/>
                    <w:right w:w="0" w:type="dxa"/>
                  </w:tcMar>
                  <w:vAlign w:val="center"/>
                </w:tcPr>
                <w:p w14:paraId="520AC4C6">
                  <w:pPr>
                    <w:contextualSpacing/>
                    <w:jc w:val="center"/>
                    <w:textAlignment w:val="baseline"/>
                    <w:rPr>
                      <w:kern w:val="0"/>
                      <w:szCs w:val="21"/>
                    </w:rPr>
                  </w:pPr>
                  <w:r>
                    <w:rPr>
                      <w:kern w:val="0"/>
                      <w:szCs w:val="21"/>
                    </w:rPr>
                    <w:t>综合废水处理系统</w:t>
                  </w:r>
                </w:p>
              </w:tc>
              <w:tc>
                <w:tcPr>
                  <w:tcW w:w="803" w:type="pct"/>
                  <w:tcMar>
                    <w:top w:w="0" w:type="dxa"/>
                    <w:left w:w="0" w:type="dxa"/>
                    <w:bottom w:w="0" w:type="dxa"/>
                    <w:right w:w="0" w:type="dxa"/>
                  </w:tcMar>
                  <w:vAlign w:val="center"/>
                </w:tcPr>
                <w:p w14:paraId="520AC4C7">
                  <w:pPr>
                    <w:contextualSpacing/>
                    <w:jc w:val="center"/>
                    <w:textAlignment w:val="baseline"/>
                    <w:rPr>
                      <w:kern w:val="0"/>
                      <w:szCs w:val="21"/>
                    </w:rPr>
                  </w:pPr>
                  <w:r>
                    <w:rPr>
                      <w:szCs w:val="21"/>
                    </w:rPr>
                    <w:t>格栅渠-隔油池</w:t>
                  </w:r>
                  <w:r>
                    <w:rPr>
                      <w:rFonts w:hint="eastAsia"/>
                      <w:szCs w:val="21"/>
                    </w:rPr>
                    <w:t>-</w:t>
                  </w:r>
                  <w:r>
                    <w:rPr>
                      <w:szCs w:val="21"/>
                    </w:rPr>
                    <w:t>调节池-混凝反应池-沉淀池1-水解酸化池-接触氧化池-沉淀池2-沉淀池3-清水池</w:t>
                  </w:r>
                </w:p>
              </w:tc>
              <w:tc>
                <w:tcPr>
                  <w:tcW w:w="361" w:type="pct"/>
                  <w:tcMar>
                    <w:top w:w="0" w:type="dxa"/>
                    <w:left w:w="0" w:type="dxa"/>
                    <w:bottom w:w="0" w:type="dxa"/>
                    <w:right w:w="0" w:type="dxa"/>
                  </w:tcMar>
                  <w:vAlign w:val="center"/>
                </w:tcPr>
                <w:p w14:paraId="520AC4C8">
                  <w:pPr>
                    <w:contextualSpacing/>
                    <w:jc w:val="center"/>
                    <w:textAlignment w:val="baseline"/>
                    <w:rPr>
                      <w:kern w:val="0"/>
                      <w:szCs w:val="21"/>
                    </w:rPr>
                  </w:pPr>
                  <w:r>
                    <w:rPr>
                      <w:kern w:val="0"/>
                      <w:szCs w:val="21"/>
                    </w:rPr>
                    <w:t>DW001</w:t>
                  </w:r>
                </w:p>
              </w:tc>
              <w:tc>
                <w:tcPr>
                  <w:tcW w:w="443" w:type="pct"/>
                  <w:tcMar>
                    <w:top w:w="0" w:type="dxa"/>
                    <w:left w:w="0" w:type="dxa"/>
                    <w:bottom w:w="0" w:type="dxa"/>
                    <w:right w:w="0" w:type="dxa"/>
                  </w:tcMar>
                  <w:vAlign w:val="center"/>
                </w:tcPr>
                <w:p w14:paraId="520AC4C9">
                  <w:pPr>
                    <w:contextualSpacing/>
                    <w:jc w:val="center"/>
                    <w:textAlignment w:val="baseline"/>
                    <w:rPr>
                      <w:kern w:val="0"/>
                      <w:szCs w:val="21"/>
                    </w:rPr>
                  </w:pPr>
                  <w:r>
                    <w:rPr>
                      <w:kern w:val="0"/>
                      <w:szCs w:val="21"/>
                    </w:rPr>
                    <w:sym w:font="Wingdings" w:char="00FE"/>
                  </w:r>
                  <w:r>
                    <w:rPr>
                      <w:rFonts w:hint="eastAsia"/>
                      <w:kern w:val="0"/>
                      <w:szCs w:val="21"/>
                    </w:rPr>
                    <w:t>是</w:t>
                  </w:r>
                </w:p>
                <w:p w14:paraId="520AC4CA">
                  <w:pPr>
                    <w:contextualSpacing/>
                    <w:jc w:val="center"/>
                    <w:textAlignment w:val="baseline"/>
                    <w:rPr>
                      <w:kern w:val="0"/>
                      <w:szCs w:val="21"/>
                    </w:rPr>
                  </w:pPr>
                  <w:r>
                    <w:rPr>
                      <w:rFonts w:hint="eastAsia"/>
                      <w:kern w:val="0"/>
                      <w:szCs w:val="21"/>
                    </w:rPr>
                    <w:t>□否</w:t>
                  </w:r>
                </w:p>
              </w:tc>
              <w:tc>
                <w:tcPr>
                  <w:tcW w:w="986" w:type="pct"/>
                  <w:tcMar>
                    <w:top w:w="0" w:type="dxa"/>
                    <w:left w:w="0" w:type="dxa"/>
                    <w:bottom w:w="0" w:type="dxa"/>
                    <w:right w:w="0" w:type="dxa"/>
                  </w:tcMar>
                  <w:vAlign w:val="center"/>
                </w:tcPr>
                <w:p w14:paraId="520AC4CB">
                  <w:pPr>
                    <w:contextualSpacing/>
                    <w:textAlignment w:val="baseline"/>
                    <w:rPr>
                      <w:kern w:val="0"/>
                      <w:szCs w:val="21"/>
                    </w:rPr>
                  </w:pPr>
                  <w:r>
                    <w:rPr>
                      <w:kern w:val="0"/>
                      <w:szCs w:val="21"/>
                    </w:rPr>
                    <w:sym w:font="Wingdings" w:char="00FE"/>
                  </w:r>
                  <w:r>
                    <w:rPr>
                      <w:rFonts w:hint="eastAsia"/>
                      <w:kern w:val="0"/>
                      <w:szCs w:val="21"/>
                    </w:rPr>
                    <w:t>企业总排</w:t>
                  </w:r>
                </w:p>
                <w:p w14:paraId="520AC4CC">
                  <w:pPr>
                    <w:contextualSpacing/>
                    <w:textAlignment w:val="baseline"/>
                    <w:rPr>
                      <w:kern w:val="0"/>
                      <w:szCs w:val="21"/>
                    </w:rPr>
                  </w:pPr>
                  <w:r>
                    <w:rPr>
                      <w:rFonts w:hint="eastAsia"/>
                      <w:kern w:val="0"/>
                      <w:szCs w:val="21"/>
                    </w:rPr>
                    <w:t>□雨水排放</w:t>
                  </w:r>
                </w:p>
                <w:p w14:paraId="520AC4CD">
                  <w:pPr>
                    <w:contextualSpacing/>
                    <w:textAlignment w:val="baseline"/>
                    <w:rPr>
                      <w:kern w:val="0"/>
                      <w:szCs w:val="21"/>
                    </w:rPr>
                  </w:pPr>
                  <w:r>
                    <w:rPr>
                      <w:rFonts w:hint="eastAsia"/>
                      <w:kern w:val="0"/>
                      <w:szCs w:val="21"/>
                    </w:rPr>
                    <w:t>□清净下水排放</w:t>
                  </w:r>
                </w:p>
                <w:p w14:paraId="520AC4CE">
                  <w:pPr>
                    <w:contextualSpacing/>
                    <w:textAlignment w:val="baseline"/>
                    <w:rPr>
                      <w:kern w:val="0"/>
                      <w:szCs w:val="21"/>
                    </w:rPr>
                  </w:pPr>
                  <w:r>
                    <w:rPr>
                      <w:rFonts w:hint="eastAsia"/>
                      <w:kern w:val="0"/>
                      <w:szCs w:val="21"/>
                    </w:rPr>
                    <w:t>□温排水排放</w:t>
                  </w:r>
                </w:p>
                <w:p w14:paraId="520AC4CF">
                  <w:pPr>
                    <w:contextualSpacing/>
                    <w:textAlignment w:val="baseline"/>
                    <w:rPr>
                      <w:kern w:val="0"/>
                      <w:szCs w:val="21"/>
                    </w:rPr>
                  </w:pPr>
                  <w:r>
                    <w:rPr>
                      <w:rFonts w:hint="eastAsia"/>
                      <w:kern w:val="0"/>
                      <w:szCs w:val="21"/>
                    </w:rPr>
                    <w:t>□车间或车间处理设施排放口排放</w:t>
                  </w:r>
                </w:p>
              </w:tc>
            </w:tr>
          </w:tbl>
          <w:p w14:paraId="520AC4D1">
            <w:pPr>
              <w:adjustRightInd w:val="0"/>
              <w:snapToGrid w:val="0"/>
              <w:spacing w:line="460" w:lineRule="exact"/>
              <w:ind w:firstLine="480" w:firstLineChars="200"/>
              <w:textAlignment w:val="baseline"/>
              <w:rPr>
                <w:kern w:val="0"/>
                <w:sz w:val="24"/>
                <w:szCs w:val="20"/>
              </w:rPr>
            </w:pPr>
            <w:r>
              <w:rPr>
                <w:rFonts w:hint="eastAsia"/>
                <w:kern w:val="0"/>
                <w:sz w:val="24"/>
                <w:szCs w:val="20"/>
              </w:rPr>
              <w:t>（2）废水间接排放口基本情况</w:t>
            </w:r>
          </w:p>
          <w:p w14:paraId="520AC4D2">
            <w:pPr>
              <w:spacing w:line="460" w:lineRule="exact"/>
              <w:ind w:firstLine="480" w:firstLineChars="200"/>
              <w:jc w:val="left"/>
              <w:rPr>
                <w:rFonts w:eastAsia="黑体"/>
                <w:sz w:val="24"/>
                <w:szCs w:val="22"/>
              </w:rPr>
            </w:pPr>
            <w:r>
              <w:rPr>
                <w:rFonts w:eastAsia="黑体"/>
                <w:sz w:val="24"/>
                <w:szCs w:val="22"/>
              </w:rPr>
              <w:t>表</w:t>
            </w:r>
            <w:r>
              <w:rPr>
                <w:rFonts w:hint="eastAsia" w:eastAsia="黑体"/>
                <w:sz w:val="24"/>
                <w:szCs w:val="22"/>
              </w:rPr>
              <w:t>50</w:t>
            </w:r>
            <w:r>
              <w:rPr>
                <w:rFonts w:eastAsia="黑体"/>
                <w:sz w:val="24"/>
                <w:szCs w:val="22"/>
              </w:rPr>
              <w:t xml:space="preserve">        废水类别、污染物及污染治理设施信息表</w:t>
            </w:r>
          </w:p>
          <w:tbl>
            <w:tblPr>
              <w:tblStyle w:val="18"/>
              <w:tblpPr w:leftFromText="180" w:rightFromText="180" w:vertAnchor="text" w:tblpXSpec="center" w:tblpY="1"/>
              <w:tblOverlap w:val="never"/>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734"/>
              <w:gridCol w:w="862"/>
              <w:gridCol w:w="726"/>
              <w:gridCol w:w="872"/>
              <w:gridCol w:w="691"/>
              <w:gridCol w:w="417"/>
              <w:gridCol w:w="690"/>
              <w:gridCol w:w="740"/>
              <w:gridCol w:w="713"/>
              <w:gridCol w:w="1690"/>
            </w:tblGrid>
            <w:tr w14:paraId="520AC4D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451" w:type="pct"/>
                  <w:vMerge w:val="restart"/>
                  <w:tcMar>
                    <w:top w:w="0" w:type="dxa"/>
                    <w:left w:w="0" w:type="dxa"/>
                    <w:bottom w:w="0" w:type="dxa"/>
                    <w:right w:w="0" w:type="dxa"/>
                  </w:tcMar>
                  <w:vAlign w:val="center"/>
                </w:tcPr>
                <w:p w14:paraId="520AC4D3">
                  <w:pPr>
                    <w:jc w:val="center"/>
                    <w:rPr>
                      <w:rFonts w:cs="宋体"/>
                      <w:b/>
                      <w:szCs w:val="20"/>
                    </w:rPr>
                  </w:pPr>
                  <w:r>
                    <w:rPr>
                      <w:rFonts w:hint="eastAsia" w:cs="宋体"/>
                      <w:b/>
                      <w:szCs w:val="20"/>
                    </w:rPr>
                    <w:t>排放口编号</w:t>
                  </w:r>
                </w:p>
              </w:tc>
              <w:tc>
                <w:tcPr>
                  <w:tcW w:w="976" w:type="pct"/>
                  <w:gridSpan w:val="2"/>
                  <w:tcMar>
                    <w:top w:w="0" w:type="dxa"/>
                    <w:left w:w="0" w:type="dxa"/>
                    <w:bottom w:w="0" w:type="dxa"/>
                    <w:right w:w="0" w:type="dxa"/>
                  </w:tcMar>
                  <w:vAlign w:val="center"/>
                </w:tcPr>
                <w:p w14:paraId="520AC4D4">
                  <w:pPr>
                    <w:jc w:val="center"/>
                    <w:rPr>
                      <w:rFonts w:cs="宋体"/>
                      <w:b/>
                      <w:szCs w:val="20"/>
                    </w:rPr>
                  </w:pPr>
                  <w:r>
                    <w:rPr>
                      <w:rFonts w:hint="eastAsia" w:cs="宋体"/>
                      <w:b/>
                      <w:szCs w:val="20"/>
                    </w:rPr>
                    <w:t>排放口地理坐标</w:t>
                  </w:r>
                </w:p>
              </w:tc>
              <w:tc>
                <w:tcPr>
                  <w:tcW w:w="536" w:type="pct"/>
                  <w:vMerge w:val="restart"/>
                  <w:tcMar>
                    <w:top w:w="0" w:type="dxa"/>
                    <w:left w:w="0" w:type="dxa"/>
                    <w:bottom w:w="0" w:type="dxa"/>
                    <w:right w:w="0" w:type="dxa"/>
                  </w:tcMar>
                  <w:vAlign w:val="center"/>
                </w:tcPr>
                <w:p w14:paraId="520AC4D5">
                  <w:pPr>
                    <w:jc w:val="center"/>
                    <w:rPr>
                      <w:rFonts w:cs="宋体"/>
                      <w:b/>
                      <w:szCs w:val="20"/>
                    </w:rPr>
                  </w:pPr>
                  <w:r>
                    <w:rPr>
                      <w:rFonts w:hint="eastAsia" w:cs="宋体"/>
                      <w:b/>
                      <w:szCs w:val="20"/>
                    </w:rPr>
                    <w:t>废水排放量</w:t>
                  </w:r>
                  <w:r>
                    <w:rPr>
                      <w:rFonts w:cs="宋体"/>
                      <w:b/>
                      <w:szCs w:val="20"/>
                    </w:rPr>
                    <w:t>/</w:t>
                  </w:r>
                </w:p>
                <w:p w14:paraId="520AC4D6">
                  <w:pPr>
                    <w:jc w:val="center"/>
                    <w:rPr>
                      <w:rFonts w:cs="宋体"/>
                      <w:b/>
                      <w:szCs w:val="20"/>
                    </w:rPr>
                  </w:pPr>
                  <w:r>
                    <w:rPr>
                      <w:rFonts w:hint="eastAsia" w:cs="宋体"/>
                      <w:b/>
                      <w:szCs w:val="20"/>
                    </w:rPr>
                    <w:t>（万</w:t>
                  </w:r>
                  <w:r>
                    <w:rPr>
                      <w:rFonts w:cs="宋体"/>
                      <w:b/>
                      <w:szCs w:val="20"/>
                    </w:rPr>
                    <w:t>t/a</w:t>
                  </w:r>
                  <w:r>
                    <w:rPr>
                      <w:rFonts w:hint="eastAsia" w:cs="宋体"/>
                      <w:b/>
                      <w:szCs w:val="20"/>
                    </w:rPr>
                    <w:t>）</w:t>
                  </w:r>
                </w:p>
              </w:tc>
              <w:tc>
                <w:tcPr>
                  <w:tcW w:w="425" w:type="pct"/>
                  <w:vMerge w:val="restart"/>
                  <w:tcMar>
                    <w:top w:w="0" w:type="dxa"/>
                    <w:left w:w="0" w:type="dxa"/>
                    <w:bottom w:w="0" w:type="dxa"/>
                    <w:right w:w="0" w:type="dxa"/>
                  </w:tcMar>
                  <w:vAlign w:val="center"/>
                </w:tcPr>
                <w:p w14:paraId="520AC4D7">
                  <w:pPr>
                    <w:jc w:val="center"/>
                    <w:rPr>
                      <w:rFonts w:cs="宋体"/>
                      <w:b/>
                      <w:szCs w:val="20"/>
                    </w:rPr>
                  </w:pPr>
                  <w:r>
                    <w:rPr>
                      <w:rFonts w:hint="eastAsia" w:cs="宋体"/>
                      <w:b/>
                      <w:szCs w:val="20"/>
                    </w:rPr>
                    <w:t>排放去向</w:t>
                  </w:r>
                </w:p>
              </w:tc>
              <w:tc>
                <w:tcPr>
                  <w:tcW w:w="256" w:type="pct"/>
                  <w:vMerge w:val="restart"/>
                  <w:tcMar>
                    <w:top w:w="0" w:type="dxa"/>
                    <w:left w:w="0" w:type="dxa"/>
                    <w:bottom w:w="0" w:type="dxa"/>
                    <w:right w:w="0" w:type="dxa"/>
                  </w:tcMar>
                  <w:vAlign w:val="center"/>
                </w:tcPr>
                <w:p w14:paraId="520AC4D8">
                  <w:pPr>
                    <w:jc w:val="center"/>
                    <w:rPr>
                      <w:rFonts w:cs="宋体"/>
                      <w:b/>
                      <w:szCs w:val="20"/>
                    </w:rPr>
                  </w:pPr>
                  <w:r>
                    <w:rPr>
                      <w:rFonts w:hint="eastAsia" w:cs="宋体"/>
                      <w:b/>
                      <w:szCs w:val="20"/>
                    </w:rPr>
                    <w:t>排放规律</w:t>
                  </w:r>
                </w:p>
              </w:tc>
              <w:tc>
                <w:tcPr>
                  <w:tcW w:w="424" w:type="pct"/>
                  <w:vMerge w:val="restart"/>
                  <w:tcMar>
                    <w:top w:w="0" w:type="dxa"/>
                    <w:left w:w="0" w:type="dxa"/>
                    <w:bottom w:w="0" w:type="dxa"/>
                    <w:right w:w="0" w:type="dxa"/>
                  </w:tcMar>
                  <w:vAlign w:val="center"/>
                </w:tcPr>
                <w:p w14:paraId="520AC4D9">
                  <w:pPr>
                    <w:jc w:val="center"/>
                    <w:rPr>
                      <w:rFonts w:cs="宋体"/>
                      <w:b/>
                      <w:szCs w:val="20"/>
                    </w:rPr>
                  </w:pPr>
                  <w:r>
                    <w:rPr>
                      <w:rFonts w:hint="eastAsia" w:cs="宋体"/>
                      <w:b/>
                      <w:szCs w:val="20"/>
                    </w:rPr>
                    <w:t>间歇排放时段</w:t>
                  </w:r>
                </w:p>
              </w:tc>
              <w:tc>
                <w:tcPr>
                  <w:tcW w:w="1932" w:type="pct"/>
                  <w:gridSpan w:val="3"/>
                  <w:tcMar>
                    <w:top w:w="0" w:type="dxa"/>
                    <w:left w:w="0" w:type="dxa"/>
                    <w:bottom w:w="0" w:type="dxa"/>
                    <w:right w:w="0" w:type="dxa"/>
                  </w:tcMar>
                  <w:vAlign w:val="center"/>
                </w:tcPr>
                <w:p w14:paraId="520AC4DA">
                  <w:pPr>
                    <w:jc w:val="center"/>
                    <w:rPr>
                      <w:rFonts w:cs="宋体"/>
                      <w:b/>
                      <w:szCs w:val="20"/>
                    </w:rPr>
                  </w:pPr>
                  <w:r>
                    <w:rPr>
                      <w:rFonts w:hint="eastAsia" w:cs="宋体"/>
                      <w:b/>
                      <w:szCs w:val="20"/>
                    </w:rPr>
                    <w:t>受纳污水处理厂信息</w:t>
                  </w:r>
                </w:p>
              </w:tc>
            </w:tr>
            <w:tr w14:paraId="520AC4E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451" w:type="pct"/>
                  <w:vMerge w:val="continue"/>
                  <w:vAlign w:val="center"/>
                </w:tcPr>
                <w:p w14:paraId="520AC4DC">
                  <w:pPr>
                    <w:jc w:val="center"/>
                    <w:rPr>
                      <w:rFonts w:cs="宋体"/>
                      <w:b/>
                      <w:szCs w:val="20"/>
                    </w:rPr>
                  </w:pPr>
                </w:p>
              </w:tc>
              <w:tc>
                <w:tcPr>
                  <w:tcW w:w="530" w:type="pct"/>
                  <w:tcMar>
                    <w:top w:w="0" w:type="dxa"/>
                    <w:left w:w="0" w:type="dxa"/>
                    <w:bottom w:w="0" w:type="dxa"/>
                    <w:right w:w="0" w:type="dxa"/>
                  </w:tcMar>
                  <w:vAlign w:val="center"/>
                </w:tcPr>
                <w:p w14:paraId="520AC4DD">
                  <w:pPr>
                    <w:jc w:val="center"/>
                    <w:rPr>
                      <w:rFonts w:cs="宋体"/>
                      <w:b/>
                      <w:szCs w:val="20"/>
                    </w:rPr>
                  </w:pPr>
                  <w:r>
                    <w:rPr>
                      <w:rFonts w:hint="eastAsia" w:cs="宋体"/>
                      <w:b/>
                      <w:szCs w:val="20"/>
                    </w:rPr>
                    <w:t>经度</w:t>
                  </w:r>
                </w:p>
              </w:tc>
              <w:tc>
                <w:tcPr>
                  <w:tcW w:w="446" w:type="pct"/>
                  <w:tcMar>
                    <w:top w:w="0" w:type="dxa"/>
                    <w:left w:w="0" w:type="dxa"/>
                    <w:bottom w:w="0" w:type="dxa"/>
                    <w:right w:w="0" w:type="dxa"/>
                  </w:tcMar>
                  <w:vAlign w:val="center"/>
                </w:tcPr>
                <w:p w14:paraId="520AC4DE">
                  <w:pPr>
                    <w:jc w:val="center"/>
                    <w:rPr>
                      <w:rFonts w:cs="宋体"/>
                      <w:b/>
                      <w:szCs w:val="20"/>
                    </w:rPr>
                  </w:pPr>
                  <w:r>
                    <w:rPr>
                      <w:rFonts w:hint="eastAsia" w:cs="宋体"/>
                      <w:b/>
                      <w:szCs w:val="20"/>
                    </w:rPr>
                    <w:t>纬度</w:t>
                  </w:r>
                </w:p>
              </w:tc>
              <w:tc>
                <w:tcPr>
                  <w:tcW w:w="536" w:type="pct"/>
                  <w:vMerge w:val="continue"/>
                  <w:tcMar>
                    <w:top w:w="0" w:type="dxa"/>
                    <w:left w:w="0" w:type="dxa"/>
                    <w:bottom w:w="0" w:type="dxa"/>
                    <w:right w:w="0" w:type="dxa"/>
                  </w:tcMar>
                  <w:vAlign w:val="center"/>
                </w:tcPr>
                <w:p w14:paraId="520AC4DF">
                  <w:pPr>
                    <w:jc w:val="center"/>
                    <w:rPr>
                      <w:rFonts w:cs="宋体"/>
                      <w:b/>
                      <w:szCs w:val="20"/>
                    </w:rPr>
                  </w:pPr>
                </w:p>
              </w:tc>
              <w:tc>
                <w:tcPr>
                  <w:tcW w:w="425" w:type="pct"/>
                  <w:vMerge w:val="continue"/>
                  <w:tcMar>
                    <w:top w:w="0" w:type="dxa"/>
                    <w:left w:w="0" w:type="dxa"/>
                    <w:bottom w:w="0" w:type="dxa"/>
                    <w:right w:w="0" w:type="dxa"/>
                  </w:tcMar>
                  <w:vAlign w:val="center"/>
                </w:tcPr>
                <w:p w14:paraId="520AC4E0">
                  <w:pPr>
                    <w:jc w:val="center"/>
                    <w:rPr>
                      <w:rFonts w:cs="宋体"/>
                      <w:b/>
                      <w:szCs w:val="20"/>
                    </w:rPr>
                  </w:pPr>
                </w:p>
              </w:tc>
              <w:tc>
                <w:tcPr>
                  <w:tcW w:w="256" w:type="pct"/>
                  <w:vMerge w:val="continue"/>
                  <w:tcMar>
                    <w:top w:w="0" w:type="dxa"/>
                    <w:left w:w="0" w:type="dxa"/>
                    <w:bottom w:w="0" w:type="dxa"/>
                    <w:right w:w="0" w:type="dxa"/>
                  </w:tcMar>
                  <w:vAlign w:val="center"/>
                </w:tcPr>
                <w:p w14:paraId="520AC4E1">
                  <w:pPr>
                    <w:jc w:val="center"/>
                    <w:rPr>
                      <w:rFonts w:cs="宋体"/>
                      <w:b/>
                      <w:szCs w:val="20"/>
                    </w:rPr>
                  </w:pPr>
                </w:p>
              </w:tc>
              <w:tc>
                <w:tcPr>
                  <w:tcW w:w="424" w:type="pct"/>
                  <w:vMerge w:val="continue"/>
                  <w:tcMar>
                    <w:top w:w="0" w:type="dxa"/>
                    <w:left w:w="0" w:type="dxa"/>
                    <w:bottom w:w="0" w:type="dxa"/>
                    <w:right w:w="0" w:type="dxa"/>
                  </w:tcMar>
                  <w:vAlign w:val="center"/>
                </w:tcPr>
                <w:p w14:paraId="520AC4E2">
                  <w:pPr>
                    <w:jc w:val="center"/>
                    <w:rPr>
                      <w:rFonts w:cs="宋体"/>
                      <w:b/>
                      <w:szCs w:val="20"/>
                    </w:rPr>
                  </w:pPr>
                </w:p>
              </w:tc>
              <w:tc>
                <w:tcPr>
                  <w:tcW w:w="455" w:type="pct"/>
                  <w:tcMar>
                    <w:top w:w="0" w:type="dxa"/>
                    <w:left w:w="0" w:type="dxa"/>
                    <w:bottom w:w="0" w:type="dxa"/>
                    <w:right w:w="0" w:type="dxa"/>
                  </w:tcMar>
                  <w:vAlign w:val="center"/>
                </w:tcPr>
                <w:p w14:paraId="520AC4E3">
                  <w:pPr>
                    <w:jc w:val="center"/>
                    <w:rPr>
                      <w:rFonts w:cs="宋体"/>
                      <w:b/>
                      <w:szCs w:val="20"/>
                    </w:rPr>
                  </w:pPr>
                  <w:r>
                    <w:rPr>
                      <w:rFonts w:hint="eastAsia" w:cs="宋体"/>
                      <w:b/>
                      <w:szCs w:val="20"/>
                    </w:rPr>
                    <w:t>名称</w:t>
                  </w:r>
                </w:p>
              </w:tc>
              <w:tc>
                <w:tcPr>
                  <w:tcW w:w="438" w:type="pct"/>
                  <w:tcMar>
                    <w:top w:w="0" w:type="dxa"/>
                    <w:left w:w="0" w:type="dxa"/>
                    <w:bottom w:w="0" w:type="dxa"/>
                    <w:right w:w="0" w:type="dxa"/>
                  </w:tcMar>
                  <w:vAlign w:val="center"/>
                </w:tcPr>
                <w:p w14:paraId="520AC4E4">
                  <w:pPr>
                    <w:jc w:val="center"/>
                    <w:rPr>
                      <w:rFonts w:cs="宋体"/>
                      <w:b/>
                      <w:szCs w:val="20"/>
                    </w:rPr>
                  </w:pPr>
                  <w:r>
                    <w:rPr>
                      <w:rFonts w:hint="eastAsia" w:cs="宋体"/>
                      <w:b/>
                      <w:szCs w:val="20"/>
                    </w:rPr>
                    <w:t>污染物种类</w:t>
                  </w:r>
                </w:p>
              </w:tc>
              <w:tc>
                <w:tcPr>
                  <w:tcW w:w="1039" w:type="pct"/>
                  <w:tcMar>
                    <w:top w:w="0" w:type="dxa"/>
                    <w:left w:w="0" w:type="dxa"/>
                    <w:bottom w:w="0" w:type="dxa"/>
                    <w:right w:w="0" w:type="dxa"/>
                  </w:tcMar>
                  <w:vAlign w:val="center"/>
                </w:tcPr>
                <w:p w14:paraId="520AC4E5">
                  <w:pPr>
                    <w:jc w:val="center"/>
                    <w:rPr>
                      <w:rFonts w:cs="宋体"/>
                      <w:b/>
                      <w:szCs w:val="20"/>
                    </w:rPr>
                  </w:pPr>
                  <w:r>
                    <w:rPr>
                      <w:rFonts w:hint="eastAsia" w:cs="宋体"/>
                      <w:b/>
                      <w:szCs w:val="20"/>
                    </w:rPr>
                    <w:t>国家或地方污染物排放标准浓度限值</w:t>
                  </w:r>
                  <w:r>
                    <w:rPr>
                      <w:rFonts w:cs="宋体"/>
                      <w:b/>
                      <w:szCs w:val="20"/>
                    </w:rPr>
                    <w:t>/</w:t>
                  </w:r>
                  <w:r>
                    <w:rPr>
                      <w:rFonts w:hint="eastAsia" w:cs="宋体"/>
                      <w:b/>
                      <w:szCs w:val="20"/>
                    </w:rPr>
                    <w:t>（</w:t>
                  </w:r>
                  <w:r>
                    <w:rPr>
                      <w:rFonts w:cs="宋体"/>
                      <w:b/>
                      <w:szCs w:val="20"/>
                    </w:rPr>
                    <w:t>mg/L</w:t>
                  </w:r>
                  <w:r>
                    <w:rPr>
                      <w:rFonts w:hint="eastAsia" w:cs="宋体"/>
                      <w:b/>
                      <w:szCs w:val="20"/>
                    </w:rPr>
                    <w:t>）</w:t>
                  </w:r>
                </w:p>
              </w:tc>
            </w:tr>
            <w:tr w14:paraId="520AC4F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451" w:type="pct"/>
                  <w:vMerge w:val="restart"/>
                  <w:tcMar>
                    <w:top w:w="0" w:type="dxa"/>
                    <w:left w:w="0" w:type="dxa"/>
                    <w:bottom w:w="0" w:type="dxa"/>
                    <w:right w:w="0" w:type="dxa"/>
                  </w:tcMar>
                  <w:vAlign w:val="center"/>
                </w:tcPr>
                <w:p w14:paraId="520AC4E7">
                  <w:pPr>
                    <w:contextualSpacing/>
                    <w:jc w:val="center"/>
                    <w:textAlignment w:val="baseline"/>
                    <w:rPr>
                      <w:kern w:val="0"/>
                      <w:szCs w:val="21"/>
                    </w:rPr>
                  </w:pPr>
                  <w:r>
                    <w:rPr>
                      <w:kern w:val="0"/>
                      <w:szCs w:val="21"/>
                    </w:rPr>
                    <w:t>DW001</w:t>
                  </w:r>
                </w:p>
              </w:tc>
              <w:tc>
                <w:tcPr>
                  <w:tcW w:w="530" w:type="pct"/>
                  <w:vMerge w:val="restart"/>
                  <w:tcMar>
                    <w:top w:w="0" w:type="dxa"/>
                    <w:left w:w="0" w:type="dxa"/>
                    <w:bottom w:w="0" w:type="dxa"/>
                    <w:right w:w="0" w:type="dxa"/>
                  </w:tcMar>
                  <w:vAlign w:val="center"/>
                </w:tcPr>
                <w:p w14:paraId="520AC4E8">
                  <w:pPr>
                    <w:contextualSpacing/>
                    <w:jc w:val="center"/>
                    <w:textAlignment w:val="baseline"/>
                    <w:rPr>
                      <w:kern w:val="0"/>
                      <w:szCs w:val="21"/>
                    </w:rPr>
                  </w:pPr>
                  <w:r>
                    <w:rPr>
                      <w:rFonts w:hint="eastAsia"/>
                      <w:kern w:val="0"/>
                      <w:szCs w:val="21"/>
                    </w:rPr>
                    <w:t>113.8734027</w:t>
                  </w:r>
                </w:p>
              </w:tc>
              <w:tc>
                <w:tcPr>
                  <w:tcW w:w="446" w:type="pct"/>
                  <w:vMerge w:val="restart"/>
                  <w:tcMar>
                    <w:top w:w="0" w:type="dxa"/>
                    <w:left w:w="0" w:type="dxa"/>
                    <w:bottom w:w="0" w:type="dxa"/>
                    <w:right w:w="0" w:type="dxa"/>
                  </w:tcMar>
                  <w:vAlign w:val="center"/>
                </w:tcPr>
                <w:p w14:paraId="520AC4E9">
                  <w:pPr>
                    <w:contextualSpacing/>
                    <w:jc w:val="center"/>
                    <w:textAlignment w:val="baseline"/>
                    <w:rPr>
                      <w:kern w:val="0"/>
                      <w:szCs w:val="21"/>
                    </w:rPr>
                  </w:pPr>
                  <w:r>
                    <w:rPr>
                      <w:rFonts w:hint="eastAsia"/>
                      <w:kern w:val="0"/>
                      <w:szCs w:val="21"/>
                    </w:rPr>
                    <w:t>35.3230325</w:t>
                  </w:r>
                </w:p>
              </w:tc>
              <w:tc>
                <w:tcPr>
                  <w:tcW w:w="536" w:type="pct"/>
                  <w:vMerge w:val="restart"/>
                  <w:tcMar>
                    <w:top w:w="0" w:type="dxa"/>
                    <w:left w:w="0" w:type="dxa"/>
                    <w:bottom w:w="0" w:type="dxa"/>
                    <w:right w:w="0" w:type="dxa"/>
                  </w:tcMar>
                  <w:vAlign w:val="center"/>
                </w:tcPr>
                <w:p w14:paraId="520AC4EA">
                  <w:pPr>
                    <w:contextualSpacing/>
                    <w:jc w:val="center"/>
                    <w:textAlignment w:val="baseline"/>
                    <w:rPr>
                      <w:kern w:val="0"/>
                      <w:szCs w:val="21"/>
                    </w:rPr>
                  </w:pPr>
                  <w:r>
                    <w:rPr>
                      <w:rFonts w:hint="eastAsia"/>
                      <w:kern w:val="0"/>
                      <w:szCs w:val="21"/>
                    </w:rPr>
                    <w:t>0.0069</w:t>
                  </w:r>
                </w:p>
              </w:tc>
              <w:tc>
                <w:tcPr>
                  <w:tcW w:w="425" w:type="pct"/>
                  <w:vMerge w:val="restart"/>
                  <w:tcMar>
                    <w:top w:w="0" w:type="dxa"/>
                    <w:left w:w="0" w:type="dxa"/>
                    <w:bottom w:w="0" w:type="dxa"/>
                    <w:right w:w="0" w:type="dxa"/>
                  </w:tcMar>
                  <w:vAlign w:val="center"/>
                </w:tcPr>
                <w:p w14:paraId="520AC4EB">
                  <w:pPr>
                    <w:contextualSpacing/>
                    <w:jc w:val="center"/>
                    <w:textAlignment w:val="baseline"/>
                    <w:rPr>
                      <w:kern w:val="0"/>
                      <w:szCs w:val="21"/>
                    </w:rPr>
                  </w:pPr>
                  <w:r>
                    <w:rPr>
                      <w:kern w:val="0"/>
                      <w:szCs w:val="21"/>
                    </w:rPr>
                    <w:t>污水处理厂</w:t>
                  </w:r>
                </w:p>
              </w:tc>
              <w:tc>
                <w:tcPr>
                  <w:tcW w:w="256" w:type="pct"/>
                  <w:vMerge w:val="restart"/>
                  <w:tcMar>
                    <w:top w:w="0" w:type="dxa"/>
                    <w:left w:w="0" w:type="dxa"/>
                    <w:bottom w:w="0" w:type="dxa"/>
                    <w:right w:w="0" w:type="dxa"/>
                  </w:tcMar>
                  <w:vAlign w:val="center"/>
                </w:tcPr>
                <w:p w14:paraId="520AC4EC">
                  <w:pPr>
                    <w:contextualSpacing/>
                    <w:jc w:val="center"/>
                    <w:textAlignment w:val="baseline"/>
                    <w:rPr>
                      <w:kern w:val="0"/>
                      <w:szCs w:val="21"/>
                    </w:rPr>
                  </w:pPr>
                  <w:r>
                    <w:rPr>
                      <w:rFonts w:hint="eastAsia"/>
                      <w:kern w:val="0"/>
                      <w:szCs w:val="21"/>
                    </w:rPr>
                    <w:t>间断排放</w:t>
                  </w:r>
                </w:p>
              </w:tc>
              <w:tc>
                <w:tcPr>
                  <w:tcW w:w="424" w:type="pct"/>
                  <w:vMerge w:val="restart"/>
                  <w:tcMar>
                    <w:top w:w="0" w:type="dxa"/>
                    <w:left w:w="0" w:type="dxa"/>
                    <w:bottom w:w="0" w:type="dxa"/>
                    <w:right w:w="0" w:type="dxa"/>
                  </w:tcMar>
                  <w:vAlign w:val="center"/>
                </w:tcPr>
                <w:p w14:paraId="520AC4ED">
                  <w:pPr>
                    <w:contextualSpacing/>
                    <w:jc w:val="center"/>
                    <w:textAlignment w:val="baseline"/>
                    <w:rPr>
                      <w:kern w:val="0"/>
                      <w:szCs w:val="21"/>
                    </w:rPr>
                  </w:pPr>
                  <w:r>
                    <w:rPr>
                      <w:kern w:val="0"/>
                      <w:szCs w:val="21"/>
                    </w:rPr>
                    <w:t>0</w:t>
                  </w:r>
                  <w:r>
                    <w:rPr>
                      <w:rFonts w:hint="eastAsia"/>
                      <w:kern w:val="0"/>
                      <w:szCs w:val="21"/>
                    </w:rPr>
                    <w:t>8</w:t>
                  </w:r>
                  <w:r>
                    <w:rPr>
                      <w:kern w:val="0"/>
                      <w:szCs w:val="21"/>
                    </w:rPr>
                    <w:t>:00~</w:t>
                  </w:r>
                </w:p>
                <w:p w14:paraId="520AC4EE">
                  <w:pPr>
                    <w:contextualSpacing/>
                    <w:jc w:val="center"/>
                    <w:textAlignment w:val="baseline"/>
                    <w:rPr>
                      <w:kern w:val="0"/>
                      <w:szCs w:val="21"/>
                    </w:rPr>
                  </w:pPr>
                  <w:r>
                    <w:rPr>
                      <w:rFonts w:hint="eastAsia"/>
                      <w:kern w:val="0"/>
                      <w:szCs w:val="21"/>
                    </w:rPr>
                    <w:t>18</w:t>
                  </w:r>
                  <w:r>
                    <w:rPr>
                      <w:kern w:val="0"/>
                      <w:szCs w:val="21"/>
                    </w:rPr>
                    <w:t>:00</w:t>
                  </w:r>
                </w:p>
              </w:tc>
              <w:tc>
                <w:tcPr>
                  <w:tcW w:w="455" w:type="pct"/>
                  <w:vMerge w:val="restart"/>
                  <w:tcMar>
                    <w:top w:w="0" w:type="dxa"/>
                    <w:left w:w="0" w:type="dxa"/>
                    <w:bottom w:w="0" w:type="dxa"/>
                    <w:right w:w="0" w:type="dxa"/>
                  </w:tcMar>
                  <w:vAlign w:val="center"/>
                </w:tcPr>
                <w:p w14:paraId="520AC4EF">
                  <w:pPr>
                    <w:contextualSpacing/>
                    <w:jc w:val="center"/>
                    <w:textAlignment w:val="baseline"/>
                    <w:rPr>
                      <w:kern w:val="0"/>
                      <w:szCs w:val="21"/>
                    </w:rPr>
                  </w:pPr>
                  <w:r>
                    <w:rPr>
                      <w:rFonts w:hint="eastAsia"/>
                      <w:kern w:val="0"/>
                      <w:szCs w:val="21"/>
                    </w:rPr>
                    <w:t>小尚庄污水处理厂</w:t>
                  </w:r>
                </w:p>
              </w:tc>
              <w:tc>
                <w:tcPr>
                  <w:tcW w:w="438" w:type="pct"/>
                  <w:tcMar>
                    <w:top w:w="0" w:type="dxa"/>
                    <w:left w:w="0" w:type="dxa"/>
                    <w:bottom w:w="0" w:type="dxa"/>
                    <w:right w:w="0" w:type="dxa"/>
                  </w:tcMar>
                  <w:vAlign w:val="center"/>
                </w:tcPr>
                <w:p w14:paraId="520AC4F0">
                  <w:pPr>
                    <w:contextualSpacing/>
                    <w:jc w:val="center"/>
                    <w:textAlignment w:val="baseline"/>
                    <w:rPr>
                      <w:kern w:val="0"/>
                      <w:szCs w:val="21"/>
                    </w:rPr>
                  </w:pPr>
                  <w:r>
                    <w:rPr>
                      <w:kern w:val="0"/>
                      <w:szCs w:val="21"/>
                    </w:rPr>
                    <w:t>COD</w:t>
                  </w:r>
                </w:p>
              </w:tc>
              <w:tc>
                <w:tcPr>
                  <w:tcW w:w="1039" w:type="pct"/>
                  <w:tcMar>
                    <w:top w:w="0" w:type="dxa"/>
                    <w:left w:w="0" w:type="dxa"/>
                    <w:bottom w:w="0" w:type="dxa"/>
                    <w:right w:w="0" w:type="dxa"/>
                  </w:tcMar>
                  <w:vAlign w:val="center"/>
                </w:tcPr>
                <w:p w14:paraId="520AC4F1">
                  <w:pPr>
                    <w:contextualSpacing/>
                    <w:jc w:val="center"/>
                    <w:textAlignment w:val="baseline"/>
                    <w:rPr>
                      <w:kern w:val="0"/>
                      <w:szCs w:val="21"/>
                    </w:rPr>
                  </w:pPr>
                  <w:r>
                    <w:rPr>
                      <w:rFonts w:hint="eastAsia"/>
                      <w:kern w:val="0"/>
                      <w:szCs w:val="21"/>
                    </w:rPr>
                    <w:t>50</w:t>
                  </w:r>
                </w:p>
              </w:tc>
            </w:tr>
            <w:tr w14:paraId="520AC4F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451" w:type="pct"/>
                  <w:vMerge w:val="continue"/>
                  <w:vAlign w:val="center"/>
                </w:tcPr>
                <w:p w14:paraId="520AC4F3">
                  <w:pPr>
                    <w:contextualSpacing/>
                    <w:jc w:val="center"/>
                    <w:textAlignment w:val="baseline"/>
                    <w:rPr>
                      <w:kern w:val="0"/>
                      <w:szCs w:val="21"/>
                    </w:rPr>
                  </w:pPr>
                </w:p>
              </w:tc>
              <w:tc>
                <w:tcPr>
                  <w:tcW w:w="530" w:type="pct"/>
                  <w:vMerge w:val="continue"/>
                  <w:vAlign w:val="center"/>
                </w:tcPr>
                <w:p w14:paraId="520AC4F4">
                  <w:pPr>
                    <w:contextualSpacing/>
                    <w:jc w:val="center"/>
                    <w:textAlignment w:val="baseline"/>
                    <w:rPr>
                      <w:kern w:val="0"/>
                      <w:szCs w:val="21"/>
                    </w:rPr>
                  </w:pPr>
                </w:p>
              </w:tc>
              <w:tc>
                <w:tcPr>
                  <w:tcW w:w="446" w:type="pct"/>
                  <w:vMerge w:val="continue"/>
                  <w:vAlign w:val="center"/>
                </w:tcPr>
                <w:p w14:paraId="520AC4F5">
                  <w:pPr>
                    <w:contextualSpacing/>
                    <w:jc w:val="center"/>
                    <w:textAlignment w:val="baseline"/>
                    <w:rPr>
                      <w:kern w:val="0"/>
                      <w:szCs w:val="21"/>
                    </w:rPr>
                  </w:pPr>
                </w:p>
              </w:tc>
              <w:tc>
                <w:tcPr>
                  <w:tcW w:w="536" w:type="pct"/>
                  <w:vMerge w:val="continue"/>
                  <w:vAlign w:val="center"/>
                </w:tcPr>
                <w:p w14:paraId="520AC4F6">
                  <w:pPr>
                    <w:contextualSpacing/>
                    <w:jc w:val="center"/>
                    <w:textAlignment w:val="baseline"/>
                    <w:rPr>
                      <w:kern w:val="0"/>
                      <w:szCs w:val="21"/>
                    </w:rPr>
                  </w:pPr>
                </w:p>
              </w:tc>
              <w:tc>
                <w:tcPr>
                  <w:tcW w:w="425" w:type="pct"/>
                  <w:vMerge w:val="continue"/>
                  <w:vAlign w:val="center"/>
                </w:tcPr>
                <w:p w14:paraId="520AC4F7">
                  <w:pPr>
                    <w:contextualSpacing/>
                    <w:jc w:val="center"/>
                    <w:textAlignment w:val="baseline"/>
                    <w:rPr>
                      <w:kern w:val="0"/>
                      <w:szCs w:val="21"/>
                    </w:rPr>
                  </w:pPr>
                </w:p>
              </w:tc>
              <w:tc>
                <w:tcPr>
                  <w:tcW w:w="256" w:type="pct"/>
                  <w:vMerge w:val="continue"/>
                  <w:vAlign w:val="center"/>
                </w:tcPr>
                <w:p w14:paraId="520AC4F8">
                  <w:pPr>
                    <w:contextualSpacing/>
                    <w:jc w:val="center"/>
                    <w:textAlignment w:val="baseline"/>
                    <w:rPr>
                      <w:kern w:val="0"/>
                      <w:szCs w:val="21"/>
                    </w:rPr>
                  </w:pPr>
                </w:p>
              </w:tc>
              <w:tc>
                <w:tcPr>
                  <w:tcW w:w="424" w:type="pct"/>
                  <w:vMerge w:val="continue"/>
                  <w:vAlign w:val="center"/>
                </w:tcPr>
                <w:p w14:paraId="520AC4F9">
                  <w:pPr>
                    <w:contextualSpacing/>
                    <w:jc w:val="center"/>
                    <w:textAlignment w:val="baseline"/>
                    <w:rPr>
                      <w:kern w:val="0"/>
                      <w:szCs w:val="21"/>
                    </w:rPr>
                  </w:pPr>
                </w:p>
              </w:tc>
              <w:tc>
                <w:tcPr>
                  <w:tcW w:w="455" w:type="pct"/>
                  <w:vMerge w:val="continue"/>
                  <w:vAlign w:val="center"/>
                </w:tcPr>
                <w:p w14:paraId="520AC4FA">
                  <w:pPr>
                    <w:contextualSpacing/>
                    <w:jc w:val="center"/>
                    <w:textAlignment w:val="baseline"/>
                    <w:rPr>
                      <w:kern w:val="0"/>
                      <w:szCs w:val="21"/>
                    </w:rPr>
                  </w:pPr>
                </w:p>
              </w:tc>
              <w:tc>
                <w:tcPr>
                  <w:tcW w:w="438" w:type="pct"/>
                  <w:tcMar>
                    <w:top w:w="0" w:type="dxa"/>
                    <w:left w:w="0" w:type="dxa"/>
                    <w:bottom w:w="0" w:type="dxa"/>
                    <w:right w:w="0" w:type="dxa"/>
                  </w:tcMar>
                  <w:vAlign w:val="center"/>
                </w:tcPr>
                <w:p w14:paraId="520AC4FB">
                  <w:pPr>
                    <w:contextualSpacing/>
                    <w:jc w:val="center"/>
                    <w:textAlignment w:val="baseline"/>
                    <w:rPr>
                      <w:kern w:val="0"/>
                      <w:szCs w:val="21"/>
                    </w:rPr>
                  </w:pPr>
                  <w:r>
                    <w:rPr>
                      <w:rFonts w:hint="eastAsia"/>
                      <w:kern w:val="0"/>
                      <w:szCs w:val="21"/>
                    </w:rPr>
                    <w:t>SS</w:t>
                  </w:r>
                </w:p>
              </w:tc>
              <w:tc>
                <w:tcPr>
                  <w:tcW w:w="1039" w:type="pct"/>
                  <w:tcMar>
                    <w:top w:w="0" w:type="dxa"/>
                    <w:left w:w="0" w:type="dxa"/>
                    <w:bottom w:w="0" w:type="dxa"/>
                    <w:right w:w="0" w:type="dxa"/>
                  </w:tcMar>
                  <w:vAlign w:val="center"/>
                </w:tcPr>
                <w:p w14:paraId="520AC4FC">
                  <w:pPr>
                    <w:contextualSpacing/>
                    <w:jc w:val="center"/>
                    <w:textAlignment w:val="baseline"/>
                    <w:rPr>
                      <w:kern w:val="0"/>
                      <w:szCs w:val="21"/>
                    </w:rPr>
                  </w:pPr>
                  <w:r>
                    <w:rPr>
                      <w:rFonts w:hint="eastAsia"/>
                      <w:kern w:val="0"/>
                      <w:szCs w:val="21"/>
                    </w:rPr>
                    <w:t>10</w:t>
                  </w:r>
                </w:p>
              </w:tc>
            </w:tr>
            <w:tr w14:paraId="520AC50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451" w:type="pct"/>
                  <w:vMerge w:val="continue"/>
                  <w:vAlign w:val="center"/>
                </w:tcPr>
                <w:p w14:paraId="520AC4FE">
                  <w:pPr>
                    <w:contextualSpacing/>
                    <w:jc w:val="center"/>
                    <w:textAlignment w:val="baseline"/>
                    <w:rPr>
                      <w:kern w:val="0"/>
                      <w:szCs w:val="21"/>
                    </w:rPr>
                  </w:pPr>
                </w:p>
              </w:tc>
              <w:tc>
                <w:tcPr>
                  <w:tcW w:w="530" w:type="pct"/>
                  <w:vMerge w:val="continue"/>
                  <w:vAlign w:val="center"/>
                </w:tcPr>
                <w:p w14:paraId="520AC4FF">
                  <w:pPr>
                    <w:contextualSpacing/>
                    <w:jc w:val="center"/>
                    <w:textAlignment w:val="baseline"/>
                    <w:rPr>
                      <w:kern w:val="0"/>
                      <w:szCs w:val="21"/>
                    </w:rPr>
                  </w:pPr>
                </w:p>
              </w:tc>
              <w:tc>
                <w:tcPr>
                  <w:tcW w:w="446" w:type="pct"/>
                  <w:vMerge w:val="continue"/>
                  <w:vAlign w:val="center"/>
                </w:tcPr>
                <w:p w14:paraId="520AC500">
                  <w:pPr>
                    <w:contextualSpacing/>
                    <w:jc w:val="center"/>
                    <w:textAlignment w:val="baseline"/>
                    <w:rPr>
                      <w:kern w:val="0"/>
                      <w:szCs w:val="21"/>
                    </w:rPr>
                  </w:pPr>
                </w:p>
              </w:tc>
              <w:tc>
                <w:tcPr>
                  <w:tcW w:w="536" w:type="pct"/>
                  <w:vMerge w:val="continue"/>
                  <w:vAlign w:val="center"/>
                </w:tcPr>
                <w:p w14:paraId="520AC501">
                  <w:pPr>
                    <w:contextualSpacing/>
                    <w:jc w:val="center"/>
                    <w:textAlignment w:val="baseline"/>
                    <w:rPr>
                      <w:kern w:val="0"/>
                      <w:szCs w:val="21"/>
                    </w:rPr>
                  </w:pPr>
                </w:p>
              </w:tc>
              <w:tc>
                <w:tcPr>
                  <w:tcW w:w="425" w:type="pct"/>
                  <w:vMerge w:val="continue"/>
                  <w:vAlign w:val="center"/>
                </w:tcPr>
                <w:p w14:paraId="520AC502">
                  <w:pPr>
                    <w:contextualSpacing/>
                    <w:jc w:val="center"/>
                    <w:textAlignment w:val="baseline"/>
                    <w:rPr>
                      <w:kern w:val="0"/>
                      <w:szCs w:val="21"/>
                    </w:rPr>
                  </w:pPr>
                </w:p>
              </w:tc>
              <w:tc>
                <w:tcPr>
                  <w:tcW w:w="256" w:type="pct"/>
                  <w:vMerge w:val="continue"/>
                  <w:vAlign w:val="center"/>
                </w:tcPr>
                <w:p w14:paraId="520AC503">
                  <w:pPr>
                    <w:contextualSpacing/>
                    <w:jc w:val="center"/>
                    <w:textAlignment w:val="baseline"/>
                    <w:rPr>
                      <w:kern w:val="0"/>
                      <w:szCs w:val="21"/>
                    </w:rPr>
                  </w:pPr>
                </w:p>
              </w:tc>
              <w:tc>
                <w:tcPr>
                  <w:tcW w:w="424" w:type="pct"/>
                  <w:vMerge w:val="continue"/>
                  <w:vAlign w:val="center"/>
                </w:tcPr>
                <w:p w14:paraId="520AC504">
                  <w:pPr>
                    <w:contextualSpacing/>
                    <w:jc w:val="center"/>
                    <w:textAlignment w:val="baseline"/>
                    <w:rPr>
                      <w:kern w:val="0"/>
                      <w:szCs w:val="21"/>
                    </w:rPr>
                  </w:pPr>
                </w:p>
              </w:tc>
              <w:tc>
                <w:tcPr>
                  <w:tcW w:w="455" w:type="pct"/>
                  <w:vMerge w:val="continue"/>
                  <w:vAlign w:val="center"/>
                </w:tcPr>
                <w:p w14:paraId="520AC505">
                  <w:pPr>
                    <w:contextualSpacing/>
                    <w:jc w:val="center"/>
                    <w:textAlignment w:val="baseline"/>
                    <w:rPr>
                      <w:kern w:val="0"/>
                      <w:szCs w:val="21"/>
                    </w:rPr>
                  </w:pPr>
                </w:p>
              </w:tc>
              <w:tc>
                <w:tcPr>
                  <w:tcW w:w="438" w:type="pct"/>
                  <w:tcMar>
                    <w:top w:w="0" w:type="dxa"/>
                    <w:left w:w="0" w:type="dxa"/>
                    <w:bottom w:w="0" w:type="dxa"/>
                    <w:right w:w="0" w:type="dxa"/>
                  </w:tcMar>
                  <w:vAlign w:val="center"/>
                </w:tcPr>
                <w:p w14:paraId="520AC506">
                  <w:pPr>
                    <w:contextualSpacing/>
                    <w:jc w:val="center"/>
                    <w:textAlignment w:val="baseline"/>
                    <w:rPr>
                      <w:kern w:val="0"/>
                      <w:szCs w:val="21"/>
                    </w:rPr>
                  </w:pPr>
                  <w:r>
                    <w:rPr>
                      <w:kern w:val="0"/>
                      <w:szCs w:val="21"/>
                    </w:rPr>
                    <w:t>NH</w:t>
                  </w:r>
                  <w:r>
                    <w:rPr>
                      <w:kern w:val="0"/>
                      <w:szCs w:val="21"/>
                      <w:vertAlign w:val="subscript"/>
                    </w:rPr>
                    <w:t>3</w:t>
                  </w:r>
                  <w:r>
                    <w:rPr>
                      <w:kern w:val="0"/>
                      <w:szCs w:val="21"/>
                    </w:rPr>
                    <w:t>-N</w:t>
                  </w:r>
                </w:p>
              </w:tc>
              <w:tc>
                <w:tcPr>
                  <w:tcW w:w="1039" w:type="pct"/>
                  <w:tcMar>
                    <w:top w:w="0" w:type="dxa"/>
                    <w:left w:w="0" w:type="dxa"/>
                    <w:bottom w:w="0" w:type="dxa"/>
                    <w:right w:w="0" w:type="dxa"/>
                  </w:tcMar>
                  <w:vAlign w:val="center"/>
                </w:tcPr>
                <w:p w14:paraId="520AC507">
                  <w:pPr>
                    <w:contextualSpacing/>
                    <w:jc w:val="center"/>
                    <w:textAlignment w:val="baseline"/>
                    <w:rPr>
                      <w:kern w:val="0"/>
                      <w:szCs w:val="21"/>
                    </w:rPr>
                  </w:pPr>
                  <w:r>
                    <w:rPr>
                      <w:rFonts w:hint="eastAsia"/>
                      <w:kern w:val="0"/>
                      <w:szCs w:val="21"/>
                    </w:rPr>
                    <w:t>5</w:t>
                  </w:r>
                </w:p>
              </w:tc>
            </w:tr>
            <w:tr w14:paraId="520AC51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451" w:type="pct"/>
                  <w:vMerge w:val="continue"/>
                  <w:vAlign w:val="center"/>
                </w:tcPr>
                <w:p w14:paraId="520AC509">
                  <w:pPr>
                    <w:contextualSpacing/>
                    <w:jc w:val="center"/>
                    <w:textAlignment w:val="baseline"/>
                    <w:rPr>
                      <w:kern w:val="0"/>
                      <w:szCs w:val="21"/>
                    </w:rPr>
                  </w:pPr>
                </w:p>
              </w:tc>
              <w:tc>
                <w:tcPr>
                  <w:tcW w:w="530" w:type="pct"/>
                  <w:vMerge w:val="continue"/>
                  <w:vAlign w:val="center"/>
                </w:tcPr>
                <w:p w14:paraId="520AC50A">
                  <w:pPr>
                    <w:contextualSpacing/>
                    <w:jc w:val="center"/>
                    <w:textAlignment w:val="baseline"/>
                    <w:rPr>
                      <w:kern w:val="0"/>
                      <w:szCs w:val="21"/>
                    </w:rPr>
                  </w:pPr>
                </w:p>
              </w:tc>
              <w:tc>
                <w:tcPr>
                  <w:tcW w:w="446" w:type="pct"/>
                  <w:vMerge w:val="continue"/>
                  <w:vAlign w:val="center"/>
                </w:tcPr>
                <w:p w14:paraId="520AC50B">
                  <w:pPr>
                    <w:contextualSpacing/>
                    <w:jc w:val="center"/>
                    <w:textAlignment w:val="baseline"/>
                    <w:rPr>
                      <w:kern w:val="0"/>
                      <w:szCs w:val="21"/>
                    </w:rPr>
                  </w:pPr>
                </w:p>
              </w:tc>
              <w:tc>
                <w:tcPr>
                  <w:tcW w:w="536" w:type="pct"/>
                  <w:vMerge w:val="continue"/>
                  <w:vAlign w:val="center"/>
                </w:tcPr>
                <w:p w14:paraId="520AC50C">
                  <w:pPr>
                    <w:contextualSpacing/>
                    <w:jc w:val="center"/>
                    <w:textAlignment w:val="baseline"/>
                    <w:rPr>
                      <w:kern w:val="0"/>
                      <w:szCs w:val="21"/>
                    </w:rPr>
                  </w:pPr>
                </w:p>
              </w:tc>
              <w:tc>
                <w:tcPr>
                  <w:tcW w:w="425" w:type="pct"/>
                  <w:vMerge w:val="continue"/>
                  <w:vAlign w:val="center"/>
                </w:tcPr>
                <w:p w14:paraId="520AC50D">
                  <w:pPr>
                    <w:contextualSpacing/>
                    <w:jc w:val="center"/>
                    <w:textAlignment w:val="baseline"/>
                    <w:rPr>
                      <w:kern w:val="0"/>
                      <w:szCs w:val="21"/>
                    </w:rPr>
                  </w:pPr>
                </w:p>
              </w:tc>
              <w:tc>
                <w:tcPr>
                  <w:tcW w:w="256" w:type="pct"/>
                  <w:vMerge w:val="continue"/>
                  <w:vAlign w:val="center"/>
                </w:tcPr>
                <w:p w14:paraId="520AC50E">
                  <w:pPr>
                    <w:contextualSpacing/>
                    <w:jc w:val="center"/>
                    <w:textAlignment w:val="baseline"/>
                    <w:rPr>
                      <w:kern w:val="0"/>
                      <w:szCs w:val="21"/>
                    </w:rPr>
                  </w:pPr>
                </w:p>
              </w:tc>
              <w:tc>
                <w:tcPr>
                  <w:tcW w:w="424" w:type="pct"/>
                  <w:vMerge w:val="continue"/>
                  <w:vAlign w:val="center"/>
                </w:tcPr>
                <w:p w14:paraId="520AC50F">
                  <w:pPr>
                    <w:contextualSpacing/>
                    <w:jc w:val="center"/>
                    <w:textAlignment w:val="baseline"/>
                    <w:rPr>
                      <w:kern w:val="0"/>
                      <w:szCs w:val="21"/>
                    </w:rPr>
                  </w:pPr>
                </w:p>
              </w:tc>
              <w:tc>
                <w:tcPr>
                  <w:tcW w:w="455" w:type="pct"/>
                  <w:vMerge w:val="continue"/>
                  <w:vAlign w:val="center"/>
                </w:tcPr>
                <w:p w14:paraId="520AC510">
                  <w:pPr>
                    <w:contextualSpacing/>
                    <w:jc w:val="center"/>
                    <w:textAlignment w:val="baseline"/>
                    <w:rPr>
                      <w:kern w:val="0"/>
                      <w:szCs w:val="21"/>
                    </w:rPr>
                  </w:pPr>
                </w:p>
              </w:tc>
              <w:tc>
                <w:tcPr>
                  <w:tcW w:w="438" w:type="pct"/>
                  <w:tcMar>
                    <w:top w:w="0" w:type="dxa"/>
                    <w:left w:w="0" w:type="dxa"/>
                    <w:bottom w:w="0" w:type="dxa"/>
                    <w:right w:w="0" w:type="dxa"/>
                  </w:tcMar>
                  <w:vAlign w:val="center"/>
                </w:tcPr>
                <w:p w14:paraId="520AC511">
                  <w:pPr>
                    <w:contextualSpacing/>
                    <w:jc w:val="center"/>
                    <w:textAlignment w:val="baseline"/>
                    <w:rPr>
                      <w:kern w:val="0"/>
                      <w:szCs w:val="21"/>
                    </w:rPr>
                  </w:pPr>
                  <w:r>
                    <w:rPr>
                      <w:kern w:val="0"/>
                      <w:szCs w:val="21"/>
                    </w:rPr>
                    <w:t>TP</w:t>
                  </w:r>
                </w:p>
              </w:tc>
              <w:tc>
                <w:tcPr>
                  <w:tcW w:w="1039" w:type="pct"/>
                  <w:tcMar>
                    <w:top w:w="0" w:type="dxa"/>
                    <w:left w:w="0" w:type="dxa"/>
                    <w:bottom w:w="0" w:type="dxa"/>
                    <w:right w:w="0" w:type="dxa"/>
                  </w:tcMar>
                  <w:vAlign w:val="center"/>
                </w:tcPr>
                <w:p w14:paraId="520AC512">
                  <w:pPr>
                    <w:contextualSpacing/>
                    <w:jc w:val="center"/>
                    <w:textAlignment w:val="baseline"/>
                    <w:rPr>
                      <w:kern w:val="0"/>
                      <w:szCs w:val="21"/>
                    </w:rPr>
                  </w:pPr>
                  <w:r>
                    <w:rPr>
                      <w:rFonts w:hint="eastAsia"/>
                      <w:kern w:val="0"/>
                      <w:szCs w:val="21"/>
                    </w:rPr>
                    <w:t>0.5</w:t>
                  </w:r>
                </w:p>
              </w:tc>
            </w:tr>
            <w:tr w14:paraId="520AC51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451" w:type="pct"/>
                  <w:vMerge w:val="continue"/>
                  <w:vAlign w:val="center"/>
                </w:tcPr>
                <w:p w14:paraId="520AC514">
                  <w:pPr>
                    <w:contextualSpacing/>
                    <w:jc w:val="center"/>
                    <w:textAlignment w:val="baseline"/>
                    <w:rPr>
                      <w:kern w:val="0"/>
                      <w:szCs w:val="21"/>
                    </w:rPr>
                  </w:pPr>
                </w:p>
              </w:tc>
              <w:tc>
                <w:tcPr>
                  <w:tcW w:w="530" w:type="pct"/>
                  <w:vMerge w:val="continue"/>
                  <w:vAlign w:val="center"/>
                </w:tcPr>
                <w:p w14:paraId="520AC515">
                  <w:pPr>
                    <w:contextualSpacing/>
                    <w:jc w:val="center"/>
                    <w:textAlignment w:val="baseline"/>
                    <w:rPr>
                      <w:kern w:val="0"/>
                      <w:szCs w:val="21"/>
                    </w:rPr>
                  </w:pPr>
                </w:p>
              </w:tc>
              <w:tc>
                <w:tcPr>
                  <w:tcW w:w="446" w:type="pct"/>
                  <w:vMerge w:val="continue"/>
                  <w:vAlign w:val="center"/>
                </w:tcPr>
                <w:p w14:paraId="520AC516">
                  <w:pPr>
                    <w:contextualSpacing/>
                    <w:jc w:val="center"/>
                    <w:textAlignment w:val="baseline"/>
                    <w:rPr>
                      <w:kern w:val="0"/>
                      <w:szCs w:val="21"/>
                    </w:rPr>
                  </w:pPr>
                </w:p>
              </w:tc>
              <w:tc>
                <w:tcPr>
                  <w:tcW w:w="536" w:type="pct"/>
                  <w:vMerge w:val="continue"/>
                  <w:vAlign w:val="center"/>
                </w:tcPr>
                <w:p w14:paraId="520AC517">
                  <w:pPr>
                    <w:contextualSpacing/>
                    <w:jc w:val="center"/>
                    <w:textAlignment w:val="baseline"/>
                    <w:rPr>
                      <w:kern w:val="0"/>
                      <w:szCs w:val="21"/>
                    </w:rPr>
                  </w:pPr>
                </w:p>
              </w:tc>
              <w:tc>
                <w:tcPr>
                  <w:tcW w:w="425" w:type="pct"/>
                  <w:vMerge w:val="continue"/>
                  <w:vAlign w:val="center"/>
                </w:tcPr>
                <w:p w14:paraId="520AC518">
                  <w:pPr>
                    <w:contextualSpacing/>
                    <w:jc w:val="center"/>
                    <w:textAlignment w:val="baseline"/>
                    <w:rPr>
                      <w:kern w:val="0"/>
                      <w:szCs w:val="21"/>
                    </w:rPr>
                  </w:pPr>
                </w:p>
              </w:tc>
              <w:tc>
                <w:tcPr>
                  <w:tcW w:w="256" w:type="pct"/>
                  <w:vMerge w:val="continue"/>
                  <w:vAlign w:val="center"/>
                </w:tcPr>
                <w:p w14:paraId="520AC519">
                  <w:pPr>
                    <w:contextualSpacing/>
                    <w:jc w:val="center"/>
                    <w:textAlignment w:val="baseline"/>
                    <w:rPr>
                      <w:kern w:val="0"/>
                      <w:szCs w:val="21"/>
                    </w:rPr>
                  </w:pPr>
                </w:p>
              </w:tc>
              <w:tc>
                <w:tcPr>
                  <w:tcW w:w="424" w:type="pct"/>
                  <w:vMerge w:val="continue"/>
                  <w:vAlign w:val="center"/>
                </w:tcPr>
                <w:p w14:paraId="520AC51A">
                  <w:pPr>
                    <w:contextualSpacing/>
                    <w:jc w:val="center"/>
                    <w:textAlignment w:val="baseline"/>
                    <w:rPr>
                      <w:kern w:val="0"/>
                      <w:szCs w:val="21"/>
                    </w:rPr>
                  </w:pPr>
                </w:p>
              </w:tc>
              <w:tc>
                <w:tcPr>
                  <w:tcW w:w="455" w:type="pct"/>
                  <w:vMerge w:val="continue"/>
                  <w:vAlign w:val="center"/>
                </w:tcPr>
                <w:p w14:paraId="520AC51B">
                  <w:pPr>
                    <w:contextualSpacing/>
                    <w:jc w:val="center"/>
                    <w:textAlignment w:val="baseline"/>
                    <w:rPr>
                      <w:kern w:val="0"/>
                      <w:szCs w:val="21"/>
                    </w:rPr>
                  </w:pPr>
                </w:p>
              </w:tc>
              <w:tc>
                <w:tcPr>
                  <w:tcW w:w="438" w:type="pct"/>
                  <w:tcMar>
                    <w:top w:w="0" w:type="dxa"/>
                    <w:left w:w="0" w:type="dxa"/>
                    <w:bottom w:w="0" w:type="dxa"/>
                    <w:right w:w="0" w:type="dxa"/>
                  </w:tcMar>
                  <w:vAlign w:val="center"/>
                </w:tcPr>
                <w:p w14:paraId="520AC51C">
                  <w:pPr>
                    <w:contextualSpacing/>
                    <w:jc w:val="center"/>
                    <w:textAlignment w:val="baseline"/>
                    <w:rPr>
                      <w:kern w:val="0"/>
                      <w:szCs w:val="21"/>
                    </w:rPr>
                  </w:pPr>
                  <w:r>
                    <w:rPr>
                      <w:rFonts w:hint="eastAsia"/>
                      <w:kern w:val="0"/>
                      <w:szCs w:val="21"/>
                    </w:rPr>
                    <w:t>TN</w:t>
                  </w:r>
                </w:p>
              </w:tc>
              <w:tc>
                <w:tcPr>
                  <w:tcW w:w="1039" w:type="pct"/>
                  <w:tcMar>
                    <w:top w:w="0" w:type="dxa"/>
                    <w:left w:w="0" w:type="dxa"/>
                    <w:bottom w:w="0" w:type="dxa"/>
                    <w:right w:w="0" w:type="dxa"/>
                  </w:tcMar>
                  <w:vAlign w:val="center"/>
                </w:tcPr>
                <w:p w14:paraId="520AC51D">
                  <w:pPr>
                    <w:contextualSpacing/>
                    <w:jc w:val="center"/>
                    <w:textAlignment w:val="baseline"/>
                    <w:rPr>
                      <w:kern w:val="0"/>
                      <w:szCs w:val="21"/>
                    </w:rPr>
                  </w:pPr>
                  <w:r>
                    <w:rPr>
                      <w:rFonts w:hint="eastAsia"/>
                      <w:kern w:val="0"/>
                      <w:szCs w:val="21"/>
                    </w:rPr>
                    <w:t>15</w:t>
                  </w:r>
                </w:p>
              </w:tc>
            </w:tr>
          </w:tbl>
          <w:p w14:paraId="520AC51F">
            <w:pPr>
              <w:adjustRightInd w:val="0"/>
              <w:snapToGrid w:val="0"/>
              <w:spacing w:line="460" w:lineRule="exact"/>
              <w:ind w:firstLine="480" w:firstLineChars="200"/>
              <w:textAlignment w:val="baseline"/>
              <w:rPr>
                <w:kern w:val="0"/>
                <w:sz w:val="24"/>
                <w:szCs w:val="20"/>
              </w:rPr>
            </w:pPr>
            <w:r>
              <w:rPr>
                <w:rFonts w:hint="eastAsia"/>
                <w:kern w:val="0"/>
                <w:sz w:val="24"/>
                <w:szCs w:val="20"/>
              </w:rPr>
              <w:t>（3）废水污染物排放执行标准表</w:t>
            </w:r>
          </w:p>
          <w:p w14:paraId="520AC520">
            <w:pPr>
              <w:adjustRightInd w:val="0"/>
              <w:snapToGrid w:val="0"/>
              <w:spacing w:line="460" w:lineRule="exact"/>
              <w:ind w:firstLine="480" w:firstLineChars="200"/>
              <w:rPr>
                <w:rFonts w:eastAsia="黑体"/>
                <w:sz w:val="24"/>
                <w:lang w:val="pt-BR"/>
              </w:rPr>
            </w:pPr>
            <w:r>
              <w:rPr>
                <w:rFonts w:eastAsia="黑体"/>
                <w:sz w:val="24"/>
                <w:lang w:val="pt-BR"/>
              </w:rPr>
              <w:t>表</w:t>
            </w:r>
            <w:r>
              <w:rPr>
                <w:rFonts w:hint="eastAsia" w:eastAsia="黑体"/>
                <w:sz w:val="24"/>
                <w:lang w:val="pt-BR"/>
              </w:rPr>
              <w:t>51</w:t>
            </w:r>
            <w:r>
              <w:rPr>
                <w:rFonts w:eastAsia="黑体"/>
                <w:sz w:val="24"/>
                <w:lang w:val="pt-BR"/>
              </w:rPr>
              <w:t xml:space="preserve">              废水污染物排放执行标准表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61"/>
              <w:gridCol w:w="870"/>
              <w:gridCol w:w="723"/>
              <w:gridCol w:w="1843"/>
              <w:gridCol w:w="1559"/>
              <w:gridCol w:w="1120"/>
              <w:gridCol w:w="1459"/>
            </w:tblGrid>
            <w:tr w14:paraId="520AC52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1" w:type="dxa"/>
                  <w:vMerge w:val="restart"/>
                  <w:vAlign w:val="center"/>
                </w:tcPr>
                <w:p w14:paraId="520AC521">
                  <w:pPr>
                    <w:jc w:val="center"/>
                    <w:rPr>
                      <w:b/>
                      <w:szCs w:val="21"/>
                    </w:rPr>
                  </w:pPr>
                  <w:r>
                    <w:rPr>
                      <w:b/>
                      <w:szCs w:val="21"/>
                    </w:rPr>
                    <w:t>序号</w:t>
                  </w:r>
                </w:p>
              </w:tc>
              <w:tc>
                <w:tcPr>
                  <w:tcW w:w="870" w:type="dxa"/>
                  <w:vMerge w:val="restart"/>
                  <w:vAlign w:val="center"/>
                </w:tcPr>
                <w:p w14:paraId="520AC522">
                  <w:pPr>
                    <w:jc w:val="center"/>
                    <w:rPr>
                      <w:b/>
                      <w:szCs w:val="21"/>
                    </w:rPr>
                  </w:pPr>
                  <w:r>
                    <w:rPr>
                      <w:b/>
                      <w:szCs w:val="21"/>
                    </w:rPr>
                    <w:t>排放口编号</w:t>
                  </w:r>
                </w:p>
              </w:tc>
              <w:tc>
                <w:tcPr>
                  <w:tcW w:w="723" w:type="dxa"/>
                  <w:vMerge w:val="restart"/>
                  <w:vAlign w:val="center"/>
                </w:tcPr>
                <w:p w14:paraId="520AC523">
                  <w:pPr>
                    <w:jc w:val="center"/>
                    <w:rPr>
                      <w:b/>
                      <w:szCs w:val="21"/>
                    </w:rPr>
                  </w:pPr>
                  <w:r>
                    <w:rPr>
                      <w:b/>
                      <w:szCs w:val="21"/>
                    </w:rPr>
                    <w:t>污染物种类</w:t>
                  </w:r>
                </w:p>
              </w:tc>
              <w:tc>
                <w:tcPr>
                  <w:tcW w:w="5981" w:type="dxa"/>
                  <w:gridSpan w:val="4"/>
                  <w:vAlign w:val="center"/>
                </w:tcPr>
                <w:p w14:paraId="520AC524">
                  <w:pPr>
                    <w:jc w:val="center"/>
                    <w:rPr>
                      <w:b/>
                      <w:szCs w:val="21"/>
                    </w:rPr>
                  </w:pPr>
                  <w:r>
                    <w:rPr>
                      <w:b/>
                      <w:szCs w:val="21"/>
                    </w:rPr>
                    <w:t>国家或地方污染物排放标准及其他按规定商定的排放协议</w:t>
                  </w:r>
                </w:p>
              </w:tc>
            </w:tr>
            <w:tr w14:paraId="520AC52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1" w:type="dxa"/>
                  <w:vMerge w:val="continue"/>
                  <w:vAlign w:val="center"/>
                </w:tcPr>
                <w:p w14:paraId="520AC526">
                  <w:pPr>
                    <w:jc w:val="center"/>
                    <w:rPr>
                      <w:b/>
                      <w:szCs w:val="21"/>
                    </w:rPr>
                  </w:pPr>
                </w:p>
              </w:tc>
              <w:tc>
                <w:tcPr>
                  <w:tcW w:w="870" w:type="dxa"/>
                  <w:vMerge w:val="continue"/>
                  <w:vAlign w:val="center"/>
                </w:tcPr>
                <w:p w14:paraId="520AC527">
                  <w:pPr>
                    <w:jc w:val="center"/>
                    <w:rPr>
                      <w:b/>
                      <w:szCs w:val="21"/>
                    </w:rPr>
                  </w:pPr>
                </w:p>
              </w:tc>
              <w:tc>
                <w:tcPr>
                  <w:tcW w:w="723" w:type="dxa"/>
                  <w:vMerge w:val="continue"/>
                  <w:vAlign w:val="center"/>
                </w:tcPr>
                <w:p w14:paraId="520AC528">
                  <w:pPr>
                    <w:jc w:val="center"/>
                    <w:rPr>
                      <w:b/>
                      <w:szCs w:val="21"/>
                    </w:rPr>
                  </w:pPr>
                </w:p>
              </w:tc>
              <w:tc>
                <w:tcPr>
                  <w:tcW w:w="1843" w:type="dxa"/>
                  <w:vAlign w:val="center"/>
                </w:tcPr>
                <w:p w14:paraId="520AC529">
                  <w:pPr>
                    <w:jc w:val="center"/>
                    <w:rPr>
                      <w:b/>
                      <w:szCs w:val="21"/>
                    </w:rPr>
                  </w:pPr>
                  <w:r>
                    <w:rPr>
                      <w:b/>
                      <w:szCs w:val="21"/>
                    </w:rPr>
                    <w:t>名称</w:t>
                  </w:r>
                </w:p>
              </w:tc>
              <w:tc>
                <w:tcPr>
                  <w:tcW w:w="1559" w:type="dxa"/>
                  <w:vAlign w:val="center"/>
                </w:tcPr>
                <w:p w14:paraId="520AC52A">
                  <w:pPr>
                    <w:jc w:val="center"/>
                    <w:rPr>
                      <w:b/>
                      <w:szCs w:val="21"/>
                    </w:rPr>
                  </w:pPr>
                  <w:r>
                    <w:rPr>
                      <w:b/>
                      <w:szCs w:val="21"/>
                    </w:rPr>
                    <w:t>浓度限值/（mg/L）</w:t>
                  </w:r>
                </w:p>
              </w:tc>
              <w:tc>
                <w:tcPr>
                  <w:tcW w:w="1120" w:type="dxa"/>
                  <w:vAlign w:val="center"/>
                </w:tcPr>
                <w:p w14:paraId="520AC52B">
                  <w:pPr>
                    <w:jc w:val="center"/>
                    <w:rPr>
                      <w:b/>
                      <w:szCs w:val="21"/>
                    </w:rPr>
                  </w:pPr>
                  <w:r>
                    <w:rPr>
                      <w:b/>
                      <w:szCs w:val="21"/>
                    </w:rPr>
                    <w:t>名称</w:t>
                  </w:r>
                </w:p>
              </w:tc>
              <w:tc>
                <w:tcPr>
                  <w:tcW w:w="1459" w:type="dxa"/>
                  <w:vAlign w:val="center"/>
                </w:tcPr>
                <w:p w14:paraId="520AC52C">
                  <w:pPr>
                    <w:jc w:val="center"/>
                    <w:rPr>
                      <w:b/>
                      <w:szCs w:val="21"/>
                    </w:rPr>
                  </w:pPr>
                  <w:r>
                    <w:rPr>
                      <w:b/>
                      <w:szCs w:val="21"/>
                    </w:rPr>
                    <w:t>浓度限值/（mg/L）</w:t>
                  </w:r>
                </w:p>
              </w:tc>
            </w:tr>
            <w:tr w14:paraId="520AC53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1" w:type="dxa"/>
                  <w:vAlign w:val="center"/>
                </w:tcPr>
                <w:p w14:paraId="520AC52E">
                  <w:pPr>
                    <w:snapToGrid w:val="0"/>
                    <w:jc w:val="center"/>
                    <w:rPr>
                      <w:szCs w:val="21"/>
                    </w:rPr>
                  </w:pPr>
                  <w:r>
                    <w:rPr>
                      <w:szCs w:val="21"/>
                    </w:rPr>
                    <w:t>1</w:t>
                  </w:r>
                </w:p>
              </w:tc>
              <w:tc>
                <w:tcPr>
                  <w:tcW w:w="870" w:type="dxa"/>
                  <w:vMerge w:val="restart"/>
                  <w:vAlign w:val="center"/>
                </w:tcPr>
                <w:p w14:paraId="520AC52F">
                  <w:pPr>
                    <w:snapToGrid w:val="0"/>
                    <w:jc w:val="center"/>
                    <w:rPr>
                      <w:szCs w:val="21"/>
                    </w:rPr>
                  </w:pPr>
                  <w:r>
                    <w:rPr>
                      <w:szCs w:val="21"/>
                    </w:rPr>
                    <w:t>DW002</w:t>
                  </w:r>
                </w:p>
              </w:tc>
              <w:tc>
                <w:tcPr>
                  <w:tcW w:w="723" w:type="dxa"/>
                  <w:vAlign w:val="center"/>
                </w:tcPr>
                <w:p w14:paraId="520AC530">
                  <w:pPr>
                    <w:jc w:val="center"/>
                    <w:rPr>
                      <w:szCs w:val="21"/>
                    </w:rPr>
                  </w:pPr>
                  <w:r>
                    <w:rPr>
                      <w:rFonts w:hint="eastAsia"/>
                      <w:szCs w:val="21"/>
                    </w:rPr>
                    <w:t>p</w:t>
                  </w:r>
                  <w:r>
                    <w:rPr>
                      <w:szCs w:val="21"/>
                    </w:rPr>
                    <w:t>H</w:t>
                  </w:r>
                </w:p>
              </w:tc>
              <w:tc>
                <w:tcPr>
                  <w:tcW w:w="1843" w:type="dxa"/>
                  <w:vMerge w:val="restart"/>
                  <w:vAlign w:val="center"/>
                </w:tcPr>
                <w:p w14:paraId="520AC531">
                  <w:pPr>
                    <w:snapToGrid w:val="0"/>
                    <w:jc w:val="center"/>
                    <w:rPr>
                      <w:szCs w:val="21"/>
                    </w:rPr>
                  </w:pPr>
                  <w:r>
                    <w:rPr>
                      <w:rFonts w:hint="eastAsia"/>
                      <w:bCs/>
                      <w:szCs w:val="21"/>
                    </w:rPr>
                    <w:t>小尚庄污水处理厂</w:t>
                  </w:r>
                  <w:r>
                    <w:rPr>
                      <w:bCs/>
                      <w:szCs w:val="21"/>
                    </w:rPr>
                    <w:t>收水标准</w:t>
                  </w:r>
                </w:p>
              </w:tc>
              <w:tc>
                <w:tcPr>
                  <w:tcW w:w="1559" w:type="dxa"/>
                  <w:vAlign w:val="center"/>
                </w:tcPr>
                <w:p w14:paraId="520AC532">
                  <w:pPr>
                    <w:snapToGrid w:val="0"/>
                    <w:jc w:val="center"/>
                    <w:rPr>
                      <w:szCs w:val="21"/>
                    </w:rPr>
                  </w:pPr>
                  <w:r>
                    <w:rPr>
                      <w:rFonts w:hint="eastAsia"/>
                      <w:szCs w:val="21"/>
                    </w:rPr>
                    <w:t>6</w:t>
                  </w:r>
                  <w:r>
                    <w:rPr>
                      <w:szCs w:val="21"/>
                    </w:rPr>
                    <w:t>~9</w:t>
                  </w:r>
                  <w:r>
                    <w:rPr>
                      <w:rFonts w:hint="eastAsia"/>
                      <w:szCs w:val="21"/>
                    </w:rPr>
                    <w:t>（无量纲）</w:t>
                  </w:r>
                </w:p>
              </w:tc>
              <w:tc>
                <w:tcPr>
                  <w:tcW w:w="1120" w:type="dxa"/>
                  <w:vMerge w:val="restart"/>
                  <w:vAlign w:val="center"/>
                </w:tcPr>
                <w:p w14:paraId="520AC533">
                  <w:pPr>
                    <w:snapToGrid w:val="0"/>
                    <w:jc w:val="center"/>
                    <w:rPr>
                      <w:szCs w:val="21"/>
                    </w:rPr>
                  </w:pPr>
                  <w:r>
                    <w:rPr>
                      <w:rFonts w:hint="eastAsia"/>
                      <w:bCs/>
                      <w:szCs w:val="21"/>
                    </w:rPr>
                    <w:t>《污水综合排放标准》（GB 8978-1996）表4二级</w:t>
                  </w:r>
                  <w:r>
                    <w:rPr>
                      <w:bCs/>
                      <w:szCs w:val="21"/>
                    </w:rPr>
                    <w:t>标准</w:t>
                  </w:r>
                </w:p>
              </w:tc>
              <w:tc>
                <w:tcPr>
                  <w:tcW w:w="1459" w:type="dxa"/>
                  <w:vAlign w:val="center"/>
                </w:tcPr>
                <w:p w14:paraId="520AC534">
                  <w:pPr>
                    <w:snapToGrid w:val="0"/>
                    <w:jc w:val="center"/>
                    <w:rPr>
                      <w:szCs w:val="21"/>
                    </w:rPr>
                  </w:pPr>
                  <w:r>
                    <w:rPr>
                      <w:rFonts w:hint="eastAsia"/>
                      <w:szCs w:val="21"/>
                    </w:rPr>
                    <w:t>6</w:t>
                  </w:r>
                  <w:r>
                    <w:rPr>
                      <w:szCs w:val="21"/>
                    </w:rPr>
                    <w:t>~9</w:t>
                  </w:r>
                  <w:r>
                    <w:rPr>
                      <w:rFonts w:hint="eastAsia"/>
                      <w:szCs w:val="21"/>
                    </w:rPr>
                    <w:t>（无量纲）</w:t>
                  </w:r>
                </w:p>
              </w:tc>
            </w:tr>
            <w:tr w14:paraId="520AC53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1" w:type="dxa"/>
                  <w:vAlign w:val="center"/>
                </w:tcPr>
                <w:p w14:paraId="520AC536">
                  <w:pPr>
                    <w:snapToGrid w:val="0"/>
                    <w:jc w:val="center"/>
                    <w:rPr>
                      <w:szCs w:val="21"/>
                    </w:rPr>
                  </w:pPr>
                  <w:r>
                    <w:rPr>
                      <w:szCs w:val="21"/>
                    </w:rPr>
                    <w:t>2</w:t>
                  </w:r>
                </w:p>
              </w:tc>
              <w:tc>
                <w:tcPr>
                  <w:tcW w:w="870" w:type="dxa"/>
                  <w:vMerge w:val="continue"/>
                  <w:vAlign w:val="center"/>
                </w:tcPr>
                <w:p w14:paraId="520AC537">
                  <w:pPr>
                    <w:snapToGrid w:val="0"/>
                    <w:jc w:val="center"/>
                    <w:rPr>
                      <w:szCs w:val="21"/>
                    </w:rPr>
                  </w:pPr>
                </w:p>
              </w:tc>
              <w:tc>
                <w:tcPr>
                  <w:tcW w:w="723" w:type="dxa"/>
                  <w:vAlign w:val="center"/>
                </w:tcPr>
                <w:p w14:paraId="520AC538">
                  <w:pPr>
                    <w:jc w:val="center"/>
                    <w:rPr>
                      <w:bCs/>
                      <w:spacing w:val="-4"/>
                      <w:szCs w:val="21"/>
                    </w:rPr>
                  </w:pPr>
                  <w:r>
                    <w:rPr>
                      <w:bCs/>
                      <w:spacing w:val="-4"/>
                      <w:szCs w:val="21"/>
                    </w:rPr>
                    <w:t>COD</w:t>
                  </w:r>
                </w:p>
              </w:tc>
              <w:tc>
                <w:tcPr>
                  <w:tcW w:w="1843" w:type="dxa"/>
                  <w:vMerge w:val="continue"/>
                  <w:vAlign w:val="center"/>
                </w:tcPr>
                <w:p w14:paraId="520AC539">
                  <w:pPr>
                    <w:snapToGrid w:val="0"/>
                    <w:jc w:val="center"/>
                    <w:rPr>
                      <w:szCs w:val="21"/>
                    </w:rPr>
                  </w:pPr>
                </w:p>
              </w:tc>
              <w:tc>
                <w:tcPr>
                  <w:tcW w:w="1559" w:type="dxa"/>
                  <w:vAlign w:val="center"/>
                </w:tcPr>
                <w:p w14:paraId="520AC53A">
                  <w:pPr>
                    <w:snapToGrid w:val="0"/>
                    <w:jc w:val="center"/>
                    <w:rPr>
                      <w:szCs w:val="21"/>
                    </w:rPr>
                  </w:pPr>
                  <w:r>
                    <w:rPr>
                      <w:rFonts w:hint="eastAsia"/>
                      <w:szCs w:val="21"/>
                    </w:rPr>
                    <w:t>3</w:t>
                  </w:r>
                  <w:r>
                    <w:rPr>
                      <w:szCs w:val="21"/>
                    </w:rPr>
                    <w:t>50</w:t>
                  </w:r>
                </w:p>
              </w:tc>
              <w:tc>
                <w:tcPr>
                  <w:tcW w:w="1120" w:type="dxa"/>
                  <w:vMerge w:val="continue"/>
                  <w:vAlign w:val="center"/>
                </w:tcPr>
                <w:p w14:paraId="520AC53B">
                  <w:pPr>
                    <w:snapToGrid w:val="0"/>
                    <w:jc w:val="center"/>
                    <w:rPr>
                      <w:szCs w:val="21"/>
                    </w:rPr>
                  </w:pPr>
                </w:p>
              </w:tc>
              <w:tc>
                <w:tcPr>
                  <w:tcW w:w="1459" w:type="dxa"/>
                  <w:vAlign w:val="center"/>
                </w:tcPr>
                <w:p w14:paraId="520AC53C">
                  <w:pPr>
                    <w:snapToGrid w:val="0"/>
                    <w:jc w:val="center"/>
                    <w:rPr>
                      <w:szCs w:val="21"/>
                    </w:rPr>
                  </w:pPr>
                  <w:r>
                    <w:rPr>
                      <w:rFonts w:hint="eastAsia"/>
                      <w:szCs w:val="21"/>
                    </w:rPr>
                    <w:t>1</w:t>
                  </w:r>
                  <w:r>
                    <w:rPr>
                      <w:szCs w:val="21"/>
                    </w:rPr>
                    <w:t>50</w:t>
                  </w:r>
                </w:p>
              </w:tc>
            </w:tr>
            <w:tr w14:paraId="520AC54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1" w:type="dxa"/>
                  <w:vAlign w:val="center"/>
                </w:tcPr>
                <w:p w14:paraId="520AC53E">
                  <w:pPr>
                    <w:snapToGrid w:val="0"/>
                    <w:jc w:val="center"/>
                    <w:rPr>
                      <w:szCs w:val="21"/>
                    </w:rPr>
                  </w:pPr>
                  <w:r>
                    <w:rPr>
                      <w:szCs w:val="21"/>
                    </w:rPr>
                    <w:t>3</w:t>
                  </w:r>
                </w:p>
              </w:tc>
              <w:tc>
                <w:tcPr>
                  <w:tcW w:w="870" w:type="dxa"/>
                  <w:vMerge w:val="continue"/>
                  <w:vAlign w:val="center"/>
                </w:tcPr>
                <w:p w14:paraId="520AC53F">
                  <w:pPr>
                    <w:snapToGrid w:val="0"/>
                    <w:jc w:val="center"/>
                    <w:rPr>
                      <w:szCs w:val="21"/>
                    </w:rPr>
                  </w:pPr>
                </w:p>
              </w:tc>
              <w:tc>
                <w:tcPr>
                  <w:tcW w:w="723" w:type="dxa"/>
                  <w:vAlign w:val="center"/>
                </w:tcPr>
                <w:p w14:paraId="520AC540">
                  <w:pPr>
                    <w:jc w:val="center"/>
                    <w:rPr>
                      <w:szCs w:val="21"/>
                    </w:rPr>
                  </w:pPr>
                  <w:r>
                    <w:rPr>
                      <w:bCs/>
                      <w:spacing w:val="-4"/>
                      <w:szCs w:val="21"/>
                    </w:rPr>
                    <w:t>SS</w:t>
                  </w:r>
                </w:p>
              </w:tc>
              <w:tc>
                <w:tcPr>
                  <w:tcW w:w="1843" w:type="dxa"/>
                  <w:vMerge w:val="continue"/>
                  <w:vAlign w:val="center"/>
                </w:tcPr>
                <w:p w14:paraId="520AC541">
                  <w:pPr>
                    <w:snapToGrid w:val="0"/>
                    <w:jc w:val="center"/>
                    <w:rPr>
                      <w:szCs w:val="21"/>
                    </w:rPr>
                  </w:pPr>
                </w:p>
              </w:tc>
              <w:tc>
                <w:tcPr>
                  <w:tcW w:w="1559" w:type="dxa"/>
                  <w:vAlign w:val="center"/>
                </w:tcPr>
                <w:p w14:paraId="520AC542">
                  <w:pPr>
                    <w:snapToGrid w:val="0"/>
                    <w:jc w:val="center"/>
                    <w:rPr>
                      <w:szCs w:val="21"/>
                    </w:rPr>
                  </w:pPr>
                  <w:r>
                    <w:rPr>
                      <w:rFonts w:hint="eastAsia"/>
                      <w:szCs w:val="21"/>
                    </w:rPr>
                    <w:t>2</w:t>
                  </w:r>
                  <w:r>
                    <w:rPr>
                      <w:szCs w:val="21"/>
                    </w:rPr>
                    <w:t>50</w:t>
                  </w:r>
                </w:p>
              </w:tc>
              <w:tc>
                <w:tcPr>
                  <w:tcW w:w="1120" w:type="dxa"/>
                  <w:vMerge w:val="continue"/>
                  <w:vAlign w:val="center"/>
                </w:tcPr>
                <w:p w14:paraId="520AC543">
                  <w:pPr>
                    <w:snapToGrid w:val="0"/>
                    <w:jc w:val="center"/>
                    <w:rPr>
                      <w:szCs w:val="21"/>
                    </w:rPr>
                  </w:pPr>
                </w:p>
              </w:tc>
              <w:tc>
                <w:tcPr>
                  <w:tcW w:w="1459" w:type="dxa"/>
                  <w:vAlign w:val="center"/>
                </w:tcPr>
                <w:p w14:paraId="520AC544">
                  <w:pPr>
                    <w:snapToGrid w:val="0"/>
                    <w:jc w:val="center"/>
                    <w:rPr>
                      <w:szCs w:val="21"/>
                    </w:rPr>
                  </w:pPr>
                  <w:r>
                    <w:rPr>
                      <w:rFonts w:hint="eastAsia"/>
                      <w:szCs w:val="21"/>
                    </w:rPr>
                    <w:t>1</w:t>
                  </w:r>
                  <w:r>
                    <w:rPr>
                      <w:szCs w:val="21"/>
                    </w:rPr>
                    <w:t>50</w:t>
                  </w:r>
                </w:p>
              </w:tc>
            </w:tr>
            <w:tr w14:paraId="520AC54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1" w:type="dxa"/>
                  <w:vAlign w:val="center"/>
                </w:tcPr>
                <w:p w14:paraId="520AC546">
                  <w:pPr>
                    <w:snapToGrid w:val="0"/>
                    <w:jc w:val="center"/>
                    <w:rPr>
                      <w:szCs w:val="21"/>
                    </w:rPr>
                  </w:pPr>
                  <w:r>
                    <w:rPr>
                      <w:szCs w:val="21"/>
                    </w:rPr>
                    <w:t>4</w:t>
                  </w:r>
                </w:p>
              </w:tc>
              <w:tc>
                <w:tcPr>
                  <w:tcW w:w="870" w:type="dxa"/>
                  <w:vMerge w:val="continue"/>
                  <w:vAlign w:val="center"/>
                </w:tcPr>
                <w:p w14:paraId="520AC547">
                  <w:pPr>
                    <w:snapToGrid w:val="0"/>
                    <w:jc w:val="center"/>
                    <w:rPr>
                      <w:szCs w:val="21"/>
                    </w:rPr>
                  </w:pPr>
                </w:p>
              </w:tc>
              <w:tc>
                <w:tcPr>
                  <w:tcW w:w="723" w:type="dxa"/>
                  <w:vAlign w:val="center"/>
                </w:tcPr>
                <w:p w14:paraId="520AC548">
                  <w:pPr>
                    <w:jc w:val="center"/>
                    <w:rPr>
                      <w:bCs/>
                      <w:spacing w:val="-4"/>
                      <w:szCs w:val="21"/>
                    </w:rPr>
                  </w:pPr>
                  <w:r>
                    <w:rPr>
                      <w:kern w:val="0"/>
                      <w:szCs w:val="21"/>
                    </w:rPr>
                    <w:t>NH</w:t>
                  </w:r>
                  <w:r>
                    <w:rPr>
                      <w:kern w:val="0"/>
                      <w:szCs w:val="21"/>
                      <w:vertAlign w:val="subscript"/>
                    </w:rPr>
                    <w:t>3</w:t>
                  </w:r>
                  <w:r>
                    <w:rPr>
                      <w:kern w:val="0"/>
                      <w:szCs w:val="21"/>
                    </w:rPr>
                    <w:t>-N</w:t>
                  </w:r>
                </w:p>
              </w:tc>
              <w:tc>
                <w:tcPr>
                  <w:tcW w:w="1843" w:type="dxa"/>
                  <w:vMerge w:val="continue"/>
                  <w:vAlign w:val="center"/>
                </w:tcPr>
                <w:p w14:paraId="520AC549">
                  <w:pPr>
                    <w:snapToGrid w:val="0"/>
                    <w:jc w:val="center"/>
                    <w:rPr>
                      <w:szCs w:val="21"/>
                    </w:rPr>
                  </w:pPr>
                </w:p>
              </w:tc>
              <w:tc>
                <w:tcPr>
                  <w:tcW w:w="1559" w:type="dxa"/>
                  <w:vAlign w:val="center"/>
                </w:tcPr>
                <w:p w14:paraId="520AC54A">
                  <w:pPr>
                    <w:snapToGrid w:val="0"/>
                    <w:jc w:val="center"/>
                    <w:rPr>
                      <w:szCs w:val="21"/>
                    </w:rPr>
                  </w:pPr>
                  <w:r>
                    <w:rPr>
                      <w:rFonts w:hint="eastAsia"/>
                      <w:szCs w:val="21"/>
                    </w:rPr>
                    <w:t>3</w:t>
                  </w:r>
                  <w:r>
                    <w:rPr>
                      <w:szCs w:val="21"/>
                    </w:rPr>
                    <w:t>0</w:t>
                  </w:r>
                </w:p>
              </w:tc>
              <w:tc>
                <w:tcPr>
                  <w:tcW w:w="1120" w:type="dxa"/>
                  <w:vMerge w:val="continue"/>
                  <w:vAlign w:val="center"/>
                </w:tcPr>
                <w:p w14:paraId="520AC54B">
                  <w:pPr>
                    <w:snapToGrid w:val="0"/>
                    <w:jc w:val="center"/>
                    <w:rPr>
                      <w:szCs w:val="21"/>
                    </w:rPr>
                  </w:pPr>
                </w:p>
              </w:tc>
              <w:tc>
                <w:tcPr>
                  <w:tcW w:w="1459" w:type="dxa"/>
                  <w:vAlign w:val="center"/>
                </w:tcPr>
                <w:p w14:paraId="520AC54C">
                  <w:pPr>
                    <w:snapToGrid w:val="0"/>
                    <w:jc w:val="center"/>
                    <w:rPr>
                      <w:szCs w:val="21"/>
                    </w:rPr>
                  </w:pPr>
                  <w:r>
                    <w:rPr>
                      <w:rFonts w:hint="eastAsia"/>
                      <w:szCs w:val="21"/>
                    </w:rPr>
                    <w:t>2</w:t>
                  </w:r>
                  <w:r>
                    <w:rPr>
                      <w:szCs w:val="21"/>
                    </w:rPr>
                    <w:t>5</w:t>
                  </w:r>
                </w:p>
              </w:tc>
            </w:tr>
            <w:tr w14:paraId="520AC55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1" w:type="dxa"/>
                  <w:vAlign w:val="center"/>
                </w:tcPr>
                <w:p w14:paraId="520AC54E">
                  <w:pPr>
                    <w:snapToGrid w:val="0"/>
                    <w:jc w:val="center"/>
                    <w:rPr>
                      <w:szCs w:val="21"/>
                    </w:rPr>
                  </w:pPr>
                  <w:r>
                    <w:rPr>
                      <w:rFonts w:hint="eastAsia"/>
                      <w:szCs w:val="21"/>
                    </w:rPr>
                    <w:t>5</w:t>
                  </w:r>
                </w:p>
              </w:tc>
              <w:tc>
                <w:tcPr>
                  <w:tcW w:w="870" w:type="dxa"/>
                  <w:vMerge w:val="continue"/>
                  <w:vAlign w:val="center"/>
                </w:tcPr>
                <w:p w14:paraId="520AC54F">
                  <w:pPr>
                    <w:snapToGrid w:val="0"/>
                    <w:jc w:val="center"/>
                    <w:rPr>
                      <w:szCs w:val="21"/>
                    </w:rPr>
                  </w:pPr>
                </w:p>
              </w:tc>
              <w:tc>
                <w:tcPr>
                  <w:tcW w:w="723" w:type="dxa"/>
                  <w:vAlign w:val="center"/>
                </w:tcPr>
                <w:p w14:paraId="520AC550">
                  <w:pPr>
                    <w:jc w:val="center"/>
                    <w:rPr>
                      <w:bCs/>
                      <w:spacing w:val="-4"/>
                      <w:szCs w:val="21"/>
                    </w:rPr>
                  </w:pPr>
                  <w:r>
                    <w:rPr>
                      <w:rFonts w:hint="eastAsia"/>
                    </w:rPr>
                    <w:t>TN</w:t>
                  </w:r>
                </w:p>
              </w:tc>
              <w:tc>
                <w:tcPr>
                  <w:tcW w:w="1843" w:type="dxa"/>
                  <w:vMerge w:val="continue"/>
                  <w:vAlign w:val="center"/>
                </w:tcPr>
                <w:p w14:paraId="520AC551">
                  <w:pPr>
                    <w:snapToGrid w:val="0"/>
                    <w:jc w:val="center"/>
                    <w:rPr>
                      <w:szCs w:val="21"/>
                    </w:rPr>
                  </w:pPr>
                </w:p>
              </w:tc>
              <w:tc>
                <w:tcPr>
                  <w:tcW w:w="1559" w:type="dxa"/>
                  <w:vAlign w:val="center"/>
                </w:tcPr>
                <w:p w14:paraId="520AC552">
                  <w:pPr>
                    <w:snapToGrid w:val="0"/>
                    <w:jc w:val="center"/>
                    <w:rPr>
                      <w:szCs w:val="21"/>
                    </w:rPr>
                  </w:pPr>
                  <w:r>
                    <w:rPr>
                      <w:rFonts w:hint="eastAsia"/>
                    </w:rPr>
                    <w:t>40</w:t>
                  </w:r>
                </w:p>
              </w:tc>
              <w:tc>
                <w:tcPr>
                  <w:tcW w:w="1120" w:type="dxa"/>
                  <w:vMerge w:val="continue"/>
                  <w:vAlign w:val="center"/>
                </w:tcPr>
                <w:p w14:paraId="520AC553">
                  <w:pPr>
                    <w:snapToGrid w:val="0"/>
                    <w:jc w:val="center"/>
                    <w:rPr>
                      <w:szCs w:val="21"/>
                    </w:rPr>
                  </w:pPr>
                </w:p>
              </w:tc>
              <w:tc>
                <w:tcPr>
                  <w:tcW w:w="1459" w:type="dxa"/>
                  <w:vAlign w:val="center"/>
                </w:tcPr>
                <w:p w14:paraId="520AC554">
                  <w:pPr>
                    <w:snapToGrid w:val="0"/>
                    <w:jc w:val="center"/>
                    <w:rPr>
                      <w:szCs w:val="21"/>
                    </w:rPr>
                  </w:pPr>
                  <w:r>
                    <w:rPr>
                      <w:rFonts w:hint="eastAsia"/>
                      <w:szCs w:val="21"/>
                    </w:rPr>
                    <w:t>/</w:t>
                  </w:r>
                </w:p>
              </w:tc>
            </w:tr>
            <w:tr w14:paraId="520AC55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1" w:type="dxa"/>
                  <w:vAlign w:val="center"/>
                </w:tcPr>
                <w:p w14:paraId="520AC556">
                  <w:pPr>
                    <w:snapToGrid w:val="0"/>
                    <w:jc w:val="center"/>
                    <w:rPr>
                      <w:szCs w:val="21"/>
                    </w:rPr>
                  </w:pPr>
                  <w:r>
                    <w:rPr>
                      <w:rFonts w:hint="eastAsia"/>
                      <w:szCs w:val="21"/>
                    </w:rPr>
                    <w:t>6</w:t>
                  </w:r>
                </w:p>
              </w:tc>
              <w:tc>
                <w:tcPr>
                  <w:tcW w:w="870" w:type="dxa"/>
                  <w:vMerge w:val="continue"/>
                  <w:vAlign w:val="center"/>
                </w:tcPr>
                <w:p w14:paraId="520AC557">
                  <w:pPr>
                    <w:snapToGrid w:val="0"/>
                    <w:jc w:val="center"/>
                    <w:rPr>
                      <w:szCs w:val="21"/>
                    </w:rPr>
                  </w:pPr>
                </w:p>
              </w:tc>
              <w:tc>
                <w:tcPr>
                  <w:tcW w:w="723" w:type="dxa"/>
                  <w:vAlign w:val="center"/>
                </w:tcPr>
                <w:p w14:paraId="520AC558">
                  <w:pPr>
                    <w:jc w:val="center"/>
                    <w:rPr>
                      <w:bCs/>
                      <w:spacing w:val="-4"/>
                      <w:szCs w:val="21"/>
                    </w:rPr>
                  </w:pPr>
                  <w:r>
                    <w:rPr>
                      <w:rFonts w:hint="eastAsia"/>
                      <w:bCs/>
                      <w:kern w:val="0"/>
                      <w:szCs w:val="21"/>
                    </w:rPr>
                    <w:t>T</w:t>
                  </w:r>
                  <w:r>
                    <w:rPr>
                      <w:bCs/>
                      <w:kern w:val="0"/>
                      <w:szCs w:val="21"/>
                    </w:rPr>
                    <w:t>P</w:t>
                  </w:r>
                </w:p>
              </w:tc>
              <w:tc>
                <w:tcPr>
                  <w:tcW w:w="1843" w:type="dxa"/>
                  <w:vMerge w:val="continue"/>
                  <w:vAlign w:val="center"/>
                </w:tcPr>
                <w:p w14:paraId="520AC559">
                  <w:pPr>
                    <w:snapToGrid w:val="0"/>
                    <w:jc w:val="center"/>
                    <w:rPr>
                      <w:szCs w:val="21"/>
                    </w:rPr>
                  </w:pPr>
                </w:p>
              </w:tc>
              <w:tc>
                <w:tcPr>
                  <w:tcW w:w="1559" w:type="dxa"/>
                  <w:vAlign w:val="center"/>
                </w:tcPr>
                <w:p w14:paraId="520AC55A">
                  <w:pPr>
                    <w:snapToGrid w:val="0"/>
                    <w:jc w:val="center"/>
                    <w:rPr>
                      <w:szCs w:val="21"/>
                    </w:rPr>
                  </w:pPr>
                  <w:r>
                    <w:rPr>
                      <w:rFonts w:hint="eastAsia"/>
                    </w:rPr>
                    <w:t>3</w:t>
                  </w:r>
                </w:p>
              </w:tc>
              <w:tc>
                <w:tcPr>
                  <w:tcW w:w="1120" w:type="dxa"/>
                  <w:vMerge w:val="continue"/>
                  <w:vAlign w:val="center"/>
                </w:tcPr>
                <w:p w14:paraId="520AC55B">
                  <w:pPr>
                    <w:snapToGrid w:val="0"/>
                    <w:jc w:val="center"/>
                    <w:rPr>
                      <w:szCs w:val="21"/>
                    </w:rPr>
                  </w:pPr>
                </w:p>
              </w:tc>
              <w:tc>
                <w:tcPr>
                  <w:tcW w:w="1459" w:type="dxa"/>
                  <w:vAlign w:val="center"/>
                </w:tcPr>
                <w:p w14:paraId="520AC55C">
                  <w:pPr>
                    <w:snapToGrid w:val="0"/>
                    <w:jc w:val="center"/>
                    <w:rPr>
                      <w:szCs w:val="21"/>
                    </w:rPr>
                  </w:pPr>
                  <w:r>
                    <w:rPr>
                      <w:rFonts w:hint="eastAsia"/>
                      <w:szCs w:val="21"/>
                    </w:rPr>
                    <w:t>1</w:t>
                  </w:r>
                </w:p>
              </w:tc>
            </w:tr>
            <w:tr w14:paraId="520AC56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561" w:type="dxa"/>
                  <w:vAlign w:val="center"/>
                </w:tcPr>
                <w:p w14:paraId="520AC55E">
                  <w:pPr>
                    <w:snapToGrid w:val="0"/>
                    <w:jc w:val="center"/>
                    <w:rPr>
                      <w:szCs w:val="21"/>
                    </w:rPr>
                  </w:pPr>
                  <w:r>
                    <w:rPr>
                      <w:rFonts w:hint="eastAsia"/>
                      <w:szCs w:val="21"/>
                    </w:rPr>
                    <w:t>7</w:t>
                  </w:r>
                </w:p>
              </w:tc>
              <w:tc>
                <w:tcPr>
                  <w:tcW w:w="870" w:type="dxa"/>
                  <w:vMerge w:val="continue"/>
                  <w:vAlign w:val="center"/>
                </w:tcPr>
                <w:p w14:paraId="520AC55F">
                  <w:pPr>
                    <w:snapToGrid w:val="0"/>
                    <w:jc w:val="center"/>
                    <w:rPr>
                      <w:szCs w:val="21"/>
                    </w:rPr>
                  </w:pPr>
                </w:p>
              </w:tc>
              <w:tc>
                <w:tcPr>
                  <w:tcW w:w="723" w:type="dxa"/>
                  <w:vAlign w:val="center"/>
                </w:tcPr>
                <w:p w14:paraId="520AC560">
                  <w:pPr>
                    <w:jc w:val="center"/>
                    <w:rPr>
                      <w:bCs/>
                      <w:kern w:val="0"/>
                      <w:szCs w:val="21"/>
                    </w:rPr>
                  </w:pPr>
                  <w:r>
                    <w:rPr>
                      <w:rFonts w:hint="eastAsia"/>
                      <w:bCs/>
                      <w:kern w:val="0"/>
                      <w:szCs w:val="21"/>
                    </w:rPr>
                    <w:t>石油类</w:t>
                  </w:r>
                </w:p>
              </w:tc>
              <w:tc>
                <w:tcPr>
                  <w:tcW w:w="1843" w:type="dxa"/>
                  <w:vAlign w:val="center"/>
                </w:tcPr>
                <w:p w14:paraId="520AC561">
                  <w:pPr>
                    <w:snapToGrid w:val="0"/>
                    <w:jc w:val="center"/>
                    <w:rPr>
                      <w:szCs w:val="21"/>
                    </w:rPr>
                  </w:pPr>
                  <w:r>
                    <w:rPr>
                      <w:rFonts w:hint="eastAsia"/>
                      <w:szCs w:val="21"/>
                    </w:rPr>
                    <w:t>《电镀污染物排放标准》（GB21900-2008）表2</w:t>
                  </w:r>
                </w:p>
              </w:tc>
              <w:tc>
                <w:tcPr>
                  <w:tcW w:w="1559" w:type="dxa"/>
                  <w:vAlign w:val="center"/>
                </w:tcPr>
                <w:p w14:paraId="520AC562">
                  <w:pPr>
                    <w:snapToGrid w:val="0"/>
                    <w:jc w:val="center"/>
                    <w:rPr>
                      <w:szCs w:val="21"/>
                    </w:rPr>
                  </w:pPr>
                  <w:r>
                    <w:rPr>
                      <w:rFonts w:hint="eastAsia"/>
                      <w:szCs w:val="21"/>
                    </w:rPr>
                    <w:t>3</w:t>
                  </w:r>
                  <w:r>
                    <w:rPr>
                      <w:szCs w:val="21"/>
                    </w:rPr>
                    <w:t>.0</w:t>
                  </w:r>
                </w:p>
              </w:tc>
              <w:tc>
                <w:tcPr>
                  <w:tcW w:w="1120" w:type="dxa"/>
                  <w:vAlign w:val="center"/>
                </w:tcPr>
                <w:p w14:paraId="520AC563">
                  <w:pPr>
                    <w:snapToGrid w:val="0"/>
                    <w:jc w:val="center"/>
                    <w:rPr>
                      <w:szCs w:val="21"/>
                    </w:rPr>
                  </w:pPr>
                  <w:r>
                    <w:rPr>
                      <w:szCs w:val="21"/>
                    </w:rPr>
                    <w:t>/</w:t>
                  </w:r>
                </w:p>
              </w:tc>
              <w:tc>
                <w:tcPr>
                  <w:tcW w:w="1459" w:type="dxa"/>
                  <w:vAlign w:val="center"/>
                </w:tcPr>
                <w:p w14:paraId="520AC564">
                  <w:pPr>
                    <w:snapToGrid w:val="0"/>
                    <w:jc w:val="center"/>
                    <w:rPr>
                      <w:szCs w:val="21"/>
                    </w:rPr>
                  </w:pPr>
                  <w:r>
                    <w:rPr>
                      <w:szCs w:val="21"/>
                    </w:rPr>
                    <w:t>/</w:t>
                  </w:r>
                </w:p>
              </w:tc>
            </w:tr>
          </w:tbl>
          <w:p w14:paraId="520AC566">
            <w:pPr>
              <w:adjustRightInd w:val="0"/>
              <w:snapToGrid w:val="0"/>
              <w:spacing w:line="440" w:lineRule="exact"/>
              <w:ind w:firstLine="480" w:firstLineChars="200"/>
              <w:textAlignment w:val="baseline"/>
              <w:rPr>
                <w:kern w:val="0"/>
                <w:sz w:val="24"/>
                <w:szCs w:val="20"/>
              </w:rPr>
            </w:pPr>
            <w:r>
              <w:rPr>
                <w:rFonts w:hint="eastAsia"/>
                <w:kern w:val="0"/>
                <w:sz w:val="24"/>
                <w:szCs w:val="20"/>
              </w:rPr>
              <w:t>（4）废水污染物排放信息表</w:t>
            </w:r>
          </w:p>
          <w:p w14:paraId="520AC567">
            <w:pPr>
              <w:adjustRightInd w:val="0"/>
              <w:snapToGrid w:val="0"/>
              <w:spacing w:line="460" w:lineRule="exact"/>
              <w:ind w:firstLine="480" w:firstLineChars="200"/>
              <w:rPr>
                <w:sz w:val="24"/>
              </w:rPr>
            </w:pPr>
            <w:r>
              <w:rPr>
                <w:rFonts w:hint="eastAsia"/>
                <w:sz w:val="24"/>
              </w:rPr>
              <w:t>本项目涉及的废水污染物主要为COD、SS，故本次仅对COD、SS排放量进行分析。</w:t>
            </w:r>
          </w:p>
          <w:p w14:paraId="520AC568">
            <w:pPr>
              <w:spacing w:line="460" w:lineRule="exact"/>
              <w:ind w:firstLine="480" w:firstLineChars="200"/>
              <w:jc w:val="left"/>
              <w:rPr>
                <w:rFonts w:eastAsia="黑体"/>
                <w:sz w:val="24"/>
                <w:szCs w:val="22"/>
              </w:rPr>
            </w:pPr>
            <w:r>
              <w:rPr>
                <w:rFonts w:eastAsia="黑体"/>
                <w:sz w:val="24"/>
                <w:szCs w:val="22"/>
              </w:rPr>
              <w:t>表</w:t>
            </w:r>
            <w:r>
              <w:rPr>
                <w:rFonts w:hint="eastAsia" w:eastAsia="黑体"/>
                <w:sz w:val="24"/>
                <w:szCs w:val="22"/>
              </w:rPr>
              <w:t>52</w:t>
            </w:r>
            <w:r>
              <w:rPr>
                <w:rFonts w:eastAsia="黑体"/>
                <w:sz w:val="24"/>
                <w:szCs w:val="22"/>
              </w:rPr>
              <w:t xml:space="preserve">               废水污染物排放信息表</w:t>
            </w:r>
          </w:p>
          <w:tbl>
            <w:tblPr>
              <w:tblStyle w:val="18"/>
              <w:tblW w:w="7946" w:type="dxa"/>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325"/>
              <w:gridCol w:w="1325"/>
              <w:gridCol w:w="1378"/>
              <w:gridCol w:w="1655"/>
              <w:gridCol w:w="1588"/>
            </w:tblGrid>
            <w:tr w14:paraId="520AC56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5" w:type="dxa"/>
                  <w:vAlign w:val="center"/>
                </w:tcPr>
                <w:p w14:paraId="520AC569">
                  <w:pPr>
                    <w:jc w:val="center"/>
                    <w:rPr>
                      <w:rFonts w:cs="宋体"/>
                      <w:b/>
                      <w:szCs w:val="20"/>
                    </w:rPr>
                  </w:pPr>
                  <w:r>
                    <w:rPr>
                      <w:rFonts w:hint="eastAsia" w:cs="宋体"/>
                      <w:b/>
                      <w:szCs w:val="20"/>
                    </w:rPr>
                    <w:t>序号</w:t>
                  </w:r>
                </w:p>
              </w:tc>
              <w:tc>
                <w:tcPr>
                  <w:tcW w:w="1325" w:type="dxa"/>
                  <w:vAlign w:val="center"/>
                </w:tcPr>
                <w:p w14:paraId="520AC56A">
                  <w:pPr>
                    <w:jc w:val="center"/>
                    <w:rPr>
                      <w:rFonts w:cs="宋体"/>
                      <w:b/>
                      <w:szCs w:val="20"/>
                    </w:rPr>
                  </w:pPr>
                  <w:r>
                    <w:rPr>
                      <w:rFonts w:hint="eastAsia" w:cs="宋体"/>
                      <w:b/>
                      <w:szCs w:val="20"/>
                    </w:rPr>
                    <w:t>排放口编号</w:t>
                  </w:r>
                </w:p>
              </w:tc>
              <w:tc>
                <w:tcPr>
                  <w:tcW w:w="1325" w:type="dxa"/>
                  <w:vAlign w:val="center"/>
                </w:tcPr>
                <w:p w14:paraId="520AC56B">
                  <w:pPr>
                    <w:jc w:val="center"/>
                    <w:rPr>
                      <w:rFonts w:cs="宋体"/>
                      <w:b/>
                      <w:szCs w:val="20"/>
                    </w:rPr>
                  </w:pPr>
                  <w:r>
                    <w:rPr>
                      <w:rFonts w:hint="eastAsia" w:cs="宋体"/>
                      <w:b/>
                      <w:szCs w:val="20"/>
                    </w:rPr>
                    <w:t>污染物种类</w:t>
                  </w:r>
                </w:p>
              </w:tc>
              <w:tc>
                <w:tcPr>
                  <w:tcW w:w="1378" w:type="dxa"/>
                  <w:vAlign w:val="center"/>
                </w:tcPr>
                <w:p w14:paraId="520AC56C">
                  <w:pPr>
                    <w:jc w:val="center"/>
                    <w:rPr>
                      <w:rFonts w:cs="宋体"/>
                      <w:b/>
                      <w:szCs w:val="20"/>
                    </w:rPr>
                  </w:pPr>
                  <w:r>
                    <w:rPr>
                      <w:rFonts w:hint="eastAsia" w:cs="宋体"/>
                      <w:b/>
                      <w:szCs w:val="20"/>
                    </w:rPr>
                    <w:t>排放浓度</w:t>
                  </w:r>
                  <w:r>
                    <w:rPr>
                      <w:rFonts w:cs="宋体"/>
                      <w:b/>
                      <w:szCs w:val="20"/>
                    </w:rPr>
                    <w:t>/</w:t>
                  </w:r>
                  <w:r>
                    <w:rPr>
                      <w:rFonts w:hint="eastAsia" w:cs="宋体"/>
                      <w:b/>
                      <w:szCs w:val="20"/>
                    </w:rPr>
                    <w:t>（</w:t>
                  </w:r>
                  <w:r>
                    <w:rPr>
                      <w:rFonts w:cs="宋体"/>
                      <w:b/>
                      <w:szCs w:val="20"/>
                    </w:rPr>
                    <w:t>mg/L</w:t>
                  </w:r>
                  <w:r>
                    <w:rPr>
                      <w:rFonts w:hint="eastAsia" w:cs="宋体"/>
                      <w:b/>
                      <w:szCs w:val="20"/>
                    </w:rPr>
                    <w:t>）</w:t>
                  </w:r>
                </w:p>
              </w:tc>
              <w:tc>
                <w:tcPr>
                  <w:tcW w:w="1655" w:type="dxa"/>
                  <w:vAlign w:val="center"/>
                </w:tcPr>
                <w:p w14:paraId="520AC56D">
                  <w:pPr>
                    <w:jc w:val="center"/>
                    <w:rPr>
                      <w:rFonts w:cs="宋体"/>
                      <w:b/>
                      <w:szCs w:val="20"/>
                    </w:rPr>
                  </w:pPr>
                  <w:r>
                    <w:rPr>
                      <w:rFonts w:hint="eastAsia" w:cs="宋体"/>
                      <w:b/>
                      <w:szCs w:val="20"/>
                    </w:rPr>
                    <w:t>新增日排放量</w:t>
                  </w:r>
                  <w:r>
                    <w:rPr>
                      <w:rFonts w:cs="宋体"/>
                      <w:b/>
                      <w:szCs w:val="20"/>
                    </w:rPr>
                    <w:t>/</w:t>
                  </w:r>
                  <w:r>
                    <w:rPr>
                      <w:rFonts w:hint="eastAsia" w:cs="宋体"/>
                      <w:b/>
                      <w:szCs w:val="20"/>
                    </w:rPr>
                    <w:t>（</w:t>
                  </w:r>
                  <w:r>
                    <w:rPr>
                      <w:rFonts w:cs="宋体"/>
                      <w:b/>
                      <w:szCs w:val="20"/>
                    </w:rPr>
                    <w:t>kg/d</w:t>
                  </w:r>
                  <w:r>
                    <w:rPr>
                      <w:rFonts w:hint="eastAsia" w:cs="宋体"/>
                      <w:b/>
                      <w:szCs w:val="20"/>
                    </w:rPr>
                    <w:t>）</w:t>
                  </w:r>
                </w:p>
              </w:tc>
              <w:tc>
                <w:tcPr>
                  <w:tcW w:w="1588" w:type="dxa"/>
                  <w:vAlign w:val="center"/>
                </w:tcPr>
                <w:p w14:paraId="520AC56E">
                  <w:pPr>
                    <w:jc w:val="center"/>
                    <w:rPr>
                      <w:rFonts w:cs="宋体"/>
                      <w:b/>
                      <w:szCs w:val="20"/>
                    </w:rPr>
                  </w:pPr>
                  <w:r>
                    <w:rPr>
                      <w:rFonts w:hint="eastAsia" w:cs="宋体"/>
                      <w:b/>
                      <w:szCs w:val="20"/>
                    </w:rPr>
                    <w:t>新增年排放量</w:t>
                  </w:r>
                  <w:r>
                    <w:rPr>
                      <w:rFonts w:cs="宋体"/>
                      <w:b/>
                      <w:szCs w:val="20"/>
                    </w:rPr>
                    <w:t>/</w:t>
                  </w:r>
                  <w:r>
                    <w:rPr>
                      <w:rFonts w:hint="eastAsia" w:cs="宋体"/>
                      <w:b/>
                      <w:szCs w:val="20"/>
                    </w:rPr>
                    <w:t>（</w:t>
                  </w:r>
                  <w:r>
                    <w:rPr>
                      <w:rFonts w:cs="宋体"/>
                      <w:b/>
                      <w:szCs w:val="20"/>
                    </w:rPr>
                    <w:t>t/a</w:t>
                  </w:r>
                  <w:r>
                    <w:rPr>
                      <w:rFonts w:hint="eastAsia" w:cs="宋体"/>
                      <w:b/>
                      <w:szCs w:val="20"/>
                    </w:rPr>
                    <w:t>）</w:t>
                  </w:r>
                </w:p>
              </w:tc>
            </w:tr>
            <w:tr w14:paraId="520AC57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5" w:type="dxa"/>
                  <w:vAlign w:val="center"/>
                </w:tcPr>
                <w:p w14:paraId="520AC570">
                  <w:pPr>
                    <w:contextualSpacing/>
                    <w:jc w:val="center"/>
                    <w:textAlignment w:val="baseline"/>
                    <w:rPr>
                      <w:kern w:val="0"/>
                      <w:szCs w:val="21"/>
                    </w:rPr>
                  </w:pPr>
                  <w:r>
                    <w:rPr>
                      <w:kern w:val="0"/>
                      <w:szCs w:val="21"/>
                    </w:rPr>
                    <w:t>1</w:t>
                  </w:r>
                </w:p>
              </w:tc>
              <w:tc>
                <w:tcPr>
                  <w:tcW w:w="1325" w:type="dxa"/>
                  <w:vMerge w:val="restart"/>
                  <w:vAlign w:val="center"/>
                </w:tcPr>
                <w:p w14:paraId="520AC571">
                  <w:pPr>
                    <w:contextualSpacing/>
                    <w:jc w:val="center"/>
                    <w:textAlignment w:val="baseline"/>
                    <w:rPr>
                      <w:kern w:val="0"/>
                      <w:szCs w:val="21"/>
                    </w:rPr>
                  </w:pPr>
                  <w:r>
                    <w:rPr>
                      <w:kern w:val="0"/>
                      <w:szCs w:val="21"/>
                    </w:rPr>
                    <w:t>DW001</w:t>
                  </w:r>
                </w:p>
              </w:tc>
              <w:tc>
                <w:tcPr>
                  <w:tcW w:w="1325" w:type="dxa"/>
                  <w:vAlign w:val="center"/>
                </w:tcPr>
                <w:p w14:paraId="520AC572">
                  <w:pPr>
                    <w:contextualSpacing/>
                    <w:jc w:val="center"/>
                    <w:textAlignment w:val="baseline"/>
                    <w:rPr>
                      <w:kern w:val="0"/>
                      <w:szCs w:val="21"/>
                    </w:rPr>
                  </w:pPr>
                  <w:r>
                    <w:rPr>
                      <w:kern w:val="0"/>
                      <w:szCs w:val="21"/>
                    </w:rPr>
                    <w:t>COD</w:t>
                  </w:r>
                </w:p>
              </w:tc>
              <w:tc>
                <w:tcPr>
                  <w:tcW w:w="1378" w:type="dxa"/>
                  <w:vAlign w:val="center"/>
                </w:tcPr>
                <w:p w14:paraId="520AC573">
                  <w:pPr>
                    <w:jc w:val="center"/>
                    <w:rPr>
                      <w:szCs w:val="21"/>
                    </w:rPr>
                  </w:pPr>
                  <w:r>
                    <w:rPr>
                      <w:rFonts w:hint="eastAsia"/>
                      <w:szCs w:val="21"/>
                    </w:rPr>
                    <w:t>8</w:t>
                  </w:r>
                  <w:r>
                    <w:rPr>
                      <w:szCs w:val="21"/>
                    </w:rPr>
                    <w:t>9.464</w:t>
                  </w:r>
                </w:p>
              </w:tc>
              <w:tc>
                <w:tcPr>
                  <w:tcW w:w="1655" w:type="dxa"/>
                  <w:vAlign w:val="center"/>
                </w:tcPr>
                <w:p w14:paraId="520AC574">
                  <w:pPr>
                    <w:jc w:val="center"/>
                    <w:rPr>
                      <w:szCs w:val="21"/>
                    </w:rPr>
                  </w:pPr>
                  <w:r>
                    <w:rPr>
                      <w:rFonts w:hint="eastAsia"/>
                      <w:szCs w:val="21"/>
                    </w:rPr>
                    <w:t>0.0246</w:t>
                  </w:r>
                </w:p>
              </w:tc>
              <w:tc>
                <w:tcPr>
                  <w:tcW w:w="1588" w:type="dxa"/>
                  <w:vAlign w:val="center"/>
                </w:tcPr>
                <w:p w14:paraId="520AC575">
                  <w:pPr>
                    <w:jc w:val="center"/>
                    <w:rPr>
                      <w:szCs w:val="21"/>
                    </w:rPr>
                  </w:pPr>
                  <w:r>
                    <w:rPr>
                      <w:rFonts w:hint="eastAsia"/>
                      <w:szCs w:val="21"/>
                    </w:rPr>
                    <w:t>0.0062</w:t>
                  </w:r>
                </w:p>
              </w:tc>
            </w:tr>
            <w:tr w14:paraId="520AC57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5" w:type="dxa"/>
                  <w:vAlign w:val="center"/>
                </w:tcPr>
                <w:p w14:paraId="520AC577">
                  <w:pPr>
                    <w:contextualSpacing/>
                    <w:jc w:val="center"/>
                    <w:textAlignment w:val="baseline"/>
                    <w:rPr>
                      <w:kern w:val="0"/>
                      <w:szCs w:val="21"/>
                    </w:rPr>
                  </w:pPr>
                  <w:r>
                    <w:rPr>
                      <w:rFonts w:hint="eastAsia"/>
                      <w:kern w:val="0"/>
                      <w:szCs w:val="21"/>
                    </w:rPr>
                    <w:t>2</w:t>
                  </w:r>
                </w:p>
              </w:tc>
              <w:tc>
                <w:tcPr>
                  <w:tcW w:w="1325" w:type="dxa"/>
                  <w:vMerge w:val="continue"/>
                  <w:vAlign w:val="center"/>
                </w:tcPr>
                <w:p w14:paraId="520AC578">
                  <w:pPr>
                    <w:contextualSpacing/>
                    <w:jc w:val="center"/>
                    <w:textAlignment w:val="baseline"/>
                    <w:rPr>
                      <w:kern w:val="0"/>
                      <w:szCs w:val="21"/>
                    </w:rPr>
                  </w:pPr>
                </w:p>
              </w:tc>
              <w:tc>
                <w:tcPr>
                  <w:tcW w:w="1325" w:type="dxa"/>
                  <w:vAlign w:val="center"/>
                </w:tcPr>
                <w:p w14:paraId="520AC579">
                  <w:pPr>
                    <w:contextualSpacing/>
                    <w:jc w:val="center"/>
                    <w:textAlignment w:val="baseline"/>
                    <w:rPr>
                      <w:kern w:val="0"/>
                      <w:szCs w:val="21"/>
                    </w:rPr>
                  </w:pPr>
                  <w:r>
                    <w:rPr>
                      <w:rFonts w:hint="eastAsia"/>
                      <w:kern w:val="0"/>
                      <w:szCs w:val="21"/>
                    </w:rPr>
                    <w:t>SS</w:t>
                  </w:r>
                </w:p>
              </w:tc>
              <w:tc>
                <w:tcPr>
                  <w:tcW w:w="1378" w:type="dxa"/>
                  <w:vAlign w:val="center"/>
                </w:tcPr>
                <w:p w14:paraId="520AC57A">
                  <w:pPr>
                    <w:jc w:val="center"/>
                    <w:rPr>
                      <w:szCs w:val="21"/>
                    </w:rPr>
                  </w:pPr>
                  <w:r>
                    <w:rPr>
                      <w:rFonts w:hint="eastAsia"/>
                      <w:szCs w:val="21"/>
                    </w:rPr>
                    <w:t>27</w:t>
                  </w:r>
                </w:p>
              </w:tc>
              <w:tc>
                <w:tcPr>
                  <w:tcW w:w="1655" w:type="dxa"/>
                  <w:vAlign w:val="center"/>
                </w:tcPr>
                <w:p w14:paraId="520AC57B">
                  <w:pPr>
                    <w:jc w:val="center"/>
                    <w:rPr>
                      <w:szCs w:val="21"/>
                    </w:rPr>
                  </w:pPr>
                  <w:r>
                    <w:rPr>
                      <w:rFonts w:hint="eastAsia"/>
                      <w:szCs w:val="21"/>
                    </w:rPr>
                    <w:t>0.0074</w:t>
                  </w:r>
                </w:p>
              </w:tc>
              <w:tc>
                <w:tcPr>
                  <w:tcW w:w="1588" w:type="dxa"/>
                  <w:vAlign w:val="center"/>
                </w:tcPr>
                <w:p w14:paraId="520AC57C">
                  <w:pPr>
                    <w:jc w:val="center"/>
                    <w:rPr>
                      <w:szCs w:val="21"/>
                    </w:rPr>
                  </w:pPr>
                  <w:r>
                    <w:rPr>
                      <w:rFonts w:hint="eastAsia"/>
                      <w:szCs w:val="21"/>
                    </w:rPr>
                    <w:t>0.0019</w:t>
                  </w:r>
                </w:p>
              </w:tc>
            </w:tr>
          </w:tbl>
          <w:p w14:paraId="520AC57E">
            <w:pPr>
              <w:adjustRightInd w:val="0"/>
              <w:snapToGrid w:val="0"/>
              <w:spacing w:line="460" w:lineRule="exact"/>
              <w:ind w:firstLine="480" w:firstLineChars="200"/>
              <w:rPr>
                <w:sz w:val="24"/>
              </w:rPr>
            </w:pPr>
            <w:r>
              <w:rPr>
                <w:rFonts w:hint="eastAsia"/>
                <w:sz w:val="24"/>
              </w:rPr>
              <w:t>由上表可知，本项目废水污染物出厂排放总量：COD</w:t>
            </w:r>
            <w:r>
              <w:rPr>
                <w:sz w:val="24"/>
              </w:rPr>
              <w:t xml:space="preserve"> </w:t>
            </w:r>
            <w:r>
              <w:rPr>
                <w:rFonts w:hint="eastAsia"/>
                <w:sz w:val="24"/>
              </w:rPr>
              <w:t>0.0062t/a、SS</w:t>
            </w:r>
            <w:r>
              <w:rPr>
                <w:sz w:val="24"/>
              </w:rPr>
              <w:t xml:space="preserve"> </w:t>
            </w:r>
            <w:r>
              <w:rPr>
                <w:rFonts w:hint="eastAsia"/>
                <w:sz w:val="24"/>
              </w:rPr>
              <w:t>0.0019t/a，经小尚庄污水处理厂处理后废水污染物排放总量：COD</w:t>
            </w:r>
            <w:r>
              <w:rPr>
                <w:sz w:val="24"/>
              </w:rPr>
              <w:t xml:space="preserve"> </w:t>
            </w:r>
            <w:r>
              <w:rPr>
                <w:rFonts w:hint="eastAsia"/>
                <w:sz w:val="24"/>
              </w:rPr>
              <w:t>0.0034t/a、SS</w:t>
            </w:r>
            <w:r>
              <w:rPr>
                <w:sz w:val="24"/>
              </w:rPr>
              <w:t xml:space="preserve"> </w:t>
            </w:r>
            <w:r>
              <w:rPr>
                <w:rFonts w:hint="eastAsia"/>
                <w:sz w:val="24"/>
              </w:rPr>
              <w:t>0.0007t/a。</w:t>
            </w:r>
          </w:p>
          <w:p w14:paraId="520AC57F">
            <w:pPr>
              <w:spacing w:line="460" w:lineRule="exact"/>
              <w:ind w:firstLine="482" w:firstLineChars="200"/>
              <w:rPr>
                <w:b/>
                <w:sz w:val="24"/>
              </w:rPr>
            </w:pPr>
            <w:r>
              <w:rPr>
                <w:b/>
                <w:sz w:val="24"/>
              </w:rPr>
              <w:t>6</w:t>
            </w:r>
            <w:r>
              <w:rPr>
                <w:rFonts w:hint="eastAsia"/>
                <w:b/>
                <w:sz w:val="24"/>
              </w:rPr>
              <w:t>、</w:t>
            </w:r>
            <w:r>
              <w:rPr>
                <w:b/>
                <w:sz w:val="24"/>
              </w:rPr>
              <w:t>全厂</w:t>
            </w:r>
            <w:r>
              <w:rPr>
                <w:rFonts w:hint="eastAsia"/>
                <w:b/>
                <w:sz w:val="24"/>
              </w:rPr>
              <w:t>废水</w:t>
            </w:r>
            <w:r>
              <w:rPr>
                <w:b/>
                <w:sz w:val="24"/>
              </w:rPr>
              <w:t>污染物排放</w:t>
            </w:r>
            <w:r>
              <w:rPr>
                <w:rFonts w:ascii="宋体" w:hAnsi="宋体"/>
                <w:b/>
                <w:sz w:val="24"/>
              </w:rPr>
              <w:t>“三笔账”</w:t>
            </w:r>
            <w:r>
              <w:rPr>
                <w:b/>
                <w:sz w:val="24"/>
              </w:rPr>
              <w:t>情况</w:t>
            </w:r>
          </w:p>
          <w:p w14:paraId="520AC580">
            <w:pPr>
              <w:adjustRightInd w:val="0"/>
              <w:snapToGrid w:val="0"/>
              <w:spacing w:line="460" w:lineRule="exact"/>
              <w:ind w:firstLine="480" w:firstLineChars="200"/>
              <w:rPr>
                <w:rFonts w:eastAsia="黑体"/>
                <w:kern w:val="0"/>
                <w:sz w:val="24"/>
              </w:rPr>
            </w:pPr>
            <w:r>
              <w:rPr>
                <w:rFonts w:eastAsia="黑体"/>
                <w:kern w:val="0"/>
                <w:sz w:val="24"/>
              </w:rPr>
              <w:t>表</w:t>
            </w:r>
            <w:r>
              <w:rPr>
                <w:rFonts w:hint="eastAsia" w:eastAsia="黑体"/>
                <w:kern w:val="0"/>
                <w:sz w:val="24"/>
              </w:rPr>
              <w:t>53</w:t>
            </w:r>
            <w:r>
              <w:rPr>
                <w:rFonts w:eastAsia="黑体"/>
                <w:kern w:val="0"/>
                <w:sz w:val="24"/>
              </w:rPr>
              <w:t xml:space="preserve">    </w:t>
            </w:r>
            <w:r>
              <w:rPr>
                <w:rFonts w:hint="eastAsia" w:eastAsia="黑体"/>
                <w:kern w:val="0"/>
                <w:sz w:val="24"/>
              </w:rPr>
              <w:t>建设路厂区</w:t>
            </w:r>
            <w:r>
              <w:rPr>
                <w:rFonts w:eastAsia="黑体"/>
                <w:kern w:val="0"/>
                <w:sz w:val="24"/>
              </w:rPr>
              <w:t>全厂</w:t>
            </w:r>
            <w:r>
              <w:rPr>
                <w:rFonts w:hint="eastAsia" w:eastAsia="黑体"/>
                <w:kern w:val="0"/>
                <w:sz w:val="24"/>
              </w:rPr>
              <w:t>废水</w:t>
            </w:r>
            <w:r>
              <w:rPr>
                <w:rFonts w:eastAsia="黑体"/>
                <w:kern w:val="0"/>
                <w:sz w:val="24"/>
              </w:rPr>
              <w:t>污染物排放</w:t>
            </w:r>
            <w:r>
              <w:rPr>
                <w:rFonts w:ascii="黑体" w:hAnsi="黑体" w:eastAsia="黑体"/>
                <w:kern w:val="0"/>
                <w:sz w:val="24"/>
              </w:rPr>
              <w:t>“</w:t>
            </w:r>
            <w:r>
              <w:rPr>
                <w:rFonts w:hint="eastAsia" w:ascii="黑体" w:hAnsi="黑体" w:eastAsia="黑体"/>
                <w:kern w:val="0"/>
                <w:sz w:val="24"/>
              </w:rPr>
              <w:t>三笔账</w:t>
            </w:r>
            <w:r>
              <w:rPr>
                <w:rFonts w:ascii="黑体" w:hAnsi="黑体" w:eastAsia="黑体"/>
                <w:kern w:val="0"/>
                <w:sz w:val="24"/>
              </w:rPr>
              <w:t>”</w:t>
            </w:r>
            <w:r>
              <w:rPr>
                <w:rFonts w:eastAsia="黑体"/>
                <w:kern w:val="0"/>
                <w:sz w:val="24"/>
              </w:rPr>
              <w:t>一览表    单位：t/a</w:t>
            </w:r>
          </w:p>
          <w:tbl>
            <w:tblPr>
              <w:tblStyle w:val="18"/>
              <w:tblW w:w="8298" w:type="dxa"/>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259"/>
              <w:gridCol w:w="1228"/>
              <w:gridCol w:w="1165"/>
              <w:gridCol w:w="1157"/>
              <w:gridCol w:w="723"/>
              <w:gridCol w:w="1012"/>
              <w:gridCol w:w="948"/>
              <w:gridCol w:w="806"/>
            </w:tblGrid>
            <w:tr w14:paraId="520AC58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259" w:type="dxa"/>
                  <w:vAlign w:val="center"/>
                </w:tcPr>
                <w:p w14:paraId="520AC581">
                  <w:pPr>
                    <w:jc w:val="center"/>
                    <w:rPr>
                      <w:b/>
                      <w:kern w:val="0"/>
                      <w:szCs w:val="21"/>
                    </w:rPr>
                  </w:pPr>
                  <w:r>
                    <w:rPr>
                      <w:b/>
                      <w:kern w:val="0"/>
                      <w:szCs w:val="21"/>
                    </w:rPr>
                    <w:t>污染物</w:t>
                  </w:r>
                  <w:r>
                    <w:rPr>
                      <w:rFonts w:hint="eastAsia"/>
                      <w:b/>
                      <w:kern w:val="0"/>
                      <w:szCs w:val="21"/>
                    </w:rPr>
                    <w:t>种类</w:t>
                  </w:r>
                </w:p>
              </w:tc>
              <w:tc>
                <w:tcPr>
                  <w:tcW w:w="1228" w:type="dxa"/>
                  <w:vAlign w:val="center"/>
                </w:tcPr>
                <w:p w14:paraId="520AC582">
                  <w:pPr>
                    <w:widowControl/>
                    <w:jc w:val="center"/>
                    <w:rPr>
                      <w:b/>
                      <w:kern w:val="0"/>
                      <w:szCs w:val="21"/>
                    </w:rPr>
                  </w:pPr>
                  <w:r>
                    <w:rPr>
                      <w:rFonts w:hint="eastAsia"/>
                      <w:b/>
                      <w:szCs w:val="21"/>
                    </w:rPr>
                    <w:t>已建工程</w:t>
                  </w:r>
                  <w:r>
                    <w:rPr>
                      <w:b/>
                      <w:szCs w:val="21"/>
                    </w:rPr>
                    <w:t>实际排放量</w:t>
                  </w:r>
                </w:p>
              </w:tc>
              <w:tc>
                <w:tcPr>
                  <w:tcW w:w="1165" w:type="dxa"/>
                  <w:vAlign w:val="center"/>
                </w:tcPr>
                <w:p w14:paraId="520AC583">
                  <w:pPr>
                    <w:jc w:val="center"/>
                    <w:rPr>
                      <w:b/>
                      <w:kern w:val="0"/>
                      <w:szCs w:val="21"/>
                    </w:rPr>
                  </w:pPr>
                  <w:r>
                    <w:rPr>
                      <w:rFonts w:hint="eastAsia"/>
                      <w:b/>
                      <w:szCs w:val="21"/>
                    </w:rPr>
                    <w:t>已建工程许可排放量</w:t>
                  </w:r>
                </w:p>
              </w:tc>
              <w:tc>
                <w:tcPr>
                  <w:tcW w:w="1157" w:type="dxa"/>
                  <w:vAlign w:val="center"/>
                </w:tcPr>
                <w:p w14:paraId="520AC584">
                  <w:pPr>
                    <w:jc w:val="center"/>
                    <w:rPr>
                      <w:b/>
                      <w:kern w:val="0"/>
                      <w:szCs w:val="21"/>
                    </w:rPr>
                  </w:pPr>
                  <w:r>
                    <w:rPr>
                      <w:rFonts w:hint="eastAsia"/>
                      <w:b/>
                      <w:szCs w:val="21"/>
                    </w:rPr>
                    <w:t>在建工程</w:t>
                  </w:r>
                  <w:r>
                    <w:rPr>
                      <w:rFonts w:hint="eastAsia"/>
                      <w:b/>
                      <w:szCs w:val="20"/>
                    </w:rPr>
                    <w:t>环评批复量</w:t>
                  </w:r>
                </w:p>
              </w:tc>
              <w:tc>
                <w:tcPr>
                  <w:tcW w:w="723" w:type="dxa"/>
                  <w:vAlign w:val="center"/>
                </w:tcPr>
                <w:p w14:paraId="520AC585">
                  <w:pPr>
                    <w:widowControl/>
                    <w:jc w:val="center"/>
                    <w:rPr>
                      <w:b/>
                      <w:kern w:val="0"/>
                      <w:szCs w:val="21"/>
                    </w:rPr>
                  </w:pPr>
                  <w:r>
                    <w:rPr>
                      <w:b/>
                      <w:kern w:val="0"/>
                      <w:szCs w:val="21"/>
                    </w:rPr>
                    <w:t>本工程</w:t>
                  </w:r>
                </w:p>
                <w:p w14:paraId="520AC586">
                  <w:pPr>
                    <w:jc w:val="center"/>
                    <w:rPr>
                      <w:b/>
                      <w:kern w:val="0"/>
                      <w:szCs w:val="21"/>
                    </w:rPr>
                  </w:pPr>
                  <w:r>
                    <w:rPr>
                      <w:b/>
                      <w:kern w:val="0"/>
                      <w:szCs w:val="21"/>
                    </w:rPr>
                    <w:t>排放量</w:t>
                  </w:r>
                </w:p>
              </w:tc>
              <w:tc>
                <w:tcPr>
                  <w:tcW w:w="1012" w:type="dxa"/>
                  <w:vAlign w:val="center"/>
                </w:tcPr>
                <w:p w14:paraId="520AC587">
                  <w:pPr>
                    <w:jc w:val="center"/>
                    <w:rPr>
                      <w:b/>
                      <w:kern w:val="0"/>
                      <w:szCs w:val="21"/>
                    </w:rPr>
                  </w:pPr>
                  <w:r>
                    <w:rPr>
                      <w:b/>
                      <w:kern w:val="0"/>
                      <w:szCs w:val="21"/>
                    </w:rPr>
                    <w:t>以新</w:t>
                  </w:r>
                  <w:r>
                    <w:rPr>
                      <w:rFonts w:hint="eastAsia"/>
                      <w:b/>
                      <w:kern w:val="0"/>
                      <w:szCs w:val="21"/>
                    </w:rPr>
                    <w:t>代</w:t>
                  </w:r>
                  <w:r>
                    <w:rPr>
                      <w:b/>
                      <w:kern w:val="0"/>
                      <w:szCs w:val="21"/>
                    </w:rPr>
                    <w:t>老削减量</w:t>
                  </w:r>
                </w:p>
              </w:tc>
              <w:tc>
                <w:tcPr>
                  <w:tcW w:w="948" w:type="dxa"/>
                  <w:vAlign w:val="center"/>
                </w:tcPr>
                <w:p w14:paraId="520AC588">
                  <w:pPr>
                    <w:jc w:val="center"/>
                    <w:rPr>
                      <w:b/>
                      <w:kern w:val="0"/>
                      <w:szCs w:val="21"/>
                    </w:rPr>
                  </w:pPr>
                  <w:r>
                    <w:rPr>
                      <w:b/>
                      <w:kern w:val="0"/>
                      <w:szCs w:val="21"/>
                    </w:rPr>
                    <w:t>全厂排</w:t>
                  </w:r>
                </w:p>
                <w:p w14:paraId="520AC589">
                  <w:pPr>
                    <w:jc w:val="center"/>
                    <w:rPr>
                      <w:b/>
                      <w:kern w:val="0"/>
                      <w:szCs w:val="21"/>
                    </w:rPr>
                  </w:pPr>
                  <w:r>
                    <w:rPr>
                      <w:b/>
                      <w:kern w:val="0"/>
                      <w:szCs w:val="21"/>
                    </w:rPr>
                    <w:t>放总量</w:t>
                  </w:r>
                </w:p>
              </w:tc>
              <w:tc>
                <w:tcPr>
                  <w:tcW w:w="806" w:type="dxa"/>
                  <w:vAlign w:val="center"/>
                </w:tcPr>
                <w:p w14:paraId="520AC58A">
                  <w:pPr>
                    <w:jc w:val="center"/>
                    <w:rPr>
                      <w:b/>
                      <w:kern w:val="0"/>
                      <w:szCs w:val="21"/>
                    </w:rPr>
                  </w:pPr>
                  <w:r>
                    <w:rPr>
                      <w:rFonts w:hint="eastAsia"/>
                      <w:b/>
                      <w:kern w:val="0"/>
                      <w:szCs w:val="21"/>
                    </w:rPr>
                    <w:t>排放</w:t>
                  </w:r>
                </w:p>
                <w:p w14:paraId="520AC58B">
                  <w:pPr>
                    <w:jc w:val="center"/>
                    <w:rPr>
                      <w:b/>
                      <w:kern w:val="0"/>
                      <w:szCs w:val="21"/>
                    </w:rPr>
                  </w:pPr>
                  <w:r>
                    <w:rPr>
                      <w:b/>
                      <w:kern w:val="0"/>
                      <w:szCs w:val="21"/>
                    </w:rPr>
                    <w:t>增减量</w:t>
                  </w:r>
                </w:p>
              </w:tc>
            </w:tr>
            <w:tr w14:paraId="520AC59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259" w:type="dxa"/>
                  <w:vAlign w:val="center"/>
                </w:tcPr>
                <w:p w14:paraId="520AC58D">
                  <w:pPr>
                    <w:jc w:val="center"/>
                    <w:rPr>
                      <w:szCs w:val="21"/>
                      <w:lang w:val="pt-BR"/>
                    </w:rPr>
                  </w:pPr>
                  <w:r>
                    <w:rPr>
                      <w:rFonts w:hint="eastAsia"/>
                      <w:szCs w:val="21"/>
                    </w:rPr>
                    <w:t>废水量(m</w:t>
                  </w:r>
                  <w:r>
                    <w:rPr>
                      <w:rFonts w:hint="eastAsia"/>
                      <w:szCs w:val="21"/>
                      <w:vertAlign w:val="superscript"/>
                    </w:rPr>
                    <w:t>3</w:t>
                  </w:r>
                  <w:r>
                    <w:rPr>
                      <w:rFonts w:hint="eastAsia"/>
                      <w:szCs w:val="21"/>
                    </w:rPr>
                    <w:t>/a)</w:t>
                  </w:r>
                </w:p>
              </w:tc>
              <w:tc>
                <w:tcPr>
                  <w:tcW w:w="1228" w:type="dxa"/>
                  <w:vAlign w:val="center"/>
                </w:tcPr>
                <w:p w14:paraId="520AC58E">
                  <w:pPr>
                    <w:pStyle w:val="50"/>
                    <w:rPr>
                      <w:color w:val="auto"/>
                      <w:kern w:val="2"/>
                    </w:rPr>
                  </w:pPr>
                  <w:r>
                    <w:rPr>
                      <w:rFonts w:hint="eastAsia"/>
                      <w:color w:val="auto"/>
                    </w:rPr>
                    <w:t>231982.8</w:t>
                  </w:r>
                </w:p>
              </w:tc>
              <w:tc>
                <w:tcPr>
                  <w:tcW w:w="1165" w:type="dxa"/>
                  <w:vAlign w:val="center"/>
                </w:tcPr>
                <w:p w14:paraId="520AC58F">
                  <w:pPr>
                    <w:jc w:val="center"/>
                    <w:rPr>
                      <w:szCs w:val="21"/>
                    </w:rPr>
                  </w:pPr>
                  <w:r>
                    <w:rPr>
                      <w:rFonts w:hint="eastAsia"/>
                      <w:szCs w:val="21"/>
                    </w:rPr>
                    <w:t>28800</w:t>
                  </w:r>
                  <w:r>
                    <w:rPr>
                      <w:szCs w:val="21"/>
                    </w:rPr>
                    <w:t>2.5</w:t>
                  </w:r>
                </w:p>
              </w:tc>
              <w:tc>
                <w:tcPr>
                  <w:tcW w:w="1157" w:type="dxa"/>
                  <w:vAlign w:val="center"/>
                </w:tcPr>
                <w:p w14:paraId="520AC590">
                  <w:pPr>
                    <w:jc w:val="center"/>
                    <w:rPr>
                      <w:szCs w:val="21"/>
                    </w:rPr>
                  </w:pPr>
                  <w:r>
                    <w:rPr>
                      <w:rFonts w:hint="eastAsia"/>
                      <w:szCs w:val="21"/>
                    </w:rPr>
                    <w:t>133</w:t>
                  </w:r>
                  <w:r>
                    <w:rPr>
                      <w:szCs w:val="21"/>
                    </w:rPr>
                    <w:t>4</w:t>
                  </w:r>
                </w:p>
              </w:tc>
              <w:tc>
                <w:tcPr>
                  <w:tcW w:w="723" w:type="dxa"/>
                  <w:vAlign w:val="center"/>
                </w:tcPr>
                <w:p w14:paraId="520AC591">
                  <w:pPr>
                    <w:jc w:val="center"/>
                    <w:rPr>
                      <w:szCs w:val="21"/>
                    </w:rPr>
                  </w:pPr>
                  <w:r>
                    <w:rPr>
                      <w:rFonts w:hint="eastAsia" w:eastAsia="等线"/>
                      <w:szCs w:val="21"/>
                    </w:rPr>
                    <w:t>68.75</w:t>
                  </w:r>
                </w:p>
              </w:tc>
              <w:tc>
                <w:tcPr>
                  <w:tcW w:w="1012" w:type="dxa"/>
                  <w:vAlign w:val="center"/>
                </w:tcPr>
                <w:p w14:paraId="520AC592">
                  <w:pPr>
                    <w:jc w:val="center"/>
                    <w:rPr>
                      <w:szCs w:val="21"/>
                    </w:rPr>
                  </w:pPr>
                  <w:r>
                    <w:rPr>
                      <w:rFonts w:hint="eastAsia"/>
                      <w:szCs w:val="21"/>
                    </w:rPr>
                    <w:t>100</w:t>
                  </w:r>
                </w:p>
              </w:tc>
              <w:tc>
                <w:tcPr>
                  <w:tcW w:w="948" w:type="dxa"/>
                  <w:vAlign w:val="center"/>
                </w:tcPr>
                <w:p w14:paraId="520AC593">
                  <w:pPr>
                    <w:jc w:val="center"/>
                    <w:rPr>
                      <w:szCs w:val="21"/>
                    </w:rPr>
                  </w:pPr>
                  <w:r>
                    <w:rPr>
                      <w:szCs w:val="21"/>
                    </w:rPr>
                    <w:t>233</w:t>
                  </w:r>
                  <w:r>
                    <w:rPr>
                      <w:rFonts w:hint="eastAsia"/>
                      <w:szCs w:val="21"/>
                    </w:rPr>
                    <w:t>285.55</w:t>
                  </w:r>
                </w:p>
              </w:tc>
              <w:tc>
                <w:tcPr>
                  <w:tcW w:w="806" w:type="dxa"/>
                  <w:vAlign w:val="center"/>
                </w:tcPr>
                <w:p w14:paraId="520AC594">
                  <w:pPr>
                    <w:jc w:val="center"/>
                    <w:rPr>
                      <w:szCs w:val="21"/>
                    </w:rPr>
                  </w:pPr>
                  <w:r>
                    <w:rPr>
                      <w:rFonts w:hint="eastAsia"/>
                      <w:szCs w:val="21"/>
                    </w:rPr>
                    <w:t>-31.25</w:t>
                  </w:r>
                </w:p>
              </w:tc>
            </w:tr>
            <w:tr w14:paraId="520AC59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259" w:type="dxa"/>
                  <w:vAlign w:val="center"/>
                </w:tcPr>
                <w:p w14:paraId="520AC596">
                  <w:pPr>
                    <w:jc w:val="center"/>
                    <w:rPr>
                      <w:szCs w:val="21"/>
                      <w:lang w:val="pt-BR"/>
                    </w:rPr>
                  </w:pPr>
                  <w:r>
                    <w:rPr>
                      <w:kern w:val="0"/>
                      <w:szCs w:val="21"/>
                    </w:rPr>
                    <w:t>COD</w:t>
                  </w:r>
                </w:p>
              </w:tc>
              <w:tc>
                <w:tcPr>
                  <w:tcW w:w="1228" w:type="dxa"/>
                  <w:vAlign w:val="center"/>
                </w:tcPr>
                <w:p w14:paraId="520AC597">
                  <w:pPr>
                    <w:pStyle w:val="50"/>
                    <w:rPr>
                      <w:color w:val="auto"/>
                      <w:kern w:val="2"/>
                    </w:rPr>
                  </w:pPr>
                  <w:r>
                    <w:rPr>
                      <w:rFonts w:hint="eastAsia"/>
                      <w:color w:val="auto"/>
                    </w:rPr>
                    <w:t>11.5991</w:t>
                  </w:r>
                </w:p>
              </w:tc>
              <w:tc>
                <w:tcPr>
                  <w:tcW w:w="1165" w:type="dxa"/>
                  <w:vAlign w:val="center"/>
                </w:tcPr>
                <w:p w14:paraId="520AC598">
                  <w:pPr>
                    <w:jc w:val="center"/>
                    <w:rPr>
                      <w:szCs w:val="21"/>
                    </w:rPr>
                  </w:pPr>
                  <w:r>
                    <w:rPr>
                      <w:rFonts w:hint="eastAsia"/>
                    </w:rPr>
                    <w:t>14.4</w:t>
                  </w:r>
                  <w:r>
                    <w:t>0012</w:t>
                  </w:r>
                </w:p>
              </w:tc>
              <w:tc>
                <w:tcPr>
                  <w:tcW w:w="1157" w:type="dxa"/>
                  <w:vAlign w:val="center"/>
                </w:tcPr>
                <w:p w14:paraId="520AC599">
                  <w:pPr>
                    <w:jc w:val="center"/>
                    <w:rPr>
                      <w:szCs w:val="21"/>
                    </w:rPr>
                  </w:pPr>
                  <w:r>
                    <w:rPr>
                      <w:szCs w:val="21"/>
                    </w:rPr>
                    <w:t>0.0</w:t>
                  </w:r>
                  <w:r>
                    <w:rPr>
                      <w:rFonts w:hint="eastAsia"/>
                      <w:szCs w:val="21"/>
                    </w:rPr>
                    <w:t>56</w:t>
                  </w:r>
                  <w:r>
                    <w:rPr>
                      <w:szCs w:val="21"/>
                    </w:rPr>
                    <w:t>4</w:t>
                  </w:r>
                </w:p>
              </w:tc>
              <w:tc>
                <w:tcPr>
                  <w:tcW w:w="723" w:type="dxa"/>
                  <w:vAlign w:val="center"/>
                </w:tcPr>
                <w:p w14:paraId="520AC59A">
                  <w:pPr>
                    <w:jc w:val="center"/>
                    <w:rPr>
                      <w:szCs w:val="21"/>
                    </w:rPr>
                  </w:pPr>
                  <w:r>
                    <w:rPr>
                      <w:rFonts w:eastAsia="等线"/>
                      <w:szCs w:val="21"/>
                    </w:rPr>
                    <w:t>0.00</w:t>
                  </w:r>
                  <w:r>
                    <w:rPr>
                      <w:rFonts w:hint="eastAsia" w:eastAsia="等线"/>
                      <w:szCs w:val="21"/>
                    </w:rPr>
                    <w:t>34</w:t>
                  </w:r>
                </w:p>
              </w:tc>
              <w:tc>
                <w:tcPr>
                  <w:tcW w:w="1012" w:type="dxa"/>
                  <w:vAlign w:val="center"/>
                </w:tcPr>
                <w:p w14:paraId="520AC59B">
                  <w:pPr>
                    <w:jc w:val="center"/>
                    <w:rPr>
                      <w:szCs w:val="21"/>
                    </w:rPr>
                  </w:pPr>
                  <w:r>
                    <w:rPr>
                      <w:szCs w:val="21"/>
                    </w:rPr>
                    <w:t>0</w:t>
                  </w:r>
                  <w:r>
                    <w:rPr>
                      <w:rFonts w:hint="eastAsia"/>
                      <w:szCs w:val="21"/>
                    </w:rPr>
                    <w:t>.005</w:t>
                  </w:r>
                </w:p>
              </w:tc>
              <w:tc>
                <w:tcPr>
                  <w:tcW w:w="948" w:type="dxa"/>
                  <w:vAlign w:val="center"/>
                </w:tcPr>
                <w:p w14:paraId="520AC59C">
                  <w:pPr>
                    <w:jc w:val="center"/>
                    <w:rPr>
                      <w:szCs w:val="21"/>
                    </w:rPr>
                  </w:pPr>
                  <w:r>
                    <w:rPr>
                      <w:szCs w:val="21"/>
                    </w:rPr>
                    <w:t>11.65</w:t>
                  </w:r>
                  <w:r>
                    <w:rPr>
                      <w:rFonts w:hint="eastAsia"/>
                      <w:szCs w:val="21"/>
                    </w:rPr>
                    <w:t>3</w:t>
                  </w:r>
                  <w:r>
                    <w:rPr>
                      <w:szCs w:val="21"/>
                    </w:rPr>
                    <w:t>9</w:t>
                  </w:r>
                </w:p>
              </w:tc>
              <w:tc>
                <w:tcPr>
                  <w:tcW w:w="806" w:type="dxa"/>
                  <w:vAlign w:val="center"/>
                </w:tcPr>
                <w:p w14:paraId="520AC59D">
                  <w:pPr>
                    <w:jc w:val="center"/>
                    <w:rPr>
                      <w:szCs w:val="21"/>
                    </w:rPr>
                  </w:pPr>
                  <w:r>
                    <w:rPr>
                      <w:rFonts w:hint="eastAsia"/>
                      <w:szCs w:val="21"/>
                    </w:rPr>
                    <w:t>-0.0016</w:t>
                  </w:r>
                </w:p>
              </w:tc>
            </w:tr>
            <w:tr w14:paraId="520AC5A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259" w:type="dxa"/>
                  <w:vAlign w:val="center"/>
                </w:tcPr>
                <w:p w14:paraId="520AC59F">
                  <w:pPr>
                    <w:jc w:val="center"/>
                    <w:rPr>
                      <w:szCs w:val="21"/>
                    </w:rPr>
                  </w:pPr>
                  <w:r>
                    <w:rPr>
                      <w:kern w:val="0"/>
                      <w:szCs w:val="21"/>
                    </w:rPr>
                    <w:t>NH</w:t>
                  </w:r>
                  <w:r>
                    <w:rPr>
                      <w:kern w:val="0"/>
                      <w:szCs w:val="21"/>
                      <w:vertAlign w:val="subscript"/>
                    </w:rPr>
                    <w:t>3</w:t>
                  </w:r>
                  <w:r>
                    <w:rPr>
                      <w:kern w:val="0"/>
                      <w:szCs w:val="21"/>
                    </w:rPr>
                    <w:t>-N</w:t>
                  </w:r>
                </w:p>
              </w:tc>
              <w:tc>
                <w:tcPr>
                  <w:tcW w:w="1228" w:type="dxa"/>
                  <w:vAlign w:val="center"/>
                </w:tcPr>
                <w:p w14:paraId="520AC5A0">
                  <w:pPr>
                    <w:pStyle w:val="50"/>
                    <w:rPr>
                      <w:color w:val="auto"/>
                      <w:kern w:val="2"/>
                    </w:rPr>
                  </w:pPr>
                  <w:r>
                    <w:rPr>
                      <w:rFonts w:hint="eastAsia"/>
                      <w:color w:val="auto"/>
                    </w:rPr>
                    <w:t>1.1599</w:t>
                  </w:r>
                </w:p>
              </w:tc>
              <w:tc>
                <w:tcPr>
                  <w:tcW w:w="1165" w:type="dxa"/>
                  <w:vAlign w:val="center"/>
                </w:tcPr>
                <w:p w14:paraId="520AC5A1">
                  <w:pPr>
                    <w:jc w:val="center"/>
                    <w:rPr>
                      <w:szCs w:val="21"/>
                    </w:rPr>
                  </w:pPr>
                  <w:r>
                    <w:rPr>
                      <w:rFonts w:hint="eastAsia"/>
                    </w:rPr>
                    <w:t>1.44</w:t>
                  </w:r>
                  <w:r>
                    <w:t>001</w:t>
                  </w:r>
                </w:p>
              </w:tc>
              <w:tc>
                <w:tcPr>
                  <w:tcW w:w="1157" w:type="dxa"/>
                  <w:vAlign w:val="center"/>
                </w:tcPr>
                <w:p w14:paraId="520AC5A2">
                  <w:pPr>
                    <w:jc w:val="center"/>
                    <w:rPr>
                      <w:szCs w:val="21"/>
                    </w:rPr>
                  </w:pPr>
                  <w:r>
                    <w:rPr>
                      <w:szCs w:val="21"/>
                    </w:rPr>
                    <w:t>0.00</w:t>
                  </w:r>
                  <w:r>
                    <w:rPr>
                      <w:rFonts w:hint="eastAsia"/>
                      <w:szCs w:val="21"/>
                    </w:rPr>
                    <w:t>10</w:t>
                  </w:r>
                </w:p>
              </w:tc>
              <w:tc>
                <w:tcPr>
                  <w:tcW w:w="723" w:type="dxa"/>
                  <w:vAlign w:val="center"/>
                </w:tcPr>
                <w:p w14:paraId="520AC5A3">
                  <w:pPr>
                    <w:jc w:val="center"/>
                    <w:rPr>
                      <w:szCs w:val="21"/>
                    </w:rPr>
                  </w:pPr>
                  <w:r>
                    <w:rPr>
                      <w:rFonts w:hint="eastAsia" w:eastAsia="等线"/>
                      <w:szCs w:val="21"/>
                    </w:rPr>
                    <w:t>0</w:t>
                  </w:r>
                </w:p>
              </w:tc>
              <w:tc>
                <w:tcPr>
                  <w:tcW w:w="1012" w:type="dxa"/>
                  <w:vAlign w:val="center"/>
                </w:tcPr>
                <w:p w14:paraId="520AC5A4">
                  <w:pPr>
                    <w:jc w:val="center"/>
                    <w:rPr>
                      <w:szCs w:val="21"/>
                    </w:rPr>
                  </w:pPr>
                  <w:r>
                    <w:rPr>
                      <w:szCs w:val="21"/>
                    </w:rPr>
                    <w:t>0</w:t>
                  </w:r>
                  <w:r>
                    <w:rPr>
                      <w:rFonts w:hint="eastAsia"/>
                      <w:szCs w:val="21"/>
                    </w:rPr>
                    <w:t>.0005</w:t>
                  </w:r>
                </w:p>
              </w:tc>
              <w:tc>
                <w:tcPr>
                  <w:tcW w:w="948" w:type="dxa"/>
                  <w:vAlign w:val="center"/>
                </w:tcPr>
                <w:p w14:paraId="520AC5A5">
                  <w:pPr>
                    <w:jc w:val="center"/>
                    <w:rPr>
                      <w:szCs w:val="21"/>
                    </w:rPr>
                  </w:pPr>
                  <w:r>
                    <w:rPr>
                      <w:szCs w:val="21"/>
                    </w:rPr>
                    <w:t>1.160</w:t>
                  </w:r>
                  <w:r>
                    <w:rPr>
                      <w:rFonts w:hint="eastAsia"/>
                      <w:szCs w:val="21"/>
                    </w:rPr>
                    <w:t>4</w:t>
                  </w:r>
                </w:p>
              </w:tc>
              <w:tc>
                <w:tcPr>
                  <w:tcW w:w="806" w:type="dxa"/>
                  <w:vAlign w:val="center"/>
                </w:tcPr>
                <w:p w14:paraId="520AC5A6">
                  <w:pPr>
                    <w:jc w:val="center"/>
                    <w:rPr>
                      <w:szCs w:val="21"/>
                    </w:rPr>
                  </w:pPr>
                  <w:r>
                    <w:rPr>
                      <w:rFonts w:hint="eastAsia"/>
                      <w:szCs w:val="21"/>
                    </w:rPr>
                    <w:t>-</w:t>
                  </w:r>
                  <w:r>
                    <w:rPr>
                      <w:szCs w:val="21"/>
                    </w:rPr>
                    <w:t>0</w:t>
                  </w:r>
                  <w:r>
                    <w:rPr>
                      <w:rFonts w:hint="eastAsia"/>
                      <w:szCs w:val="21"/>
                    </w:rPr>
                    <w:t>.0005</w:t>
                  </w:r>
                </w:p>
              </w:tc>
            </w:tr>
            <w:tr w14:paraId="520AC5B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259" w:type="dxa"/>
                  <w:vAlign w:val="center"/>
                </w:tcPr>
                <w:p w14:paraId="520AC5A8">
                  <w:pPr>
                    <w:jc w:val="center"/>
                    <w:rPr>
                      <w:szCs w:val="21"/>
                    </w:rPr>
                  </w:pPr>
                  <w:r>
                    <w:rPr>
                      <w:kern w:val="0"/>
                      <w:szCs w:val="21"/>
                    </w:rPr>
                    <w:t>TP</w:t>
                  </w:r>
                </w:p>
              </w:tc>
              <w:tc>
                <w:tcPr>
                  <w:tcW w:w="1228" w:type="dxa"/>
                  <w:vAlign w:val="center"/>
                </w:tcPr>
                <w:p w14:paraId="520AC5A9">
                  <w:pPr>
                    <w:pStyle w:val="50"/>
                    <w:rPr>
                      <w:color w:val="auto"/>
                      <w:kern w:val="2"/>
                    </w:rPr>
                  </w:pPr>
                  <w:r>
                    <w:rPr>
                      <w:rFonts w:hint="eastAsia"/>
                      <w:color w:val="auto"/>
                    </w:rPr>
                    <w:t>0.1160</w:t>
                  </w:r>
                </w:p>
              </w:tc>
              <w:tc>
                <w:tcPr>
                  <w:tcW w:w="1165" w:type="dxa"/>
                  <w:vAlign w:val="center"/>
                </w:tcPr>
                <w:p w14:paraId="520AC5AA">
                  <w:pPr>
                    <w:jc w:val="center"/>
                    <w:rPr>
                      <w:szCs w:val="21"/>
                    </w:rPr>
                  </w:pPr>
                  <w:r>
                    <w:rPr>
                      <w:rFonts w:hint="eastAsia"/>
                    </w:rPr>
                    <w:t>0.144</w:t>
                  </w:r>
                  <w:r>
                    <w:t>001</w:t>
                  </w:r>
                </w:p>
              </w:tc>
              <w:tc>
                <w:tcPr>
                  <w:tcW w:w="1157" w:type="dxa"/>
                  <w:vAlign w:val="center"/>
                </w:tcPr>
                <w:p w14:paraId="520AC5AB">
                  <w:pPr>
                    <w:jc w:val="center"/>
                    <w:rPr>
                      <w:szCs w:val="21"/>
                    </w:rPr>
                  </w:pPr>
                  <w:r>
                    <w:rPr>
                      <w:szCs w:val="21"/>
                    </w:rPr>
                    <w:t>0.000</w:t>
                  </w:r>
                  <w:r>
                    <w:rPr>
                      <w:rFonts w:hint="eastAsia"/>
                      <w:szCs w:val="21"/>
                    </w:rPr>
                    <w:t>5</w:t>
                  </w:r>
                </w:p>
              </w:tc>
              <w:tc>
                <w:tcPr>
                  <w:tcW w:w="723" w:type="dxa"/>
                  <w:vAlign w:val="center"/>
                </w:tcPr>
                <w:p w14:paraId="520AC5AC">
                  <w:pPr>
                    <w:jc w:val="center"/>
                    <w:rPr>
                      <w:szCs w:val="21"/>
                    </w:rPr>
                  </w:pPr>
                  <w:r>
                    <w:rPr>
                      <w:rFonts w:hint="eastAsia" w:eastAsia="等线"/>
                      <w:szCs w:val="21"/>
                    </w:rPr>
                    <w:t>0</w:t>
                  </w:r>
                </w:p>
              </w:tc>
              <w:tc>
                <w:tcPr>
                  <w:tcW w:w="1012" w:type="dxa"/>
                  <w:vAlign w:val="center"/>
                </w:tcPr>
                <w:p w14:paraId="520AC5AD">
                  <w:pPr>
                    <w:jc w:val="center"/>
                    <w:rPr>
                      <w:szCs w:val="21"/>
                    </w:rPr>
                  </w:pPr>
                  <w:r>
                    <w:rPr>
                      <w:szCs w:val="21"/>
                    </w:rPr>
                    <w:t>0</w:t>
                  </w:r>
                  <w:r>
                    <w:rPr>
                      <w:rFonts w:hint="eastAsia"/>
                      <w:szCs w:val="21"/>
                    </w:rPr>
                    <w:t>.00005</w:t>
                  </w:r>
                </w:p>
              </w:tc>
              <w:tc>
                <w:tcPr>
                  <w:tcW w:w="948" w:type="dxa"/>
                  <w:vAlign w:val="center"/>
                </w:tcPr>
                <w:p w14:paraId="520AC5AE">
                  <w:pPr>
                    <w:jc w:val="center"/>
                    <w:rPr>
                      <w:szCs w:val="21"/>
                    </w:rPr>
                  </w:pPr>
                  <w:r>
                    <w:rPr>
                      <w:szCs w:val="21"/>
                    </w:rPr>
                    <w:t>0.116</w:t>
                  </w:r>
                  <w:r>
                    <w:rPr>
                      <w:rFonts w:hint="eastAsia"/>
                      <w:szCs w:val="21"/>
                    </w:rPr>
                    <w:t>45</w:t>
                  </w:r>
                </w:p>
              </w:tc>
              <w:tc>
                <w:tcPr>
                  <w:tcW w:w="806" w:type="dxa"/>
                  <w:vAlign w:val="center"/>
                </w:tcPr>
                <w:p w14:paraId="520AC5AF">
                  <w:pPr>
                    <w:jc w:val="center"/>
                    <w:rPr>
                      <w:szCs w:val="21"/>
                    </w:rPr>
                  </w:pPr>
                  <w:r>
                    <w:rPr>
                      <w:rFonts w:hint="eastAsia"/>
                      <w:szCs w:val="21"/>
                    </w:rPr>
                    <w:t>-</w:t>
                  </w:r>
                  <w:r>
                    <w:rPr>
                      <w:szCs w:val="21"/>
                    </w:rPr>
                    <w:t>0</w:t>
                  </w:r>
                  <w:r>
                    <w:rPr>
                      <w:rFonts w:hint="eastAsia"/>
                      <w:szCs w:val="21"/>
                    </w:rPr>
                    <w:t>.00005</w:t>
                  </w:r>
                </w:p>
              </w:tc>
            </w:tr>
            <w:tr w14:paraId="520AC5B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259" w:type="dxa"/>
                  <w:vAlign w:val="center"/>
                </w:tcPr>
                <w:p w14:paraId="520AC5B1">
                  <w:pPr>
                    <w:jc w:val="center"/>
                    <w:rPr>
                      <w:szCs w:val="21"/>
                      <w:lang w:val="pt-BR"/>
                    </w:rPr>
                  </w:pPr>
                  <w:r>
                    <w:rPr>
                      <w:kern w:val="0"/>
                      <w:szCs w:val="21"/>
                    </w:rPr>
                    <w:t>TN</w:t>
                  </w:r>
                </w:p>
              </w:tc>
              <w:tc>
                <w:tcPr>
                  <w:tcW w:w="1228" w:type="dxa"/>
                  <w:vAlign w:val="center"/>
                </w:tcPr>
                <w:p w14:paraId="520AC5B2">
                  <w:pPr>
                    <w:pStyle w:val="50"/>
                    <w:rPr>
                      <w:color w:val="auto"/>
                      <w:kern w:val="2"/>
                    </w:rPr>
                  </w:pPr>
                  <w:r>
                    <w:rPr>
                      <w:rFonts w:hint="eastAsia"/>
                      <w:color w:val="auto"/>
                    </w:rPr>
                    <w:t>3.4797</w:t>
                  </w:r>
                </w:p>
              </w:tc>
              <w:tc>
                <w:tcPr>
                  <w:tcW w:w="1165" w:type="dxa"/>
                  <w:vAlign w:val="center"/>
                </w:tcPr>
                <w:p w14:paraId="520AC5B3">
                  <w:pPr>
                    <w:jc w:val="center"/>
                    <w:rPr>
                      <w:szCs w:val="21"/>
                    </w:rPr>
                  </w:pPr>
                  <w:r>
                    <w:rPr>
                      <w:rFonts w:hint="eastAsia"/>
                    </w:rPr>
                    <w:t>4.32</w:t>
                  </w:r>
                  <w:r>
                    <w:t>004</w:t>
                  </w:r>
                </w:p>
              </w:tc>
              <w:tc>
                <w:tcPr>
                  <w:tcW w:w="1157" w:type="dxa"/>
                  <w:vAlign w:val="center"/>
                </w:tcPr>
                <w:p w14:paraId="520AC5B4">
                  <w:pPr>
                    <w:jc w:val="center"/>
                    <w:rPr>
                      <w:szCs w:val="21"/>
                    </w:rPr>
                  </w:pPr>
                  <w:r>
                    <w:rPr>
                      <w:szCs w:val="21"/>
                    </w:rPr>
                    <w:t>0.00</w:t>
                  </w:r>
                  <w:r>
                    <w:rPr>
                      <w:rFonts w:hint="eastAsia"/>
                      <w:szCs w:val="21"/>
                    </w:rPr>
                    <w:t>69</w:t>
                  </w:r>
                </w:p>
              </w:tc>
              <w:tc>
                <w:tcPr>
                  <w:tcW w:w="723" w:type="dxa"/>
                  <w:vAlign w:val="center"/>
                </w:tcPr>
                <w:p w14:paraId="520AC5B5">
                  <w:pPr>
                    <w:jc w:val="center"/>
                    <w:rPr>
                      <w:szCs w:val="21"/>
                    </w:rPr>
                  </w:pPr>
                  <w:r>
                    <w:rPr>
                      <w:rFonts w:hint="eastAsia" w:eastAsia="等线"/>
                      <w:szCs w:val="21"/>
                    </w:rPr>
                    <w:t>0</w:t>
                  </w:r>
                </w:p>
              </w:tc>
              <w:tc>
                <w:tcPr>
                  <w:tcW w:w="1012" w:type="dxa"/>
                  <w:vAlign w:val="center"/>
                </w:tcPr>
                <w:p w14:paraId="520AC5B6">
                  <w:pPr>
                    <w:jc w:val="center"/>
                    <w:rPr>
                      <w:szCs w:val="21"/>
                    </w:rPr>
                  </w:pPr>
                  <w:r>
                    <w:rPr>
                      <w:szCs w:val="21"/>
                    </w:rPr>
                    <w:t>0</w:t>
                  </w:r>
                  <w:r>
                    <w:rPr>
                      <w:rFonts w:hint="eastAsia"/>
                      <w:szCs w:val="21"/>
                    </w:rPr>
                    <w:t>.0015</w:t>
                  </w:r>
                </w:p>
              </w:tc>
              <w:tc>
                <w:tcPr>
                  <w:tcW w:w="948" w:type="dxa"/>
                  <w:vAlign w:val="center"/>
                </w:tcPr>
                <w:p w14:paraId="520AC5B7">
                  <w:pPr>
                    <w:jc w:val="center"/>
                    <w:rPr>
                      <w:szCs w:val="21"/>
                    </w:rPr>
                  </w:pPr>
                  <w:r>
                    <w:rPr>
                      <w:szCs w:val="21"/>
                    </w:rPr>
                    <w:t>3.48</w:t>
                  </w:r>
                  <w:r>
                    <w:rPr>
                      <w:rFonts w:hint="eastAsia"/>
                      <w:szCs w:val="21"/>
                    </w:rPr>
                    <w:t>51</w:t>
                  </w:r>
                </w:p>
              </w:tc>
              <w:tc>
                <w:tcPr>
                  <w:tcW w:w="806" w:type="dxa"/>
                  <w:vAlign w:val="center"/>
                </w:tcPr>
                <w:p w14:paraId="520AC5B8">
                  <w:pPr>
                    <w:jc w:val="center"/>
                    <w:rPr>
                      <w:szCs w:val="21"/>
                    </w:rPr>
                  </w:pPr>
                  <w:r>
                    <w:rPr>
                      <w:rFonts w:hint="eastAsia"/>
                      <w:szCs w:val="21"/>
                    </w:rPr>
                    <w:t>-</w:t>
                  </w:r>
                  <w:r>
                    <w:rPr>
                      <w:szCs w:val="21"/>
                    </w:rPr>
                    <w:t>0</w:t>
                  </w:r>
                  <w:r>
                    <w:rPr>
                      <w:rFonts w:hint="eastAsia"/>
                      <w:szCs w:val="21"/>
                    </w:rPr>
                    <w:t>.0015</w:t>
                  </w:r>
                </w:p>
              </w:tc>
            </w:tr>
          </w:tbl>
          <w:p w14:paraId="520AC5BA">
            <w:pPr>
              <w:adjustRightInd w:val="0"/>
              <w:snapToGrid w:val="0"/>
              <w:spacing w:line="460" w:lineRule="exact"/>
              <w:ind w:firstLine="482" w:firstLineChars="200"/>
              <w:rPr>
                <w:b/>
                <w:sz w:val="24"/>
              </w:rPr>
            </w:pPr>
            <w:r>
              <w:rPr>
                <w:b/>
                <w:sz w:val="24"/>
              </w:rPr>
              <w:t>7</w:t>
            </w:r>
            <w:r>
              <w:rPr>
                <w:rFonts w:hint="eastAsia"/>
                <w:b/>
                <w:sz w:val="24"/>
              </w:rPr>
              <w:t>、监测要求</w:t>
            </w:r>
          </w:p>
          <w:p w14:paraId="520AC5BB">
            <w:pPr>
              <w:adjustRightInd w:val="0"/>
              <w:snapToGrid w:val="0"/>
              <w:spacing w:line="460" w:lineRule="exact"/>
              <w:ind w:firstLine="480" w:firstLineChars="200"/>
              <w:rPr>
                <w:sz w:val="24"/>
              </w:rPr>
            </w:pPr>
            <w:r>
              <w:rPr>
                <w:rFonts w:hint="eastAsia"/>
                <w:sz w:val="24"/>
              </w:rPr>
              <w:t>根据《排污许可证申请与核发技术规范铁路、船舶、航空航天和其他运输设备制造业》（HJ1124-2020）及现有工程排污许可证自行检测要求，评价提出项目在生产运行阶段的污染源监测计划，具体监测计划见下表。</w:t>
            </w:r>
          </w:p>
          <w:p w14:paraId="520AC5BC">
            <w:pPr>
              <w:spacing w:line="460" w:lineRule="exact"/>
              <w:ind w:firstLine="480" w:firstLineChars="200"/>
              <w:jc w:val="left"/>
              <w:rPr>
                <w:rFonts w:eastAsia="黑体"/>
                <w:sz w:val="24"/>
                <w:szCs w:val="22"/>
              </w:rPr>
            </w:pPr>
            <w:r>
              <w:rPr>
                <w:rFonts w:eastAsia="黑体"/>
                <w:sz w:val="24"/>
                <w:szCs w:val="22"/>
              </w:rPr>
              <w:t>表</w:t>
            </w:r>
            <w:r>
              <w:rPr>
                <w:rFonts w:hint="eastAsia" w:eastAsia="黑体"/>
                <w:sz w:val="24"/>
                <w:szCs w:val="22"/>
              </w:rPr>
              <w:t>54</w:t>
            </w:r>
            <w:r>
              <w:rPr>
                <w:rFonts w:eastAsia="黑体"/>
                <w:sz w:val="24"/>
                <w:szCs w:val="22"/>
              </w:rPr>
              <w:t xml:space="preserve">            </w:t>
            </w:r>
            <w:r>
              <w:rPr>
                <w:rFonts w:hint="eastAsia" w:eastAsia="黑体"/>
                <w:sz w:val="24"/>
                <w:szCs w:val="22"/>
              </w:rPr>
              <w:t>污染源</w:t>
            </w:r>
            <w:r>
              <w:rPr>
                <w:rFonts w:eastAsia="黑体"/>
                <w:sz w:val="24"/>
                <w:szCs w:val="22"/>
              </w:rPr>
              <w:t>自行监测</w:t>
            </w:r>
            <w:r>
              <w:rPr>
                <w:rFonts w:hint="eastAsia" w:eastAsia="黑体"/>
                <w:sz w:val="24"/>
                <w:szCs w:val="22"/>
              </w:rPr>
              <w:t>计划表</w:t>
            </w:r>
          </w:p>
          <w:tbl>
            <w:tblPr>
              <w:tblStyle w:val="18"/>
              <w:tblpPr w:leftFromText="180" w:rightFromText="180" w:vertAnchor="text" w:tblpXSpec="center" w:tblpY="1"/>
              <w:tblOverlap w:val="never"/>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85" w:type="dxa"/>
                <w:bottom w:w="0" w:type="dxa"/>
                <w:right w:w="85" w:type="dxa"/>
              </w:tblCellMar>
            </w:tblPr>
            <w:tblGrid>
              <w:gridCol w:w="1418"/>
              <w:gridCol w:w="1134"/>
              <w:gridCol w:w="992"/>
              <w:gridCol w:w="4591"/>
            </w:tblGrid>
            <w:tr w14:paraId="520AC5C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85" w:type="dxa"/>
                  <w:bottom w:w="0" w:type="dxa"/>
                  <w:right w:w="85" w:type="dxa"/>
                </w:tblCellMar>
              </w:tblPrEx>
              <w:trPr>
                <w:trHeight w:val="397" w:hRule="atLeast"/>
              </w:trPr>
              <w:tc>
                <w:tcPr>
                  <w:tcW w:w="1418" w:type="dxa"/>
                  <w:tcMar>
                    <w:top w:w="0" w:type="dxa"/>
                    <w:left w:w="28" w:type="dxa"/>
                    <w:bottom w:w="0" w:type="dxa"/>
                    <w:right w:w="28" w:type="dxa"/>
                  </w:tcMar>
                  <w:vAlign w:val="center"/>
                </w:tcPr>
                <w:p w14:paraId="520AC5BD">
                  <w:pPr>
                    <w:autoSpaceDE w:val="0"/>
                    <w:autoSpaceDN w:val="0"/>
                    <w:adjustRightInd w:val="0"/>
                    <w:snapToGrid w:val="0"/>
                    <w:jc w:val="center"/>
                    <w:rPr>
                      <w:b/>
                      <w:bCs/>
                      <w:kern w:val="0"/>
                      <w:szCs w:val="21"/>
                    </w:rPr>
                  </w:pPr>
                  <w:r>
                    <w:rPr>
                      <w:b/>
                      <w:bCs/>
                      <w:kern w:val="0"/>
                      <w:szCs w:val="21"/>
                    </w:rPr>
                    <w:t>监测指标</w:t>
                  </w:r>
                </w:p>
              </w:tc>
              <w:tc>
                <w:tcPr>
                  <w:tcW w:w="1134" w:type="dxa"/>
                  <w:tcMar>
                    <w:top w:w="0" w:type="dxa"/>
                    <w:left w:w="28" w:type="dxa"/>
                    <w:bottom w:w="0" w:type="dxa"/>
                    <w:right w:w="28" w:type="dxa"/>
                  </w:tcMar>
                  <w:vAlign w:val="center"/>
                </w:tcPr>
                <w:p w14:paraId="520AC5BE">
                  <w:pPr>
                    <w:autoSpaceDE w:val="0"/>
                    <w:autoSpaceDN w:val="0"/>
                    <w:adjustRightInd w:val="0"/>
                    <w:snapToGrid w:val="0"/>
                    <w:jc w:val="center"/>
                    <w:rPr>
                      <w:b/>
                      <w:bCs/>
                      <w:kern w:val="0"/>
                      <w:szCs w:val="21"/>
                    </w:rPr>
                  </w:pPr>
                  <w:r>
                    <w:rPr>
                      <w:b/>
                      <w:bCs/>
                      <w:kern w:val="0"/>
                      <w:szCs w:val="21"/>
                    </w:rPr>
                    <w:t>监测点位</w:t>
                  </w:r>
                </w:p>
              </w:tc>
              <w:tc>
                <w:tcPr>
                  <w:tcW w:w="992" w:type="dxa"/>
                  <w:tcMar>
                    <w:top w:w="0" w:type="dxa"/>
                    <w:left w:w="28" w:type="dxa"/>
                    <w:bottom w:w="0" w:type="dxa"/>
                    <w:right w:w="28" w:type="dxa"/>
                  </w:tcMar>
                  <w:vAlign w:val="center"/>
                </w:tcPr>
                <w:p w14:paraId="520AC5BF">
                  <w:pPr>
                    <w:autoSpaceDE w:val="0"/>
                    <w:autoSpaceDN w:val="0"/>
                    <w:adjustRightInd w:val="0"/>
                    <w:snapToGrid w:val="0"/>
                    <w:jc w:val="center"/>
                    <w:rPr>
                      <w:b/>
                      <w:bCs/>
                      <w:kern w:val="0"/>
                      <w:szCs w:val="21"/>
                    </w:rPr>
                  </w:pPr>
                  <w:r>
                    <w:rPr>
                      <w:b/>
                      <w:bCs/>
                      <w:kern w:val="0"/>
                      <w:szCs w:val="21"/>
                    </w:rPr>
                    <w:t>监测频次</w:t>
                  </w:r>
                </w:p>
              </w:tc>
              <w:tc>
                <w:tcPr>
                  <w:tcW w:w="4591" w:type="dxa"/>
                  <w:tcMar>
                    <w:top w:w="0" w:type="dxa"/>
                    <w:left w:w="28" w:type="dxa"/>
                    <w:bottom w:w="0" w:type="dxa"/>
                    <w:right w:w="28" w:type="dxa"/>
                  </w:tcMar>
                  <w:vAlign w:val="center"/>
                </w:tcPr>
                <w:p w14:paraId="520AC5C0">
                  <w:pPr>
                    <w:autoSpaceDE w:val="0"/>
                    <w:autoSpaceDN w:val="0"/>
                    <w:adjustRightInd w:val="0"/>
                    <w:snapToGrid w:val="0"/>
                    <w:jc w:val="center"/>
                    <w:rPr>
                      <w:b/>
                      <w:bCs/>
                      <w:kern w:val="0"/>
                      <w:szCs w:val="21"/>
                    </w:rPr>
                  </w:pPr>
                  <w:r>
                    <w:rPr>
                      <w:b/>
                      <w:bCs/>
                      <w:kern w:val="0"/>
                      <w:szCs w:val="21"/>
                    </w:rPr>
                    <w:t>执行排放标准</w:t>
                  </w:r>
                </w:p>
              </w:tc>
            </w:tr>
            <w:tr w14:paraId="520AC5C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85" w:type="dxa"/>
                  <w:bottom w:w="0" w:type="dxa"/>
                  <w:right w:w="85" w:type="dxa"/>
                </w:tblCellMar>
              </w:tblPrEx>
              <w:trPr>
                <w:trHeight w:val="397" w:hRule="atLeast"/>
              </w:trPr>
              <w:tc>
                <w:tcPr>
                  <w:tcW w:w="1418" w:type="dxa"/>
                  <w:tcMar>
                    <w:top w:w="0" w:type="dxa"/>
                    <w:left w:w="28" w:type="dxa"/>
                    <w:bottom w:w="0" w:type="dxa"/>
                    <w:right w:w="28" w:type="dxa"/>
                  </w:tcMar>
                  <w:vAlign w:val="center"/>
                </w:tcPr>
                <w:p w14:paraId="520AC5C2">
                  <w:pPr>
                    <w:pStyle w:val="41"/>
                    <w:rPr>
                      <w:lang w:val="en-US"/>
                    </w:rPr>
                  </w:pPr>
                  <w:r>
                    <w:rPr>
                      <w:rFonts w:hint="eastAsia"/>
                    </w:rPr>
                    <w:t>流量、</w:t>
                  </w:r>
                  <w:r>
                    <w:rPr>
                      <w:rFonts w:hint="eastAsia"/>
                      <w:lang w:val="en-US"/>
                    </w:rPr>
                    <w:t>pH</w:t>
                  </w:r>
                  <w:r>
                    <w:rPr>
                      <w:rFonts w:hint="eastAsia"/>
                    </w:rPr>
                    <w:t>、</w:t>
                  </w:r>
                  <w:r>
                    <w:rPr>
                      <w:lang w:val="en-US"/>
                    </w:rPr>
                    <w:t xml:space="preserve">COD </w:t>
                  </w:r>
                  <w:r>
                    <w:rPr>
                      <w:rFonts w:hint="eastAsia"/>
                    </w:rPr>
                    <w:t>、</w:t>
                  </w:r>
                  <w:r>
                    <w:rPr>
                      <w:lang w:val="en-US"/>
                    </w:rPr>
                    <w:t>NH</w:t>
                  </w:r>
                  <w:r>
                    <w:rPr>
                      <w:vertAlign w:val="subscript"/>
                      <w:lang w:val="en-US"/>
                    </w:rPr>
                    <w:t>3</w:t>
                  </w:r>
                  <w:r>
                    <w:rPr>
                      <w:lang w:val="en-US"/>
                    </w:rPr>
                    <w:t>-N</w:t>
                  </w:r>
                  <w:r>
                    <w:rPr>
                      <w:rFonts w:hint="eastAsia"/>
                      <w:lang w:val="en-US"/>
                    </w:rPr>
                    <w:t>、TP、TN</w:t>
                  </w:r>
                </w:p>
              </w:tc>
              <w:tc>
                <w:tcPr>
                  <w:tcW w:w="1134" w:type="dxa"/>
                  <w:vMerge w:val="restart"/>
                  <w:tcMar>
                    <w:top w:w="0" w:type="dxa"/>
                    <w:left w:w="28" w:type="dxa"/>
                    <w:bottom w:w="0" w:type="dxa"/>
                    <w:right w:w="28" w:type="dxa"/>
                  </w:tcMar>
                  <w:vAlign w:val="center"/>
                </w:tcPr>
                <w:p w14:paraId="520AC5C3">
                  <w:pPr>
                    <w:autoSpaceDE w:val="0"/>
                    <w:autoSpaceDN w:val="0"/>
                    <w:jc w:val="center"/>
                  </w:pPr>
                  <w:r>
                    <w:rPr>
                      <w:rFonts w:hint="eastAsia"/>
                    </w:rPr>
                    <w:t>厂区总排口</w:t>
                  </w:r>
                </w:p>
              </w:tc>
              <w:tc>
                <w:tcPr>
                  <w:tcW w:w="992" w:type="dxa"/>
                  <w:tcMar>
                    <w:top w:w="0" w:type="dxa"/>
                    <w:left w:w="28" w:type="dxa"/>
                    <w:bottom w:w="0" w:type="dxa"/>
                    <w:right w:w="28" w:type="dxa"/>
                  </w:tcMar>
                  <w:vAlign w:val="center"/>
                </w:tcPr>
                <w:p w14:paraId="520AC5C4">
                  <w:pPr>
                    <w:pStyle w:val="41"/>
                  </w:pPr>
                  <w:r>
                    <w:t>自动监测</w:t>
                  </w:r>
                </w:p>
              </w:tc>
              <w:tc>
                <w:tcPr>
                  <w:tcW w:w="4591" w:type="dxa"/>
                  <w:vMerge w:val="restart"/>
                  <w:tcMar>
                    <w:top w:w="0" w:type="dxa"/>
                    <w:left w:w="28" w:type="dxa"/>
                    <w:bottom w:w="0" w:type="dxa"/>
                    <w:right w:w="28" w:type="dxa"/>
                  </w:tcMar>
                  <w:vAlign w:val="center"/>
                </w:tcPr>
                <w:p w14:paraId="520AC5C5">
                  <w:pPr>
                    <w:autoSpaceDE w:val="0"/>
                    <w:autoSpaceDN w:val="0"/>
                    <w:adjustRightInd w:val="0"/>
                    <w:snapToGrid w:val="0"/>
                    <w:jc w:val="center"/>
                    <w:rPr>
                      <w:szCs w:val="21"/>
                    </w:rPr>
                  </w:pPr>
                  <w:r>
                    <w:rPr>
                      <w:rFonts w:hint="eastAsia"/>
                    </w:rPr>
                    <w:t>小尚庄污水处理厂pH</w:t>
                  </w:r>
                  <w:r>
                    <w:t xml:space="preserve"> </w:t>
                  </w:r>
                  <w:r>
                    <w:rPr>
                      <w:rFonts w:hint="eastAsia"/>
                    </w:rPr>
                    <w:t>6~9、COD 350mg/L、SS 250mg/L、NH</w:t>
                  </w:r>
                  <w:r>
                    <w:rPr>
                      <w:rFonts w:hint="eastAsia"/>
                      <w:vertAlign w:val="subscript"/>
                    </w:rPr>
                    <w:t>3</w:t>
                  </w:r>
                  <w:r>
                    <w:rPr>
                      <w:rFonts w:hint="eastAsia"/>
                    </w:rPr>
                    <w:t>-N 30mg/L、TP 3mg/L、TN 40mg/L的收水标准要求和《污水综合排放标准》（GB8978-1996）表4二级pH</w:t>
                  </w:r>
                  <w:r>
                    <w:t xml:space="preserve"> </w:t>
                  </w:r>
                  <w:r>
                    <w:rPr>
                      <w:rFonts w:hint="eastAsia"/>
                    </w:rPr>
                    <w:t>6~9、COD</w:t>
                  </w:r>
                  <w:r>
                    <w:t xml:space="preserve"> </w:t>
                  </w:r>
                  <w:r>
                    <w:rPr>
                      <w:rFonts w:hint="eastAsia"/>
                    </w:rPr>
                    <w:t>150mg/L、SS</w:t>
                  </w:r>
                  <w:r>
                    <w:t xml:space="preserve"> </w:t>
                  </w:r>
                  <w:r>
                    <w:rPr>
                      <w:rFonts w:hint="eastAsia"/>
                    </w:rPr>
                    <w:t>150mg/L、NH</w:t>
                  </w:r>
                  <w:r>
                    <w:rPr>
                      <w:rFonts w:hint="eastAsia"/>
                      <w:vertAlign w:val="subscript"/>
                    </w:rPr>
                    <w:t>3</w:t>
                  </w:r>
                  <w:r>
                    <w:rPr>
                      <w:rFonts w:hint="eastAsia"/>
                    </w:rPr>
                    <w:t>-N</w:t>
                  </w:r>
                  <w:r>
                    <w:t xml:space="preserve"> </w:t>
                  </w:r>
                  <w:r>
                    <w:rPr>
                      <w:rFonts w:hint="eastAsia"/>
                    </w:rPr>
                    <w:t>25mg/L、TP</w:t>
                  </w:r>
                  <w:r>
                    <w:t xml:space="preserve"> </w:t>
                  </w:r>
                  <w:r>
                    <w:rPr>
                      <w:rFonts w:hint="eastAsia"/>
                    </w:rPr>
                    <w:t>1.0mg/L的排放标准要求</w:t>
                  </w:r>
                </w:p>
              </w:tc>
            </w:tr>
            <w:tr w14:paraId="520AC5C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85" w:type="dxa"/>
                  <w:bottom w:w="0" w:type="dxa"/>
                  <w:right w:w="85" w:type="dxa"/>
                </w:tblCellMar>
              </w:tblPrEx>
              <w:trPr>
                <w:trHeight w:val="397" w:hRule="atLeast"/>
              </w:trPr>
              <w:tc>
                <w:tcPr>
                  <w:tcW w:w="1418" w:type="dxa"/>
                  <w:tcMar>
                    <w:top w:w="0" w:type="dxa"/>
                    <w:left w:w="28" w:type="dxa"/>
                    <w:bottom w:w="0" w:type="dxa"/>
                    <w:right w:w="28" w:type="dxa"/>
                  </w:tcMar>
                  <w:vAlign w:val="center"/>
                </w:tcPr>
                <w:p w14:paraId="520AC5C7">
                  <w:pPr>
                    <w:pStyle w:val="41"/>
                    <w:rPr>
                      <w:highlight w:val="yellow"/>
                    </w:rPr>
                  </w:pPr>
                  <w:r>
                    <w:rPr>
                      <w:rFonts w:hint="eastAsia"/>
                      <w:kern w:val="2"/>
                    </w:rPr>
                    <w:t>悬浮物</w:t>
                  </w:r>
                </w:p>
              </w:tc>
              <w:tc>
                <w:tcPr>
                  <w:tcW w:w="1134" w:type="dxa"/>
                  <w:vMerge w:val="continue"/>
                  <w:tcMar>
                    <w:top w:w="0" w:type="dxa"/>
                    <w:left w:w="28" w:type="dxa"/>
                    <w:bottom w:w="0" w:type="dxa"/>
                    <w:right w:w="28" w:type="dxa"/>
                  </w:tcMar>
                  <w:vAlign w:val="center"/>
                </w:tcPr>
                <w:p w14:paraId="520AC5C8">
                  <w:pPr>
                    <w:autoSpaceDE w:val="0"/>
                    <w:autoSpaceDN w:val="0"/>
                    <w:jc w:val="center"/>
                    <w:rPr>
                      <w:szCs w:val="21"/>
                      <w:highlight w:val="yellow"/>
                    </w:rPr>
                  </w:pPr>
                </w:p>
              </w:tc>
              <w:tc>
                <w:tcPr>
                  <w:tcW w:w="992" w:type="dxa"/>
                  <w:tcMar>
                    <w:top w:w="0" w:type="dxa"/>
                    <w:left w:w="28" w:type="dxa"/>
                    <w:bottom w:w="0" w:type="dxa"/>
                    <w:right w:w="28" w:type="dxa"/>
                  </w:tcMar>
                  <w:vAlign w:val="center"/>
                </w:tcPr>
                <w:p w14:paraId="520AC5C9">
                  <w:pPr>
                    <w:pStyle w:val="41"/>
                    <w:rPr>
                      <w:kern w:val="2"/>
                      <w:highlight w:val="yellow"/>
                    </w:rPr>
                  </w:pPr>
                  <w:r>
                    <w:t>1</w:t>
                  </w:r>
                  <w:r>
                    <w:rPr>
                      <w:rFonts w:hint="eastAsia"/>
                    </w:rPr>
                    <w:t>次</w:t>
                  </w:r>
                  <w:r>
                    <w:t>/</w:t>
                  </w:r>
                  <w:r>
                    <w:rPr>
                      <w:rFonts w:hint="eastAsia"/>
                    </w:rPr>
                    <w:t>月</w:t>
                  </w:r>
                </w:p>
              </w:tc>
              <w:tc>
                <w:tcPr>
                  <w:tcW w:w="4591" w:type="dxa"/>
                  <w:vMerge w:val="continue"/>
                  <w:tcMar>
                    <w:top w:w="0" w:type="dxa"/>
                    <w:left w:w="28" w:type="dxa"/>
                    <w:bottom w:w="0" w:type="dxa"/>
                    <w:right w:w="28" w:type="dxa"/>
                  </w:tcMar>
                  <w:vAlign w:val="center"/>
                </w:tcPr>
                <w:p w14:paraId="520AC5CA">
                  <w:pPr>
                    <w:autoSpaceDE w:val="0"/>
                    <w:autoSpaceDN w:val="0"/>
                    <w:adjustRightInd w:val="0"/>
                    <w:snapToGrid w:val="0"/>
                    <w:jc w:val="center"/>
                    <w:rPr>
                      <w:szCs w:val="21"/>
                      <w:highlight w:val="yellow"/>
                    </w:rPr>
                  </w:pPr>
                </w:p>
              </w:tc>
            </w:tr>
            <w:tr w14:paraId="370B513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85" w:type="dxa"/>
                  <w:bottom w:w="0" w:type="dxa"/>
                  <w:right w:w="85" w:type="dxa"/>
                </w:tblCellMar>
              </w:tblPrEx>
              <w:trPr>
                <w:trHeight w:val="397" w:hRule="atLeast"/>
              </w:trPr>
              <w:tc>
                <w:tcPr>
                  <w:tcW w:w="1418" w:type="dxa"/>
                  <w:tcMar>
                    <w:top w:w="0" w:type="dxa"/>
                    <w:left w:w="28" w:type="dxa"/>
                    <w:bottom w:w="0" w:type="dxa"/>
                    <w:right w:w="28" w:type="dxa"/>
                  </w:tcMar>
                  <w:vAlign w:val="center"/>
                </w:tcPr>
                <w:p w14:paraId="04255498">
                  <w:pPr>
                    <w:pStyle w:val="41"/>
                    <w:rPr>
                      <w:kern w:val="2"/>
                    </w:rPr>
                  </w:pPr>
                  <w:r>
                    <w:rPr>
                      <w:rFonts w:hint="eastAsia"/>
                      <w:kern w:val="2"/>
                    </w:rPr>
                    <w:t>石油类</w:t>
                  </w:r>
                </w:p>
              </w:tc>
              <w:tc>
                <w:tcPr>
                  <w:tcW w:w="1134" w:type="dxa"/>
                  <w:vMerge w:val="continue"/>
                  <w:tcMar>
                    <w:top w:w="0" w:type="dxa"/>
                    <w:left w:w="28" w:type="dxa"/>
                    <w:bottom w:w="0" w:type="dxa"/>
                    <w:right w:w="28" w:type="dxa"/>
                  </w:tcMar>
                  <w:vAlign w:val="center"/>
                </w:tcPr>
                <w:p w14:paraId="272AFD46">
                  <w:pPr>
                    <w:autoSpaceDE w:val="0"/>
                    <w:autoSpaceDN w:val="0"/>
                    <w:jc w:val="center"/>
                    <w:rPr>
                      <w:szCs w:val="21"/>
                      <w:highlight w:val="yellow"/>
                    </w:rPr>
                  </w:pPr>
                </w:p>
              </w:tc>
              <w:tc>
                <w:tcPr>
                  <w:tcW w:w="992" w:type="dxa"/>
                  <w:tcMar>
                    <w:top w:w="0" w:type="dxa"/>
                    <w:left w:w="28" w:type="dxa"/>
                    <w:bottom w:w="0" w:type="dxa"/>
                    <w:right w:w="28" w:type="dxa"/>
                  </w:tcMar>
                  <w:vAlign w:val="center"/>
                </w:tcPr>
                <w:p w14:paraId="374326CB">
                  <w:pPr>
                    <w:pStyle w:val="41"/>
                  </w:pPr>
                  <w:r>
                    <w:t>1</w:t>
                  </w:r>
                  <w:r>
                    <w:rPr>
                      <w:rFonts w:hint="eastAsia"/>
                    </w:rPr>
                    <w:t>次</w:t>
                  </w:r>
                  <w:r>
                    <w:t>/</w:t>
                  </w:r>
                  <w:r>
                    <w:rPr>
                      <w:rFonts w:hint="eastAsia"/>
                    </w:rPr>
                    <w:t>月</w:t>
                  </w:r>
                </w:p>
              </w:tc>
              <w:tc>
                <w:tcPr>
                  <w:tcW w:w="4591" w:type="dxa"/>
                  <w:vMerge w:val="restart"/>
                  <w:tcMar>
                    <w:top w:w="0" w:type="dxa"/>
                    <w:left w:w="28" w:type="dxa"/>
                    <w:bottom w:w="0" w:type="dxa"/>
                    <w:right w:w="28" w:type="dxa"/>
                  </w:tcMar>
                  <w:vAlign w:val="center"/>
                </w:tcPr>
                <w:p w14:paraId="263414B6">
                  <w:pPr>
                    <w:autoSpaceDE w:val="0"/>
                    <w:autoSpaceDN w:val="0"/>
                    <w:adjustRightInd w:val="0"/>
                    <w:snapToGrid w:val="0"/>
                    <w:jc w:val="center"/>
                    <w:rPr>
                      <w:szCs w:val="21"/>
                      <w:highlight w:val="yellow"/>
                    </w:rPr>
                  </w:pPr>
                  <w:r>
                    <w:rPr>
                      <w:rFonts w:hint="eastAsia"/>
                      <w:szCs w:val="21"/>
                    </w:rPr>
                    <w:t>《电镀污染物排放标准》（GB21900-2008）表2企业废水总排放口石油类3.0mg/L、</w:t>
                  </w:r>
                  <w:r>
                    <w:rPr>
                      <w:bCs/>
                      <w:szCs w:val="21"/>
                    </w:rPr>
                    <w:t>总铜</w:t>
                  </w:r>
                  <w:r>
                    <w:rPr>
                      <w:rFonts w:hint="eastAsia"/>
                      <w:bCs/>
                      <w:szCs w:val="21"/>
                    </w:rPr>
                    <w:t>0.5</w:t>
                  </w:r>
                  <w:r>
                    <w:rPr>
                      <w:bCs/>
                      <w:szCs w:val="21"/>
                    </w:rPr>
                    <w:t>mg/L、总锌</w:t>
                  </w:r>
                  <w:r>
                    <w:rPr>
                      <w:rFonts w:hint="eastAsia"/>
                      <w:bCs/>
                      <w:szCs w:val="21"/>
                    </w:rPr>
                    <w:t>1.5</w:t>
                  </w:r>
                  <w:r>
                    <w:rPr>
                      <w:bCs/>
                      <w:szCs w:val="21"/>
                    </w:rPr>
                    <w:t>mg/L、总氰化物</w:t>
                  </w:r>
                  <w:r>
                    <w:rPr>
                      <w:rFonts w:hint="eastAsia"/>
                      <w:bCs/>
                      <w:szCs w:val="21"/>
                    </w:rPr>
                    <w:t>0.3</w:t>
                  </w:r>
                  <w:r>
                    <w:rPr>
                      <w:bCs/>
                      <w:szCs w:val="21"/>
                    </w:rPr>
                    <w:t>mg/L</w:t>
                  </w:r>
                  <w:r>
                    <w:rPr>
                      <w:rFonts w:hint="eastAsia"/>
                      <w:szCs w:val="21"/>
                    </w:rPr>
                    <w:t>的限值要求</w:t>
                  </w:r>
                </w:p>
              </w:tc>
            </w:tr>
            <w:tr w14:paraId="0EE0A75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85" w:type="dxa"/>
                  <w:bottom w:w="0" w:type="dxa"/>
                  <w:right w:w="85" w:type="dxa"/>
                </w:tblCellMar>
              </w:tblPrEx>
              <w:trPr>
                <w:trHeight w:val="397" w:hRule="atLeast"/>
              </w:trPr>
              <w:tc>
                <w:tcPr>
                  <w:tcW w:w="1418" w:type="dxa"/>
                  <w:tcMar>
                    <w:top w:w="0" w:type="dxa"/>
                    <w:left w:w="28" w:type="dxa"/>
                    <w:bottom w:w="0" w:type="dxa"/>
                    <w:right w:w="28" w:type="dxa"/>
                  </w:tcMar>
                  <w:vAlign w:val="center"/>
                </w:tcPr>
                <w:p w14:paraId="6771B9ED">
                  <w:pPr>
                    <w:pStyle w:val="41"/>
                    <w:rPr>
                      <w:kern w:val="2"/>
                    </w:rPr>
                  </w:pPr>
                  <w:r>
                    <w:rPr>
                      <w:bCs/>
                      <w:kern w:val="2"/>
                      <w:lang w:val="en-US"/>
                    </w:rPr>
                    <w:t>总铜、总锌、总氰化物</w:t>
                  </w:r>
                </w:p>
              </w:tc>
              <w:tc>
                <w:tcPr>
                  <w:tcW w:w="1134" w:type="dxa"/>
                  <w:vMerge w:val="continue"/>
                  <w:tcMar>
                    <w:top w:w="0" w:type="dxa"/>
                    <w:left w:w="28" w:type="dxa"/>
                    <w:bottom w:w="0" w:type="dxa"/>
                    <w:right w:w="28" w:type="dxa"/>
                  </w:tcMar>
                  <w:vAlign w:val="center"/>
                </w:tcPr>
                <w:p w14:paraId="10F6AF6A">
                  <w:pPr>
                    <w:autoSpaceDE w:val="0"/>
                    <w:autoSpaceDN w:val="0"/>
                    <w:jc w:val="center"/>
                    <w:rPr>
                      <w:szCs w:val="21"/>
                      <w:highlight w:val="yellow"/>
                    </w:rPr>
                  </w:pPr>
                </w:p>
              </w:tc>
              <w:tc>
                <w:tcPr>
                  <w:tcW w:w="992" w:type="dxa"/>
                  <w:tcMar>
                    <w:top w:w="0" w:type="dxa"/>
                    <w:left w:w="28" w:type="dxa"/>
                    <w:bottom w:w="0" w:type="dxa"/>
                    <w:right w:w="28" w:type="dxa"/>
                  </w:tcMar>
                  <w:vAlign w:val="center"/>
                </w:tcPr>
                <w:p w14:paraId="62B421B7">
                  <w:pPr>
                    <w:pStyle w:val="41"/>
                  </w:pPr>
                  <w:r>
                    <w:t>1</w:t>
                  </w:r>
                  <w:r>
                    <w:rPr>
                      <w:rFonts w:hint="eastAsia"/>
                    </w:rPr>
                    <w:t>次</w:t>
                  </w:r>
                  <w:r>
                    <w:t>/</w:t>
                  </w:r>
                  <w:r>
                    <w:rPr>
                      <w:rFonts w:hint="eastAsia"/>
                    </w:rPr>
                    <w:t>日</w:t>
                  </w:r>
                </w:p>
              </w:tc>
              <w:tc>
                <w:tcPr>
                  <w:tcW w:w="4591" w:type="dxa"/>
                  <w:vMerge w:val="continue"/>
                  <w:tcMar>
                    <w:top w:w="0" w:type="dxa"/>
                    <w:left w:w="28" w:type="dxa"/>
                    <w:bottom w:w="0" w:type="dxa"/>
                    <w:right w:w="28" w:type="dxa"/>
                  </w:tcMar>
                  <w:vAlign w:val="center"/>
                </w:tcPr>
                <w:p w14:paraId="337E49C4">
                  <w:pPr>
                    <w:autoSpaceDE w:val="0"/>
                    <w:autoSpaceDN w:val="0"/>
                    <w:adjustRightInd w:val="0"/>
                    <w:snapToGrid w:val="0"/>
                    <w:jc w:val="center"/>
                    <w:rPr>
                      <w:szCs w:val="21"/>
                    </w:rPr>
                  </w:pPr>
                </w:p>
              </w:tc>
            </w:tr>
          </w:tbl>
          <w:p w14:paraId="520AC5CC">
            <w:pPr>
              <w:adjustRightInd w:val="0"/>
              <w:snapToGrid w:val="0"/>
              <w:spacing w:line="460" w:lineRule="exact"/>
              <w:ind w:firstLine="482" w:firstLineChars="200"/>
              <w:rPr>
                <w:b/>
                <w:sz w:val="24"/>
              </w:rPr>
            </w:pPr>
            <w:r>
              <w:rPr>
                <w:b/>
                <w:sz w:val="24"/>
              </w:rPr>
              <w:t>二、废气</w:t>
            </w:r>
          </w:p>
          <w:p w14:paraId="768DB719">
            <w:pPr>
              <w:adjustRightInd w:val="0"/>
              <w:snapToGrid w:val="0"/>
              <w:spacing w:line="460" w:lineRule="exact"/>
              <w:ind w:firstLine="480" w:firstLineChars="200"/>
              <w:textAlignment w:val="baseline"/>
              <w:rPr>
                <w:bCs/>
                <w:sz w:val="24"/>
              </w:rPr>
            </w:pPr>
            <w:r>
              <w:rPr>
                <w:bCs/>
                <w:sz w:val="24"/>
              </w:rPr>
              <w:t>项目企业</w:t>
            </w:r>
            <w:r>
              <w:rPr>
                <w:rFonts w:hint="eastAsia"/>
                <w:bCs/>
                <w:sz w:val="24"/>
              </w:rPr>
              <w:t>（新航集团）属于</w:t>
            </w:r>
            <w:r>
              <w:rPr>
                <w:bCs/>
                <w:sz w:val="24"/>
              </w:rPr>
              <w:t>军工企业，订单周期一般较短，现有订单加急生产的情况下，现有部分设备无法满足</w:t>
            </w:r>
            <w:r>
              <w:rPr>
                <w:rFonts w:hint="eastAsia"/>
                <w:bCs/>
                <w:sz w:val="24"/>
              </w:rPr>
              <w:t>生产需求</w:t>
            </w:r>
            <w:r>
              <w:rPr>
                <w:bCs/>
                <w:sz w:val="24"/>
              </w:rPr>
              <w:t>，</w:t>
            </w:r>
            <w:r>
              <w:rPr>
                <w:rFonts w:hint="eastAsia"/>
                <w:bCs/>
                <w:sz w:val="24"/>
              </w:rPr>
              <w:t>企业</w:t>
            </w:r>
            <w:r>
              <w:rPr>
                <w:bCs/>
                <w:sz w:val="24"/>
              </w:rPr>
              <w:t>为保质保量</w:t>
            </w:r>
            <w:r>
              <w:rPr>
                <w:rFonts w:hint="eastAsia"/>
                <w:bCs/>
                <w:sz w:val="24"/>
              </w:rPr>
              <w:t>地</w:t>
            </w:r>
            <w:r>
              <w:rPr>
                <w:bCs/>
                <w:sz w:val="24"/>
              </w:rPr>
              <w:t>按时完成任务，拟对</w:t>
            </w:r>
            <w:r>
              <w:rPr>
                <w:rFonts w:hint="eastAsia"/>
                <w:bCs/>
                <w:sz w:val="24"/>
              </w:rPr>
              <w:t>建设路厂区加工中心、检验设备、抛丸</w:t>
            </w:r>
            <w:r>
              <w:rPr>
                <w:bCs/>
                <w:sz w:val="24"/>
              </w:rPr>
              <w:t>设备</w:t>
            </w:r>
            <w:r>
              <w:rPr>
                <w:rFonts w:hint="eastAsia"/>
                <w:bCs/>
                <w:sz w:val="24"/>
              </w:rPr>
              <w:t>、干燥设备</w:t>
            </w:r>
            <w:r>
              <w:rPr>
                <w:bCs/>
                <w:sz w:val="24"/>
              </w:rPr>
              <w:t>进行补充，</w:t>
            </w:r>
            <w:r>
              <w:rPr>
                <w:rFonts w:hint="eastAsia"/>
                <w:bCs/>
                <w:sz w:val="24"/>
              </w:rPr>
              <w:t>对解放路厂区硫化设备、保持工作环境设备进行补充。另外，为了提升产品参数精度，建设路厂区在原有检验设备不变的情况下，增加高精度试验设备。依次进行试验测试，故试验工序污染物产排量相应增加。</w:t>
            </w:r>
          </w:p>
          <w:p w14:paraId="393D4889">
            <w:pPr>
              <w:adjustRightInd w:val="0"/>
              <w:snapToGrid w:val="0"/>
              <w:spacing w:line="460" w:lineRule="exact"/>
              <w:ind w:firstLine="480" w:firstLineChars="200"/>
              <w:textAlignment w:val="baseline"/>
              <w:rPr>
                <w:bCs/>
                <w:sz w:val="24"/>
              </w:rPr>
            </w:pPr>
            <w:r>
              <w:rPr>
                <w:rFonts w:hint="eastAsia"/>
                <w:bCs/>
                <w:sz w:val="24"/>
              </w:rPr>
              <w:t>建设路厂区增加产生废气污染物的设备即抛丸机、解放路厂区增加产生废气污染物的设备即硫化设备均是为了处理加急订单，建成后全厂年加工能力不变，所以原设备年工作时间减少，产生的污染物减少，新增的设备产生的污染物增加，故抛丸工段和硫化工段产生的污染物总排放量不变。</w:t>
            </w:r>
          </w:p>
          <w:p w14:paraId="520AC5CD">
            <w:pPr>
              <w:adjustRightInd w:val="0"/>
              <w:snapToGrid w:val="0"/>
              <w:spacing w:line="460" w:lineRule="exact"/>
              <w:ind w:firstLine="480" w:firstLineChars="200"/>
              <w:textAlignment w:val="baseline"/>
              <w:rPr>
                <w:sz w:val="24"/>
              </w:rPr>
            </w:pPr>
            <w:r>
              <w:rPr>
                <w:rFonts w:hint="eastAsia"/>
                <w:sz w:val="24"/>
              </w:rPr>
              <w:t>本项目废气主要为建设路厂区1205厂房、101厂房油类试验台试验、1206厂房冷却系统试验产生的非甲烷总烃，105厂房产生的抛丸废气。解放路厂区2207厂房产生的硫化废气非甲烷总烃、臭气浓度和硫化氢。</w:t>
            </w:r>
          </w:p>
          <w:p w14:paraId="520AC5CE">
            <w:pPr>
              <w:adjustRightInd w:val="0"/>
              <w:snapToGrid w:val="0"/>
              <w:spacing w:line="460" w:lineRule="exact"/>
              <w:ind w:firstLine="482" w:firstLineChars="200"/>
              <w:rPr>
                <w:b/>
                <w:sz w:val="24"/>
              </w:rPr>
            </w:pPr>
            <w:r>
              <w:rPr>
                <w:b/>
                <w:sz w:val="24"/>
              </w:rPr>
              <w:t>1、有组织废气</w:t>
            </w:r>
          </w:p>
          <w:p w14:paraId="2F77BBEE">
            <w:pPr>
              <w:adjustRightInd w:val="0"/>
              <w:snapToGrid w:val="0"/>
              <w:spacing w:line="460" w:lineRule="exact"/>
              <w:ind w:firstLine="482" w:firstLineChars="200"/>
              <w:textAlignment w:val="baseline"/>
              <w:rPr>
                <w:b/>
                <w:bCs/>
                <w:sz w:val="24"/>
              </w:rPr>
            </w:pPr>
            <w:r>
              <w:rPr>
                <w:rFonts w:hint="eastAsia"/>
                <w:b/>
                <w:bCs/>
                <w:sz w:val="24"/>
              </w:rPr>
              <w:t>（1）建设路厂区</w:t>
            </w:r>
          </w:p>
          <w:p w14:paraId="51AE638D">
            <w:pPr>
              <w:adjustRightInd w:val="0"/>
              <w:snapToGrid w:val="0"/>
              <w:spacing w:line="460" w:lineRule="exact"/>
              <w:ind w:firstLine="482" w:firstLineChars="200"/>
              <w:textAlignment w:val="baseline"/>
              <w:rPr>
                <w:b/>
                <w:bCs/>
                <w:sz w:val="24"/>
              </w:rPr>
            </w:pPr>
            <w:r>
              <w:rPr>
                <w:rFonts w:hint="eastAsia"/>
                <w:b/>
                <w:bCs/>
                <w:sz w:val="24"/>
              </w:rPr>
              <w:t>①试验废气</w:t>
            </w:r>
          </w:p>
          <w:p w14:paraId="520AC5CF">
            <w:pPr>
              <w:adjustRightInd w:val="0"/>
              <w:snapToGrid w:val="0"/>
              <w:spacing w:line="460" w:lineRule="exact"/>
              <w:ind w:firstLine="482" w:firstLineChars="200"/>
              <w:textAlignment w:val="baseline"/>
              <w:rPr>
                <w:b/>
                <w:bCs/>
                <w:sz w:val="24"/>
              </w:rPr>
            </w:pPr>
            <w:r>
              <w:rPr>
                <w:rFonts w:hint="eastAsia"/>
                <w:b/>
                <w:bCs/>
                <w:sz w:val="24"/>
              </w:rPr>
              <w:t>I）废气产生情况</w:t>
            </w:r>
          </w:p>
          <w:p w14:paraId="520AC5D0">
            <w:pPr>
              <w:adjustRightInd w:val="0"/>
              <w:snapToGrid w:val="0"/>
              <w:spacing w:line="460" w:lineRule="exact"/>
              <w:ind w:firstLine="480" w:firstLineChars="200"/>
              <w:textAlignment w:val="baseline"/>
              <w:rPr>
                <w:sz w:val="24"/>
              </w:rPr>
            </w:pPr>
            <w:r>
              <w:rPr>
                <w:rFonts w:hint="eastAsia"/>
                <w:sz w:val="24"/>
              </w:rPr>
              <w:t>本项目新增试验台类设备，其中滑油冲洗试验台采用滑油作为试验介质，液压高低压冲击试验台采用15#</w:t>
            </w:r>
            <w:r>
              <w:rPr>
                <w:sz w:val="24"/>
              </w:rPr>
              <w:t>航空液压油</w:t>
            </w:r>
            <w:r>
              <w:rPr>
                <w:rFonts w:hint="eastAsia"/>
                <w:sz w:val="24"/>
              </w:rPr>
              <w:t>作为试验介质、</w:t>
            </w:r>
            <w:r>
              <w:rPr>
                <w:sz w:val="24"/>
              </w:rPr>
              <w:t>液体冷却子系统试验台</w:t>
            </w:r>
            <w:r>
              <w:rPr>
                <w:rFonts w:hint="eastAsia"/>
                <w:sz w:val="24"/>
              </w:rPr>
              <w:t>采用乙二醇作为试验介质。</w:t>
            </w:r>
            <w:r>
              <w:rPr>
                <w:rFonts w:hint="eastAsia"/>
                <w:bCs/>
                <w:sz w:val="24"/>
                <w:szCs w:val="21"/>
              </w:rPr>
              <w:t>滑油、液压油</w:t>
            </w:r>
            <w:r>
              <w:rPr>
                <w:rFonts w:hint="eastAsia"/>
                <w:sz w:val="24"/>
              </w:rPr>
              <w:t>在非取用状态时在油库密闭储存，使用时</w:t>
            </w:r>
            <w:r>
              <w:rPr>
                <w:rFonts w:hint="eastAsia"/>
                <w:bCs/>
                <w:sz w:val="24"/>
                <w:szCs w:val="21"/>
              </w:rPr>
              <w:t>由设备自带加油泵输送至</w:t>
            </w:r>
            <w:r>
              <w:rPr>
                <w:rFonts w:hint="eastAsia"/>
                <w:sz w:val="24"/>
              </w:rPr>
              <w:t>试验台油箱内，通过管道输送至试验台系统内，试验过程油箱及各管路均为封闭状态，试验介质在系统内循环流动，需定期更换，此过程油类物质挥发会产生少量有机废气，以非甲烷总烃计。乙二醇不在厂区内储存，向系统中补充时由厂家通过管道输送至试验台系统内。</w:t>
            </w:r>
          </w:p>
          <w:p w14:paraId="520AC5D1">
            <w:pPr>
              <w:adjustRightInd w:val="0"/>
              <w:snapToGrid w:val="0"/>
              <w:spacing w:line="460" w:lineRule="exact"/>
              <w:ind w:firstLine="480" w:firstLineChars="200"/>
              <w:rPr>
                <w:sz w:val="24"/>
              </w:rPr>
            </w:pPr>
            <w:r>
              <w:rPr>
                <w:rFonts w:hint="eastAsia"/>
                <w:sz w:val="24"/>
              </w:rPr>
              <w:t>本项目新增滑油冲洗试验台位于1205#厂房，液压高低压冲击试验台位于101#厂房，</w:t>
            </w:r>
            <w:r>
              <w:rPr>
                <w:sz w:val="24"/>
              </w:rPr>
              <w:t>液体冷却子系统试验台</w:t>
            </w:r>
            <w:r>
              <w:rPr>
                <w:rFonts w:hint="eastAsia"/>
                <w:sz w:val="24"/>
              </w:rPr>
              <w:t>位于1206#厂房，试验设备根据产品批次种类进行试验。滑油冲洗试验台使用试验介质为滑油，年用量为0.5t/a。</w:t>
            </w:r>
            <w:r>
              <w:rPr>
                <w:sz w:val="24"/>
              </w:rPr>
              <w:t>液压高低压冲击试验台</w:t>
            </w:r>
            <w:r>
              <w:rPr>
                <w:rFonts w:hint="eastAsia"/>
                <w:sz w:val="24"/>
              </w:rPr>
              <w:t>使用试验介质为液压油，年用量为0.08t/a。</w:t>
            </w:r>
            <w:r>
              <w:rPr>
                <w:sz w:val="24"/>
              </w:rPr>
              <w:t>液体冷却子系统试验台</w:t>
            </w:r>
            <w:r>
              <w:rPr>
                <w:rFonts w:hint="eastAsia"/>
                <w:sz w:val="24"/>
              </w:rPr>
              <w:t>使用试验介质为乙二醇，年用量为0.2226t/a。</w:t>
            </w:r>
          </w:p>
          <w:p w14:paraId="520AC5D2">
            <w:pPr>
              <w:adjustRightInd w:val="0"/>
              <w:snapToGrid w:val="0"/>
              <w:spacing w:line="460" w:lineRule="exact"/>
              <w:ind w:firstLine="480" w:firstLineChars="200"/>
              <w:rPr>
                <w:sz w:val="24"/>
              </w:rPr>
            </w:pPr>
            <w:r>
              <w:rPr>
                <w:rFonts w:hint="eastAsia"/>
                <w:sz w:val="24"/>
              </w:rPr>
              <w:t>本项目建设的油类试验台与现有工程油类试验台运行情况基本一致，根据企业现有工程液压油类试验台实际运行统计数据，油类物质的日常挥发损耗约占总量的</w:t>
            </w:r>
            <w:r>
              <w:rPr>
                <w:sz w:val="24"/>
              </w:rPr>
              <w:t>2</w:t>
            </w:r>
            <w:r>
              <w:rPr>
                <w:rFonts w:hint="eastAsia"/>
                <w:sz w:val="24"/>
              </w:rPr>
              <w:t>%~5%左右，本次评价按照最不利原则考虑，本项目油类物质日常挥发损耗按照5%计，则</w:t>
            </w:r>
            <w:r>
              <w:rPr>
                <w:rFonts w:hint="eastAsia"/>
                <w:sz w:val="24"/>
                <w:szCs w:val="21"/>
              </w:rPr>
              <w:t>本项目</w:t>
            </w:r>
            <w:r>
              <w:rPr>
                <w:rFonts w:hint="eastAsia"/>
                <w:sz w:val="24"/>
              </w:rPr>
              <w:t>滑油冲洗试验台非甲烷总烃产生量为0.025t/a，</w:t>
            </w:r>
            <w:r>
              <w:rPr>
                <w:sz w:val="24"/>
              </w:rPr>
              <w:t>液压高低压冲击试验台</w:t>
            </w:r>
            <w:r>
              <w:rPr>
                <w:rFonts w:hint="eastAsia"/>
                <w:sz w:val="24"/>
              </w:rPr>
              <w:t>非甲烷总烃产生量为0.004t/a。</w:t>
            </w:r>
          </w:p>
          <w:p w14:paraId="520AC5D3">
            <w:pPr>
              <w:adjustRightInd w:val="0"/>
              <w:snapToGrid w:val="0"/>
              <w:spacing w:line="460" w:lineRule="exact"/>
              <w:ind w:firstLine="480" w:firstLineChars="200"/>
              <w:rPr>
                <w:sz w:val="24"/>
              </w:rPr>
            </w:pPr>
            <w:r>
              <w:rPr>
                <w:sz w:val="24"/>
              </w:rPr>
              <w:t>液体冷却子系统试验台</w:t>
            </w:r>
            <w:r>
              <w:rPr>
                <w:rFonts w:hint="eastAsia"/>
                <w:sz w:val="24"/>
              </w:rPr>
              <w:t>使用试验介质乙二醇在系统内循环使用，定期补充。参照《排污许可证申请与核发技术规范 石化工业》(HJ 853-2017)中5.2.3.1.2设备与管线组件密封点泄漏挥发性有机物年许可排放量，挥发性有机物流经的设备与管线组件密封点泄漏的挥发性有机物年许可排放量按公式(3)计算。</w:t>
            </w:r>
          </w:p>
          <w:p w14:paraId="520AC5D4">
            <w:pPr>
              <w:adjustRightInd w:val="0"/>
              <w:snapToGrid w:val="0"/>
              <w:spacing w:line="360" w:lineRule="auto"/>
              <w:jc w:val="center"/>
              <w:rPr>
                <w:sz w:val="24"/>
              </w:rPr>
            </w:pPr>
            <w:r>
              <w:drawing>
                <wp:inline distT="0" distB="0" distL="0" distR="0">
                  <wp:extent cx="2870200" cy="618490"/>
                  <wp:effectExtent l="0" t="0" r="6350" b="10160"/>
                  <wp:docPr id="207893430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934303" name="图片 1"/>
                          <pic:cNvPicPr>
                            <a:picLocks noChangeAspect="1"/>
                          </pic:cNvPicPr>
                        </pic:nvPicPr>
                        <pic:blipFill>
                          <a:blip r:embed="rId24"/>
                          <a:stretch>
                            <a:fillRect/>
                          </a:stretch>
                        </pic:blipFill>
                        <pic:spPr>
                          <a:xfrm>
                            <a:off x="0" y="0"/>
                            <a:ext cx="2924579" cy="618490"/>
                          </a:xfrm>
                          <a:prstGeom prst="rect">
                            <a:avLst/>
                          </a:prstGeom>
                        </pic:spPr>
                      </pic:pic>
                    </a:graphicData>
                  </a:graphic>
                </wp:inline>
              </w:drawing>
            </w:r>
          </w:p>
          <w:p w14:paraId="520AC5D5">
            <w:pPr>
              <w:adjustRightInd w:val="0"/>
              <w:snapToGrid w:val="0"/>
              <w:spacing w:line="460" w:lineRule="exact"/>
              <w:ind w:firstLine="480" w:firstLineChars="200"/>
              <w:rPr>
                <w:sz w:val="24"/>
              </w:rPr>
            </w:pPr>
            <w:r>
              <w:rPr>
                <w:rFonts w:hint="eastAsia"/>
                <w:sz w:val="24"/>
              </w:rPr>
              <w:t>式中：E</w:t>
            </w:r>
            <w:r>
              <w:rPr>
                <w:rFonts w:hint="eastAsia"/>
                <w:sz w:val="24"/>
                <w:vertAlign w:val="subscript"/>
              </w:rPr>
              <w:t>设备</w:t>
            </w:r>
            <w:r>
              <w:rPr>
                <w:rFonts w:hint="eastAsia"/>
                <w:sz w:val="24"/>
              </w:rPr>
              <w:t>--设备与管线组件密封点泄漏的挥发性有机物年许可排放量，kg/a；</w:t>
            </w:r>
          </w:p>
          <w:p w14:paraId="520AC5D6">
            <w:pPr>
              <w:adjustRightInd w:val="0"/>
              <w:snapToGrid w:val="0"/>
              <w:spacing w:line="460" w:lineRule="exact"/>
              <w:ind w:firstLine="480" w:firstLineChars="200"/>
              <w:rPr>
                <w:sz w:val="24"/>
              </w:rPr>
            </w:pPr>
            <w:r>
              <w:rPr>
                <w:rFonts w:hint="eastAsia"/>
                <w:sz w:val="24"/>
              </w:rPr>
              <w:t>t</w:t>
            </w:r>
            <w:r>
              <w:rPr>
                <w:rFonts w:hint="eastAsia"/>
                <w:sz w:val="24"/>
                <w:vertAlign w:val="subscript"/>
              </w:rPr>
              <w:t>i</w:t>
            </w:r>
            <w:r>
              <w:rPr>
                <w:rFonts w:hint="eastAsia"/>
                <w:sz w:val="24"/>
              </w:rPr>
              <w:t>--密封点i的年运行时间，h/a；本项目为1000h/a；</w:t>
            </w:r>
          </w:p>
          <w:p w14:paraId="520AC5D7">
            <w:pPr>
              <w:adjustRightInd w:val="0"/>
              <w:snapToGrid w:val="0"/>
              <w:spacing w:line="460" w:lineRule="exact"/>
              <w:ind w:firstLine="480" w:firstLineChars="200"/>
              <w:rPr>
                <w:sz w:val="24"/>
              </w:rPr>
            </w:pPr>
            <w:r>
              <w:rPr>
                <w:rFonts w:hint="eastAsia"/>
                <w:sz w:val="24"/>
              </w:rPr>
              <w:t>e</w:t>
            </w:r>
            <w:r>
              <w:rPr>
                <w:rFonts w:hint="eastAsia"/>
                <w:szCs w:val="21"/>
                <w:vertAlign w:val="subscript"/>
              </w:rPr>
              <w:t>TOC,i</w:t>
            </w:r>
            <w:r>
              <w:rPr>
                <w:rFonts w:hint="eastAsia"/>
                <w:sz w:val="24"/>
                <w:vertAlign w:val="subscript"/>
              </w:rPr>
              <w:t>-</w:t>
            </w:r>
            <w:r>
              <w:rPr>
                <w:rFonts w:hint="eastAsia"/>
                <w:sz w:val="24"/>
              </w:rPr>
              <w:t>密封点i的总有机碳(TOC)排放速率，kg/h；本项目</w:t>
            </w:r>
            <w:r>
              <w:rPr>
                <w:sz w:val="24"/>
              </w:rPr>
              <w:t>液体冷却子系统试验台</w:t>
            </w:r>
            <w:r>
              <w:rPr>
                <w:rFonts w:hint="eastAsia"/>
                <w:sz w:val="24"/>
              </w:rPr>
              <w:t>密封点有三种：一个泵，两个阀门，四个连接件；经查表，分别为0.14kg/h、0.036kg/h、0.044kg/h；</w:t>
            </w:r>
          </w:p>
          <w:p w14:paraId="520AC5D8">
            <w:pPr>
              <w:adjustRightInd w:val="0"/>
              <w:snapToGrid w:val="0"/>
              <w:spacing w:line="460" w:lineRule="exact"/>
              <w:ind w:firstLine="480" w:firstLineChars="200"/>
              <w:rPr>
                <w:sz w:val="24"/>
              </w:rPr>
            </w:pPr>
            <w:r>
              <w:rPr>
                <w:rFonts w:hint="eastAsia"/>
                <w:sz w:val="24"/>
              </w:rPr>
              <w:t>WF</w:t>
            </w:r>
            <w:r>
              <w:rPr>
                <w:rFonts w:hint="eastAsia"/>
                <w:sz w:val="24"/>
                <w:vertAlign w:val="subscript"/>
              </w:rPr>
              <w:t>VOCs,i</w:t>
            </w:r>
            <w:r>
              <w:rPr>
                <w:rFonts w:hint="eastAsia"/>
                <w:sz w:val="24"/>
              </w:rPr>
              <w:t>--流经密封点i的物料中挥发性有机物平均质量分数，根据设计文件取值；</w:t>
            </w:r>
          </w:p>
          <w:p w14:paraId="520AC5D9">
            <w:pPr>
              <w:adjustRightInd w:val="0"/>
              <w:snapToGrid w:val="0"/>
              <w:spacing w:line="460" w:lineRule="exact"/>
              <w:ind w:firstLine="480" w:firstLineChars="200"/>
              <w:rPr>
                <w:sz w:val="24"/>
              </w:rPr>
            </w:pPr>
            <w:r>
              <w:rPr>
                <w:rFonts w:hint="eastAsia"/>
                <w:sz w:val="24"/>
              </w:rPr>
              <w:t>WF</w:t>
            </w:r>
            <w:r>
              <w:rPr>
                <w:rFonts w:hint="eastAsia"/>
                <w:szCs w:val="21"/>
                <w:vertAlign w:val="subscript"/>
              </w:rPr>
              <w:t>TOC</w:t>
            </w:r>
            <w:r>
              <w:rPr>
                <w:rFonts w:hint="eastAsia"/>
                <w:sz w:val="24"/>
                <w:vertAlign w:val="subscript"/>
              </w:rPr>
              <w:t>,i</w:t>
            </w:r>
            <w:r>
              <w:rPr>
                <w:rFonts w:hint="eastAsia"/>
                <w:sz w:val="24"/>
              </w:rPr>
              <w:t>--流经密封点i的物料中总有机碳(TOC)平均质量分数，根据设计文件取值；</w:t>
            </w:r>
          </w:p>
          <w:p w14:paraId="520AC5DA">
            <w:pPr>
              <w:adjustRightInd w:val="0"/>
              <w:snapToGrid w:val="0"/>
              <w:spacing w:line="460" w:lineRule="exact"/>
              <w:ind w:firstLine="480" w:firstLineChars="200"/>
              <w:rPr>
                <w:sz w:val="24"/>
              </w:rPr>
            </w:pPr>
            <w:r>
              <w:rPr>
                <w:rFonts w:hint="eastAsia"/>
                <w:sz w:val="24"/>
              </w:rPr>
              <w:t>n-挥发性有机物流经的设备与管线组件密封点数，本项目</w:t>
            </w:r>
            <w:r>
              <w:rPr>
                <w:sz w:val="24"/>
              </w:rPr>
              <w:t>液体冷却子系统试验台</w:t>
            </w:r>
            <w:r>
              <w:rPr>
                <w:rFonts w:hint="eastAsia"/>
                <w:sz w:val="24"/>
              </w:rPr>
              <w:t>中乙二醇流经的设备与管线组件密封点数为7。</w:t>
            </w:r>
          </w:p>
          <w:p w14:paraId="520AC5DB">
            <w:pPr>
              <w:adjustRightInd w:val="0"/>
              <w:snapToGrid w:val="0"/>
              <w:spacing w:line="460" w:lineRule="exact"/>
              <w:ind w:firstLine="480" w:firstLineChars="200"/>
              <w:rPr>
                <w:sz w:val="24"/>
              </w:rPr>
            </w:pPr>
            <w:r>
              <w:rPr>
                <w:rFonts w:hint="eastAsia"/>
                <w:sz w:val="24"/>
              </w:rPr>
              <w:t>经计算，</w:t>
            </w:r>
            <w:r>
              <w:rPr>
                <w:sz w:val="24"/>
              </w:rPr>
              <w:t>液体冷却子系统试验台</w:t>
            </w:r>
            <w:r>
              <w:rPr>
                <w:rFonts w:hint="eastAsia"/>
                <w:sz w:val="24"/>
              </w:rPr>
              <w:t>非甲烷总烃产生量为0.0012t/a。</w:t>
            </w:r>
          </w:p>
          <w:p w14:paraId="520AC5DC">
            <w:pPr>
              <w:adjustRightInd w:val="0"/>
              <w:snapToGrid w:val="0"/>
              <w:spacing w:line="460" w:lineRule="exact"/>
              <w:ind w:firstLine="482" w:firstLineChars="200"/>
              <w:rPr>
                <w:b/>
                <w:bCs/>
                <w:sz w:val="24"/>
              </w:rPr>
            </w:pPr>
            <w:r>
              <w:rPr>
                <w:rFonts w:hint="eastAsia"/>
                <w:b/>
                <w:bCs/>
                <w:sz w:val="24"/>
              </w:rPr>
              <w:t>II）废气治理措施</w:t>
            </w:r>
          </w:p>
          <w:p w14:paraId="520AC5DD">
            <w:pPr>
              <w:adjustRightInd w:val="0"/>
              <w:snapToGrid w:val="0"/>
              <w:spacing w:line="460" w:lineRule="exact"/>
              <w:ind w:firstLine="480" w:firstLineChars="200"/>
              <w:textAlignment w:val="baseline"/>
              <w:rPr>
                <w:sz w:val="24"/>
              </w:rPr>
            </w:pPr>
            <w:r>
              <w:rPr>
                <w:rFonts w:hint="eastAsia"/>
                <w:sz w:val="24"/>
              </w:rPr>
              <w:t>评价要求，1205#厂房、101#厂房和1206#厂房在无人员进出时均保持封闭状态，</w:t>
            </w:r>
            <w:r>
              <w:rPr>
                <w:rFonts w:hint="eastAsia"/>
                <w:sz w:val="24"/>
                <w:szCs w:val="21"/>
              </w:rPr>
              <w:t>试验台</w:t>
            </w:r>
            <w:r>
              <w:rPr>
                <w:rFonts w:hint="eastAsia"/>
                <w:sz w:val="24"/>
              </w:rPr>
              <w:t>装配作业区四面封闭且上方设置集气罩对废气进行收集，1205厂房滑油试验工序废气经收集后引入一套活性炭吸附/脱附-催化燃烧装置</w:t>
            </w:r>
            <w:r>
              <w:rPr>
                <w:sz w:val="24"/>
              </w:rPr>
              <w:t>TA030</w:t>
            </w:r>
            <w:r>
              <w:rPr>
                <w:rFonts w:hint="eastAsia"/>
                <w:sz w:val="24"/>
              </w:rPr>
              <w:t>内处理后经一根15m高排气筒DA030有组织排放。101#厂房液压油试验工序废气经收集后引入一套干式过滤+活性炭吸脱附-催化燃烧装置T</w:t>
            </w:r>
            <w:r>
              <w:rPr>
                <w:sz w:val="24"/>
              </w:rPr>
              <w:t>A0</w:t>
            </w:r>
            <w:r>
              <w:rPr>
                <w:rFonts w:hint="eastAsia"/>
                <w:sz w:val="24"/>
              </w:rPr>
              <w:t>2</w:t>
            </w:r>
            <w:r>
              <w:rPr>
                <w:sz w:val="24"/>
              </w:rPr>
              <w:t>5</w:t>
            </w:r>
            <w:r>
              <w:rPr>
                <w:rFonts w:hint="eastAsia"/>
                <w:sz w:val="24"/>
              </w:rPr>
              <w:t>内处理，处理后经一根1</w:t>
            </w:r>
            <w:r>
              <w:rPr>
                <w:sz w:val="24"/>
              </w:rPr>
              <w:t>5</w:t>
            </w:r>
            <w:r>
              <w:rPr>
                <w:rFonts w:hint="eastAsia"/>
                <w:sz w:val="24"/>
              </w:rPr>
              <w:t>m高排气筒D</w:t>
            </w:r>
            <w:r>
              <w:rPr>
                <w:sz w:val="24"/>
              </w:rPr>
              <w:t>A0</w:t>
            </w:r>
            <w:r>
              <w:rPr>
                <w:rFonts w:hint="eastAsia"/>
                <w:sz w:val="24"/>
              </w:rPr>
              <w:t>2</w:t>
            </w:r>
            <w:r>
              <w:rPr>
                <w:sz w:val="24"/>
              </w:rPr>
              <w:t>5</w:t>
            </w:r>
            <w:r>
              <w:rPr>
                <w:rFonts w:hint="eastAsia"/>
                <w:sz w:val="24"/>
              </w:rPr>
              <w:t>有组织排放。1206#厂房冷却系统试验工序废气经收集后引入一套干式过滤+活性炭吸脱附-催化燃烧装置T</w:t>
            </w:r>
            <w:r>
              <w:rPr>
                <w:sz w:val="24"/>
              </w:rPr>
              <w:t>A0</w:t>
            </w:r>
            <w:r>
              <w:rPr>
                <w:rFonts w:hint="eastAsia"/>
                <w:sz w:val="24"/>
              </w:rPr>
              <w:t>2</w:t>
            </w:r>
            <w:r>
              <w:rPr>
                <w:sz w:val="24"/>
              </w:rPr>
              <w:t>6</w:t>
            </w:r>
            <w:r>
              <w:rPr>
                <w:rFonts w:hint="eastAsia"/>
                <w:sz w:val="24"/>
              </w:rPr>
              <w:t>内处理，处理后经一根1</w:t>
            </w:r>
            <w:r>
              <w:rPr>
                <w:sz w:val="24"/>
              </w:rPr>
              <w:t>5</w:t>
            </w:r>
            <w:r>
              <w:rPr>
                <w:rFonts w:hint="eastAsia"/>
                <w:sz w:val="24"/>
              </w:rPr>
              <w:t>m高排气筒D</w:t>
            </w:r>
            <w:r>
              <w:rPr>
                <w:sz w:val="24"/>
              </w:rPr>
              <w:t>A0</w:t>
            </w:r>
            <w:r>
              <w:rPr>
                <w:rFonts w:hint="eastAsia"/>
                <w:sz w:val="24"/>
              </w:rPr>
              <w:t>2</w:t>
            </w:r>
            <w:r>
              <w:rPr>
                <w:sz w:val="24"/>
              </w:rPr>
              <w:t>6</w:t>
            </w:r>
            <w:r>
              <w:rPr>
                <w:rFonts w:hint="eastAsia"/>
                <w:sz w:val="24"/>
              </w:rPr>
              <w:t>有组织排放。</w:t>
            </w:r>
          </w:p>
          <w:p w14:paraId="723C10FF">
            <w:pPr>
              <w:adjustRightInd w:val="0"/>
              <w:spacing w:line="460" w:lineRule="exact"/>
              <w:ind w:firstLine="480" w:firstLineChars="200"/>
              <w:rPr>
                <w:bCs/>
                <w:sz w:val="24"/>
              </w:rPr>
            </w:pPr>
            <w:r>
              <w:rPr>
                <w:rFonts w:hint="eastAsia"/>
                <w:bCs/>
                <w:kern w:val="0"/>
                <w:sz w:val="24"/>
              </w:rPr>
              <w:t>根据企业提供的设计参数，</w:t>
            </w:r>
            <w:r>
              <w:rPr>
                <w:rFonts w:hint="eastAsia"/>
                <w:bCs/>
                <w:sz w:val="24"/>
              </w:rPr>
              <w:t>本次</w:t>
            </w:r>
            <w:r>
              <w:rPr>
                <w:rFonts w:hint="eastAsia"/>
                <w:sz w:val="24"/>
              </w:rPr>
              <w:t>1205#厂房</w:t>
            </w:r>
            <w:r>
              <w:rPr>
                <w:rFonts w:hint="eastAsia"/>
                <w:bCs/>
                <w:sz w:val="24"/>
              </w:rPr>
              <w:t>新增1套滑油冲洗试验台，101</w:t>
            </w:r>
            <w:r>
              <w:rPr>
                <w:rFonts w:hint="eastAsia"/>
                <w:sz w:val="24"/>
              </w:rPr>
              <w:t>#</w:t>
            </w:r>
            <w:r>
              <w:rPr>
                <w:rFonts w:hint="eastAsia"/>
                <w:bCs/>
                <w:sz w:val="24"/>
              </w:rPr>
              <w:t>厂房新增1套</w:t>
            </w:r>
            <w:r>
              <w:rPr>
                <w:bCs/>
                <w:sz w:val="24"/>
              </w:rPr>
              <w:t>液压高低压冲击试验台</w:t>
            </w:r>
            <w:r>
              <w:rPr>
                <w:rFonts w:hint="eastAsia"/>
                <w:bCs/>
                <w:sz w:val="24"/>
              </w:rPr>
              <w:t>，1206</w:t>
            </w:r>
            <w:r>
              <w:rPr>
                <w:rFonts w:hint="eastAsia"/>
                <w:sz w:val="24"/>
              </w:rPr>
              <w:t>#</w:t>
            </w:r>
            <w:r>
              <w:rPr>
                <w:rFonts w:hint="eastAsia"/>
                <w:bCs/>
                <w:sz w:val="24"/>
              </w:rPr>
              <w:t>厂房新增1套</w:t>
            </w:r>
            <w:r>
              <w:rPr>
                <w:sz w:val="24"/>
              </w:rPr>
              <w:t>液体冷却子系统试验台</w:t>
            </w:r>
            <w:r>
              <w:rPr>
                <w:rFonts w:hint="eastAsia"/>
                <w:sz w:val="24"/>
              </w:rPr>
              <w:t>。</w:t>
            </w:r>
            <w:r>
              <w:rPr>
                <w:rFonts w:hint="eastAsia"/>
                <w:bCs/>
                <w:sz w:val="24"/>
              </w:rPr>
              <w:t>故</w:t>
            </w:r>
            <w:r>
              <w:rPr>
                <w:rFonts w:hint="eastAsia"/>
                <w:sz w:val="24"/>
              </w:rPr>
              <w:t>1205#厂房、101#厂房、</w:t>
            </w:r>
            <w:r>
              <w:rPr>
                <w:rFonts w:hint="eastAsia"/>
                <w:bCs/>
                <w:sz w:val="24"/>
              </w:rPr>
              <w:t>1206</w:t>
            </w:r>
            <w:r>
              <w:rPr>
                <w:rFonts w:hint="eastAsia"/>
                <w:sz w:val="24"/>
              </w:rPr>
              <w:t>#</w:t>
            </w:r>
            <w:r>
              <w:rPr>
                <w:rFonts w:hint="eastAsia"/>
                <w:bCs/>
                <w:sz w:val="24"/>
              </w:rPr>
              <w:t>厂分别</w:t>
            </w:r>
            <w:r>
              <w:rPr>
                <w:rFonts w:hint="eastAsia"/>
                <w:sz w:val="24"/>
              </w:rPr>
              <w:t>设置1个集气罩，根据实验平台操作大小设置集气罩</w:t>
            </w:r>
            <w:r>
              <w:rPr>
                <w:rFonts w:hint="eastAsia"/>
                <w:bCs/>
                <w:sz w:val="24"/>
              </w:rPr>
              <w:t>大小为1.2m</w:t>
            </w:r>
            <w:r>
              <w:rPr>
                <w:bCs/>
                <w:sz w:val="24"/>
              </w:rPr>
              <w:t>×</w:t>
            </w:r>
            <w:r>
              <w:rPr>
                <w:rFonts w:hint="eastAsia"/>
                <w:bCs/>
                <w:sz w:val="24"/>
              </w:rPr>
              <w:t>1.2m=1.44m</w:t>
            </w:r>
            <w:r>
              <w:rPr>
                <w:rFonts w:hint="eastAsia"/>
                <w:bCs/>
                <w:sz w:val="24"/>
                <w:vertAlign w:val="superscript"/>
              </w:rPr>
              <w:t>2</w:t>
            </w:r>
            <w:r>
              <w:rPr>
                <w:rFonts w:hint="eastAsia"/>
                <w:bCs/>
                <w:sz w:val="24"/>
              </w:rPr>
              <w:t>，</w:t>
            </w:r>
            <w:r>
              <w:rPr>
                <w:bCs/>
                <w:sz w:val="24"/>
              </w:rPr>
              <w:t>根据《除尘工程设计手册》，外部集气吸尘罩的排风量为：</w:t>
            </w:r>
          </w:p>
          <w:p w14:paraId="0564FAC8">
            <w:pPr>
              <w:adjustRightInd w:val="0"/>
              <w:spacing w:line="460" w:lineRule="exact"/>
              <w:jc w:val="center"/>
              <w:rPr>
                <w:bCs/>
                <w:sz w:val="24"/>
              </w:rPr>
            </w:pPr>
            <w:r>
              <w:rPr>
                <w:bCs/>
                <w:sz w:val="24"/>
              </w:rPr>
              <w:t>Ｑ=</w:t>
            </w:r>
            <w:r>
              <w:rPr>
                <w:bCs/>
                <w:sz w:val="24"/>
              </w:rPr>
              <w:fldChar w:fldCharType="begin"/>
            </w:r>
            <w:r>
              <w:rPr>
                <w:bCs/>
                <w:sz w:val="24"/>
              </w:rPr>
              <w:instrText xml:space="preserve"> </w:instrText>
            </w:r>
            <w:r>
              <w:rPr>
                <w:rFonts w:hint="eastAsia"/>
                <w:bCs/>
                <w:sz w:val="24"/>
              </w:rPr>
              <w:instrText xml:space="preserve">INCLUDEPICTURE  "https://d.docs.live.net/dd50373d0bae584a/环评/2024/9-良辰农技/Documents/WeChat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"https://d.docs.live.net/dd50373d0bae584a/环评/2024/9-良辰农技/Documents/WeChat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"https://d.docs.live.net/dd50373d0bae584a/环评/2024/9-良辰农技/Documents/WeChat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"https://d.docs.live.net/dd50373d0bae584a/环评/2024/9-良辰农技/Documents/WeChat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"https://d.docs.live.net/dd50373d0bae584a/环评/2024/9-良辰农技/Documents/WeChat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"https://d.docs.live.net/dd50373d0bae584a/环评/2024/9-良辰农技/Documents/WeChat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"https://d.docs.live.net/dd50373d0bae584a/环评/2024/9-良辰农技/Documents/WeChat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"https://d.docs.live.net/dd50373d0bae584a/环评/2024/9-良辰农技/Documents/WeChat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"https://d.docs.live.net/dd50373d0bae584a/环评/2024/9-良辰农技/Documents/WeChat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"https://d.docs.live.net/dd50373d0bae584a/环评/2024/9-良辰农技/Documents/WeChat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"https://d.docs.live.net/dd50373d0bae584a/环评/2024/9-良辰农技/Documents/WeChat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"https://d.docs.live.net/dd50373d0bae584a/环评/2025/3聚昌机械/Documents/WeChat%20Files/wxid_8h1t92ob3c0a22/AppData/Roaming/Microsoft/AppData/Local/Temp/ksohtml/wps3E10.tmp.png"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"https://d.docs.live.net/dd50373d0bae584a/环评/2025/7 新航/3聚昌机械/Documents/WeChat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fldChar w:fldCharType="begin"/>
            </w:r>
            <w:r>
              <w:rPr>
                <w:bCs/>
                <w:sz w:val="24"/>
              </w:rPr>
              <w:instrText xml:space="preserve"> </w:instrText>
            </w:r>
            <w:r>
              <w:rPr>
                <w:rFonts w:hint="eastAsia"/>
                <w:bCs/>
                <w:sz w:val="24"/>
              </w:rPr>
              <w:instrText xml:space="preserve">INCLUDEPICTURE  "https://d.docs.live.net/dd50373d0bae584a/环评/2025/3聚昌机械/Documents/WeChat Files/wxid_8h1t92ob3c0a22/AppData/Roaming/Microsoft/AppData/Local/Temp/ksohtml/wps3E10.tmp.png" \* MERGEFORMATINET</w:instrText>
            </w:r>
            <w:r>
              <w:rPr>
                <w:bCs/>
                <w:sz w:val="24"/>
              </w:rPr>
              <w:instrText xml:space="preserve"> </w:instrText>
            </w:r>
            <w:r>
              <w:rPr>
                <w:bCs/>
                <w:sz w:val="24"/>
              </w:rPr>
              <w:fldChar w:fldCharType="separate"/>
            </w:r>
            <w:r>
              <w:rPr>
                <w:bCs/>
                <w:sz w:val="24"/>
              </w:rPr>
              <w:pict>
                <v:shape id="_x0000_i1028" o:spt="75" alt="" type="#_x0000_t75" style="height:18pt;width:24pt;" filled="f" o:preferrelative="t" stroked="f" coordsize="21600,21600">
                  <v:fill on="f" focussize="0,0"/>
                  <v:stroke on="f"/>
                  <v:imagedata r:id="rId25" o:title=""/>
                  <o:lock v:ext="edit" aspectratio="t"/>
                  <w10:wrap type="none"/>
                  <w10:anchorlock/>
                </v:shape>
              </w:pict>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r>
              <w:rPr>
                <w:bCs/>
                <w:sz w:val="24"/>
              </w:rPr>
              <w:fldChar w:fldCharType="end"/>
            </w:r>
          </w:p>
          <w:p w14:paraId="0DF56CC1">
            <w:pPr>
              <w:adjustRightInd w:val="0"/>
              <w:spacing w:line="460" w:lineRule="exact"/>
              <w:ind w:firstLine="480" w:firstLineChars="200"/>
              <w:rPr>
                <w:bCs/>
                <w:sz w:val="24"/>
              </w:rPr>
            </w:pPr>
            <w:r>
              <w:rPr>
                <w:bCs/>
                <w:sz w:val="24"/>
              </w:rPr>
              <w:t>其中，F—罩口面积，m</w:t>
            </w:r>
            <w:r>
              <w:rPr>
                <w:bCs/>
                <w:sz w:val="24"/>
                <w:vertAlign w:val="superscript"/>
              </w:rPr>
              <w:t>2</w:t>
            </w:r>
            <w:r>
              <w:rPr>
                <w:bCs/>
                <w:sz w:val="24"/>
              </w:rPr>
              <w:t>；</w:t>
            </w:r>
          </w:p>
          <w:p w14:paraId="1B59CE08">
            <w:pPr>
              <w:adjustRightInd w:val="0"/>
              <w:spacing w:line="460" w:lineRule="exact"/>
              <w:ind w:firstLine="480" w:firstLineChars="200"/>
              <w:rPr>
                <w:bCs/>
                <w:sz w:val="24"/>
              </w:rPr>
            </w:pPr>
            <w:r>
              <w:rPr>
                <w:bCs/>
                <w:sz w:val="24"/>
              </w:rPr>
              <w:t>V</w:t>
            </w:r>
            <w:r>
              <w:rPr>
                <w:bCs/>
                <w:sz w:val="24"/>
                <w:vertAlign w:val="subscript"/>
              </w:rPr>
              <w:t>0</w:t>
            </w:r>
            <w:r>
              <w:rPr>
                <w:bCs/>
                <w:sz w:val="24"/>
              </w:rPr>
              <w:t>—罩口中的吸气平均速度，m/s。</w:t>
            </w:r>
          </w:p>
          <w:p w14:paraId="520AC5DE">
            <w:pPr>
              <w:adjustRightInd w:val="0"/>
              <w:snapToGrid w:val="0"/>
              <w:spacing w:line="460" w:lineRule="exact"/>
              <w:ind w:firstLine="480" w:firstLineChars="200"/>
              <w:textAlignment w:val="baseline"/>
              <w:rPr>
                <w:sz w:val="24"/>
              </w:rPr>
            </w:pPr>
            <w:r>
              <w:rPr>
                <w:bCs/>
                <w:sz w:val="24"/>
              </w:rPr>
              <w:t>经查《简明通风设计手册》中表5-3和《除尘工程设计手册》中表3-8，本项目v</w:t>
            </w:r>
            <w:r>
              <w:rPr>
                <w:bCs/>
                <w:sz w:val="24"/>
                <w:vertAlign w:val="subscript"/>
              </w:rPr>
              <w:t>x</w:t>
            </w:r>
            <w:r>
              <w:rPr>
                <w:bCs/>
                <w:sz w:val="24"/>
              </w:rPr>
              <w:t>的最小控制风速为0.5~1.0m/s。根据《简明通风设计手册》表5-4，本项目</w:t>
            </w:r>
            <w:r>
              <w:rPr>
                <w:rFonts w:hint="eastAsia"/>
                <w:bCs/>
                <w:sz w:val="24"/>
              </w:rPr>
              <w:t>废气</w:t>
            </w:r>
            <w:r>
              <w:rPr>
                <w:bCs/>
                <w:sz w:val="24"/>
              </w:rPr>
              <w:t>比重低、毒性低，本项目取0.</w:t>
            </w:r>
            <w:r>
              <w:rPr>
                <w:rFonts w:hint="eastAsia"/>
                <w:bCs/>
                <w:sz w:val="24"/>
              </w:rPr>
              <w:t>5</w:t>
            </w:r>
            <w:r>
              <w:rPr>
                <w:bCs/>
                <w:sz w:val="24"/>
              </w:rPr>
              <w:t>m/s</w:t>
            </w:r>
            <w:r>
              <w:rPr>
                <w:rFonts w:hint="eastAsia"/>
                <w:bCs/>
                <w:sz w:val="24"/>
              </w:rPr>
              <w:t>，集气罩面积为1.44m</w:t>
            </w:r>
            <w:r>
              <w:rPr>
                <w:rFonts w:hint="eastAsia"/>
                <w:bCs/>
                <w:sz w:val="24"/>
                <w:vertAlign w:val="superscript"/>
              </w:rPr>
              <w:t>2</w:t>
            </w:r>
            <w:r>
              <w:rPr>
                <w:rFonts w:hint="eastAsia"/>
                <w:bCs/>
                <w:sz w:val="24"/>
              </w:rPr>
              <w:t>，则集气罩需要风机风量为2592m</w:t>
            </w:r>
            <w:r>
              <w:rPr>
                <w:rFonts w:hint="eastAsia"/>
                <w:bCs/>
                <w:sz w:val="24"/>
                <w:vertAlign w:val="superscript"/>
              </w:rPr>
              <w:t>3</w:t>
            </w:r>
            <w:r>
              <w:rPr>
                <w:rFonts w:hint="eastAsia"/>
                <w:bCs/>
                <w:sz w:val="24"/>
              </w:rPr>
              <w:t>/h，本次以3000m</w:t>
            </w:r>
            <w:r>
              <w:rPr>
                <w:rFonts w:hint="eastAsia"/>
                <w:bCs/>
                <w:sz w:val="24"/>
                <w:vertAlign w:val="superscript"/>
              </w:rPr>
              <w:t>3</w:t>
            </w:r>
            <w:r>
              <w:rPr>
                <w:rFonts w:hint="eastAsia"/>
                <w:bCs/>
                <w:sz w:val="24"/>
              </w:rPr>
              <w:t>/h计。</w:t>
            </w:r>
            <w:r>
              <w:rPr>
                <w:rFonts w:hint="eastAsia"/>
                <w:sz w:val="24"/>
              </w:rPr>
              <w:t>试验台废气收集效率以95%计，则1205#厂房非甲烷总烃收集量为0.0238t/a，101#厂房非甲烷总烃收集量为0.0038t/a，1206厂房非甲烷总烃收集量为0.0011t/a。本项目试验台工作时间约</w:t>
            </w:r>
            <w:r>
              <w:rPr>
                <w:sz w:val="24"/>
              </w:rPr>
              <w:t>1</w:t>
            </w:r>
            <w:r>
              <w:rPr>
                <w:rFonts w:hint="eastAsia"/>
                <w:sz w:val="24"/>
              </w:rPr>
              <w:t>000h/a。</w:t>
            </w:r>
          </w:p>
          <w:p w14:paraId="1296D34C">
            <w:pPr>
              <w:adjustRightInd w:val="0"/>
              <w:spacing w:line="460" w:lineRule="exact"/>
              <w:ind w:firstLine="480" w:firstLineChars="200"/>
              <w:rPr>
                <w:bCs/>
                <w:sz w:val="24"/>
              </w:rPr>
            </w:pPr>
            <w:r>
              <w:rPr>
                <w:rFonts w:hint="eastAsia"/>
                <w:sz w:val="24"/>
              </w:rPr>
              <w:t>建设单位1205#厂房在建一套活性炭吸附/脱附-催化燃烧装置</w:t>
            </w:r>
            <w:r>
              <w:rPr>
                <w:sz w:val="24"/>
              </w:rPr>
              <w:t>TA030</w:t>
            </w:r>
            <w:r>
              <w:rPr>
                <w:rFonts w:hint="eastAsia"/>
                <w:sz w:val="24"/>
              </w:rPr>
              <w:t>对1205#厂房油类试验设备的有机废气进行收集处理，根据在建项目所在环评，设计废气处理能力为</w:t>
            </w:r>
            <w:r>
              <w:rPr>
                <w:rFonts w:hint="eastAsia"/>
                <w:bCs/>
                <w:sz w:val="24"/>
              </w:rPr>
              <w:t>16500</w:t>
            </w:r>
            <w:r>
              <w:rPr>
                <w:bCs/>
                <w:sz w:val="24"/>
              </w:rPr>
              <w:t>m</w:t>
            </w:r>
            <w:r>
              <w:rPr>
                <w:bCs/>
                <w:sz w:val="24"/>
                <w:vertAlign w:val="superscript"/>
              </w:rPr>
              <w:t>3</w:t>
            </w:r>
            <w:r>
              <w:rPr>
                <w:bCs/>
                <w:sz w:val="24"/>
              </w:rPr>
              <w:t>/h</w:t>
            </w:r>
            <w:r>
              <w:rPr>
                <w:rFonts w:hint="eastAsia"/>
                <w:bCs/>
                <w:sz w:val="24"/>
              </w:rPr>
              <w:t>（其中脱附风量1500</w:t>
            </w:r>
            <w:r>
              <w:rPr>
                <w:bCs/>
                <w:sz w:val="24"/>
              </w:rPr>
              <w:t>m</w:t>
            </w:r>
            <w:r>
              <w:rPr>
                <w:bCs/>
                <w:sz w:val="24"/>
                <w:vertAlign w:val="superscript"/>
              </w:rPr>
              <w:t>3</w:t>
            </w:r>
            <w:r>
              <w:rPr>
                <w:bCs/>
                <w:sz w:val="24"/>
              </w:rPr>
              <w:t>/h</w:t>
            </w:r>
            <w:r>
              <w:rPr>
                <w:rFonts w:hint="eastAsia"/>
                <w:bCs/>
                <w:sz w:val="24"/>
              </w:rPr>
              <w:t>），</w:t>
            </w:r>
            <w:r>
              <w:rPr>
                <w:bCs/>
                <w:sz w:val="24"/>
              </w:rPr>
              <w:t>采用的活性炭对非甲烷总烃的去除率（即吸附率）不低于</w:t>
            </w:r>
            <w:r>
              <w:rPr>
                <w:rFonts w:hint="eastAsia"/>
                <w:bCs/>
                <w:sz w:val="24"/>
              </w:rPr>
              <w:t>90</w:t>
            </w:r>
            <w:r>
              <w:rPr>
                <w:bCs/>
                <w:sz w:val="24"/>
              </w:rPr>
              <w:t>%，催化燃烧对活性炭吸附后脱附的非甲烷总烃的去除率不低于9</w:t>
            </w:r>
            <w:r>
              <w:rPr>
                <w:rFonts w:hint="eastAsia"/>
                <w:bCs/>
                <w:sz w:val="24"/>
              </w:rPr>
              <w:t>7</w:t>
            </w:r>
            <w:r>
              <w:rPr>
                <w:bCs/>
                <w:sz w:val="24"/>
              </w:rPr>
              <w:t>%。</w:t>
            </w:r>
            <w:r>
              <w:rPr>
                <w:rFonts w:hint="eastAsia"/>
                <w:bCs/>
                <w:sz w:val="24"/>
              </w:rPr>
              <w:t>则本项目建成后废气处理能力为19500</w:t>
            </w:r>
            <w:r>
              <w:rPr>
                <w:bCs/>
                <w:sz w:val="24"/>
              </w:rPr>
              <w:t>m</w:t>
            </w:r>
            <w:r>
              <w:rPr>
                <w:bCs/>
                <w:sz w:val="24"/>
                <w:vertAlign w:val="superscript"/>
              </w:rPr>
              <w:t>3</w:t>
            </w:r>
            <w:r>
              <w:rPr>
                <w:bCs/>
                <w:sz w:val="24"/>
              </w:rPr>
              <w:t>/h</w:t>
            </w:r>
            <w:r>
              <w:rPr>
                <w:rFonts w:hint="eastAsia"/>
                <w:bCs/>
                <w:sz w:val="24"/>
              </w:rPr>
              <w:t>（其中脱附风量1500</w:t>
            </w:r>
            <w:r>
              <w:rPr>
                <w:bCs/>
                <w:sz w:val="24"/>
              </w:rPr>
              <w:t>m</w:t>
            </w:r>
            <w:r>
              <w:rPr>
                <w:bCs/>
                <w:sz w:val="24"/>
                <w:vertAlign w:val="superscript"/>
              </w:rPr>
              <w:t>3</w:t>
            </w:r>
            <w:r>
              <w:rPr>
                <w:bCs/>
                <w:sz w:val="24"/>
              </w:rPr>
              <w:t>/h</w:t>
            </w:r>
            <w:r>
              <w:rPr>
                <w:rFonts w:hint="eastAsia"/>
                <w:bCs/>
                <w:sz w:val="24"/>
              </w:rPr>
              <w:t>）。</w:t>
            </w:r>
          </w:p>
          <w:p w14:paraId="520AC5E0">
            <w:pPr>
              <w:adjustRightInd w:val="0"/>
              <w:snapToGrid w:val="0"/>
              <w:spacing w:line="460" w:lineRule="exact"/>
              <w:ind w:firstLine="480" w:firstLineChars="200"/>
              <w:textAlignment w:val="baseline"/>
              <w:rPr>
                <w:bCs/>
                <w:sz w:val="24"/>
              </w:rPr>
            </w:pPr>
            <w:r>
              <w:rPr>
                <w:rFonts w:hint="eastAsia"/>
                <w:sz w:val="24"/>
              </w:rPr>
              <w:t>建设单位101#厂房已建成干式过滤+活性炭吸脱附-催化燃烧装置T</w:t>
            </w:r>
            <w:r>
              <w:rPr>
                <w:sz w:val="24"/>
              </w:rPr>
              <w:t>A0</w:t>
            </w:r>
            <w:r>
              <w:rPr>
                <w:rFonts w:hint="eastAsia"/>
                <w:sz w:val="24"/>
              </w:rPr>
              <w:t>2</w:t>
            </w:r>
            <w:r>
              <w:rPr>
                <w:sz w:val="24"/>
              </w:rPr>
              <w:t>5</w:t>
            </w:r>
            <w:r>
              <w:rPr>
                <w:rFonts w:hint="eastAsia"/>
                <w:sz w:val="24"/>
              </w:rPr>
              <w:t>对101#厂房油类试验的有机废气进行收集处理，根据设计方案，设计废气处理能力为</w:t>
            </w:r>
            <w:r>
              <w:rPr>
                <w:rFonts w:hint="eastAsia"/>
                <w:bCs/>
                <w:sz w:val="24"/>
              </w:rPr>
              <w:t>100</w:t>
            </w:r>
            <w:r>
              <w:rPr>
                <w:bCs/>
                <w:sz w:val="24"/>
              </w:rPr>
              <w:t>000m</w:t>
            </w:r>
            <w:r>
              <w:rPr>
                <w:bCs/>
                <w:sz w:val="24"/>
                <w:vertAlign w:val="superscript"/>
              </w:rPr>
              <w:t>3</w:t>
            </w:r>
            <w:r>
              <w:rPr>
                <w:bCs/>
                <w:sz w:val="24"/>
              </w:rPr>
              <w:t>/h</w:t>
            </w:r>
            <w:r>
              <w:rPr>
                <w:rFonts w:hint="eastAsia"/>
                <w:bCs/>
                <w:sz w:val="24"/>
              </w:rPr>
              <w:t>。根据河南鑫成环测检测技术有限公司2025年4月28日对排气筒DA025的检测，风机风量为30300</w:t>
            </w:r>
            <w:r>
              <w:rPr>
                <w:bCs/>
                <w:sz w:val="24"/>
              </w:rPr>
              <w:t>m</w:t>
            </w:r>
            <w:r>
              <w:rPr>
                <w:bCs/>
                <w:sz w:val="24"/>
                <w:vertAlign w:val="superscript"/>
              </w:rPr>
              <w:t>3</w:t>
            </w:r>
            <w:r>
              <w:rPr>
                <w:bCs/>
                <w:sz w:val="24"/>
              </w:rPr>
              <w:t>/h</w:t>
            </w:r>
            <w:r>
              <w:rPr>
                <w:rFonts w:hint="eastAsia"/>
                <w:bCs/>
                <w:sz w:val="24"/>
              </w:rPr>
              <w:t>。在建项目环评中101厂房油类试验废气所需风量为70</w:t>
            </w:r>
            <w:r>
              <w:rPr>
                <w:bCs/>
                <w:sz w:val="24"/>
              </w:rPr>
              <w:t>00m</w:t>
            </w:r>
            <w:r>
              <w:rPr>
                <w:bCs/>
                <w:sz w:val="24"/>
                <w:vertAlign w:val="superscript"/>
              </w:rPr>
              <w:t>3</w:t>
            </w:r>
            <w:r>
              <w:rPr>
                <w:bCs/>
                <w:sz w:val="24"/>
              </w:rPr>
              <w:t>/h</w:t>
            </w:r>
            <w:r>
              <w:rPr>
                <w:rFonts w:hint="eastAsia"/>
                <w:bCs/>
                <w:sz w:val="24"/>
              </w:rPr>
              <w:t>，故TA025尚有62700</w:t>
            </w:r>
            <w:r>
              <w:rPr>
                <w:bCs/>
                <w:sz w:val="24"/>
              </w:rPr>
              <w:t>m</w:t>
            </w:r>
            <w:r>
              <w:rPr>
                <w:bCs/>
                <w:sz w:val="24"/>
                <w:vertAlign w:val="superscript"/>
              </w:rPr>
              <w:t>3</w:t>
            </w:r>
            <w:r>
              <w:rPr>
                <w:bCs/>
                <w:sz w:val="24"/>
              </w:rPr>
              <w:t>/h</w:t>
            </w:r>
            <w:r>
              <w:rPr>
                <w:rFonts w:hint="eastAsia"/>
                <w:bCs/>
                <w:sz w:val="24"/>
              </w:rPr>
              <w:t>。可以满足本项目101</w:t>
            </w:r>
            <w:r>
              <w:rPr>
                <w:rFonts w:hint="eastAsia"/>
                <w:sz w:val="24"/>
              </w:rPr>
              <w:t>#</w:t>
            </w:r>
            <w:r>
              <w:rPr>
                <w:rFonts w:hint="eastAsia"/>
                <w:bCs/>
                <w:sz w:val="24"/>
              </w:rPr>
              <w:t>厂房新增试验设备废气处理要求；本项目建成后</w:t>
            </w:r>
            <w:r>
              <w:rPr>
                <w:sz w:val="24"/>
              </w:rPr>
              <w:t>TA0</w:t>
            </w:r>
            <w:r>
              <w:rPr>
                <w:rFonts w:hint="eastAsia"/>
                <w:sz w:val="24"/>
              </w:rPr>
              <w:t>25处理废气量为40300</w:t>
            </w:r>
            <w:r>
              <w:rPr>
                <w:bCs/>
                <w:sz w:val="24"/>
              </w:rPr>
              <w:t>m</w:t>
            </w:r>
            <w:r>
              <w:rPr>
                <w:bCs/>
                <w:sz w:val="24"/>
                <w:vertAlign w:val="superscript"/>
              </w:rPr>
              <w:t>3</w:t>
            </w:r>
            <w:r>
              <w:rPr>
                <w:bCs/>
                <w:sz w:val="24"/>
              </w:rPr>
              <w:t>/h</w:t>
            </w:r>
            <w:r>
              <w:rPr>
                <w:rFonts w:hint="eastAsia"/>
                <w:bCs/>
                <w:sz w:val="24"/>
              </w:rPr>
              <w:t>，根据TA025设计资料，活性炭形态为蜂窝状、碘值800mg/g，活性炭床截面积为23.75m</w:t>
            </w:r>
            <w:r>
              <w:rPr>
                <w:rFonts w:hint="eastAsia"/>
                <w:bCs/>
                <w:sz w:val="24"/>
                <w:vertAlign w:val="superscript"/>
              </w:rPr>
              <w:t>2</w:t>
            </w:r>
            <w:r>
              <w:rPr>
                <w:rFonts w:hint="eastAsia"/>
                <w:bCs/>
                <w:sz w:val="24"/>
              </w:rPr>
              <w:t>，则本项目建成后废气量为4030</w:t>
            </w:r>
            <w:r>
              <w:rPr>
                <w:bCs/>
                <w:sz w:val="24"/>
              </w:rPr>
              <w:t>0m</w:t>
            </w:r>
            <w:r>
              <w:rPr>
                <w:bCs/>
                <w:sz w:val="24"/>
                <w:vertAlign w:val="superscript"/>
              </w:rPr>
              <w:t>3</w:t>
            </w:r>
            <w:r>
              <w:rPr>
                <w:bCs/>
                <w:sz w:val="24"/>
              </w:rPr>
              <w:t>/h</w:t>
            </w:r>
            <w:r>
              <w:rPr>
                <w:rFonts w:hint="eastAsia"/>
                <w:bCs/>
                <w:sz w:val="24"/>
              </w:rPr>
              <w:t>时通过活性炭的废气流速为0.47m/s，待后期满TA025设计废气处理能力100</w:t>
            </w:r>
            <w:r>
              <w:rPr>
                <w:bCs/>
                <w:sz w:val="24"/>
              </w:rPr>
              <w:t>000m</w:t>
            </w:r>
            <w:r>
              <w:rPr>
                <w:bCs/>
                <w:sz w:val="24"/>
                <w:vertAlign w:val="superscript"/>
              </w:rPr>
              <w:t>3</w:t>
            </w:r>
            <w:r>
              <w:rPr>
                <w:bCs/>
                <w:sz w:val="24"/>
              </w:rPr>
              <w:t>/h</w:t>
            </w:r>
            <w:r>
              <w:rPr>
                <w:rFonts w:hint="eastAsia"/>
                <w:bCs/>
                <w:sz w:val="24"/>
              </w:rPr>
              <w:t>时通过活性炭的废气流速为1.16m/s，均满足《吸附法工业有机废气治理工程技术规范》（HJ2026-2013）6.3.3.3“采用蜂窝状吸附剂时，气体流速宜低于1.20m/s”，因此活性炭吸附/脱附-催化燃烧装置TA025治理具备依托条件。</w:t>
            </w:r>
          </w:p>
          <w:p w14:paraId="520AC5E1">
            <w:pPr>
              <w:adjustRightInd w:val="0"/>
              <w:snapToGrid w:val="0"/>
              <w:spacing w:line="460" w:lineRule="exact"/>
              <w:ind w:firstLine="480" w:firstLineChars="200"/>
              <w:textAlignment w:val="baseline"/>
              <w:rPr>
                <w:bCs/>
                <w:sz w:val="24"/>
              </w:rPr>
            </w:pPr>
            <w:r>
              <w:rPr>
                <w:rFonts w:hint="eastAsia"/>
                <w:sz w:val="24"/>
              </w:rPr>
              <w:t>建设单位1206#厂房已建成干式过滤+活性炭吸脱附-催化燃烧装置T</w:t>
            </w:r>
            <w:r>
              <w:rPr>
                <w:sz w:val="24"/>
              </w:rPr>
              <w:t>A0</w:t>
            </w:r>
            <w:r>
              <w:rPr>
                <w:rFonts w:hint="eastAsia"/>
                <w:sz w:val="24"/>
              </w:rPr>
              <w:t>26对1206#厂房油类试验的有机废气进行收集处理，根据设计方案，设计废气处理能力为</w:t>
            </w:r>
            <w:r>
              <w:rPr>
                <w:rFonts w:hint="eastAsia"/>
                <w:bCs/>
                <w:sz w:val="24"/>
              </w:rPr>
              <w:t>100</w:t>
            </w:r>
            <w:r>
              <w:rPr>
                <w:bCs/>
                <w:sz w:val="24"/>
              </w:rPr>
              <w:t>000m</w:t>
            </w:r>
            <w:r>
              <w:rPr>
                <w:bCs/>
                <w:sz w:val="24"/>
                <w:vertAlign w:val="superscript"/>
              </w:rPr>
              <w:t>3</w:t>
            </w:r>
            <w:r>
              <w:rPr>
                <w:bCs/>
                <w:sz w:val="24"/>
              </w:rPr>
              <w:t>/h</w:t>
            </w:r>
            <w:r>
              <w:rPr>
                <w:rFonts w:hint="eastAsia"/>
                <w:bCs/>
                <w:sz w:val="24"/>
              </w:rPr>
              <w:t>。根据河南鑫成环测检测技术有限公司2025年4月28日对排气筒DA026的检测，风机风量为24200</w:t>
            </w:r>
            <w:r>
              <w:rPr>
                <w:bCs/>
                <w:sz w:val="24"/>
              </w:rPr>
              <w:t>m</w:t>
            </w:r>
            <w:r>
              <w:rPr>
                <w:bCs/>
                <w:sz w:val="24"/>
                <w:vertAlign w:val="superscript"/>
              </w:rPr>
              <w:t>3</w:t>
            </w:r>
            <w:r>
              <w:rPr>
                <w:bCs/>
                <w:sz w:val="24"/>
              </w:rPr>
              <w:t>/h</w:t>
            </w:r>
            <w:r>
              <w:rPr>
                <w:rFonts w:hint="eastAsia"/>
                <w:bCs/>
                <w:sz w:val="24"/>
              </w:rPr>
              <w:t>。在建项目环评中1206</w:t>
            </w:r>
            <w:r>
              <w:rPr>
                <w:rFonts w:hint="eastAsia"/>
                <w:sz w:val="24"/>
              </w:rPr>
              <w:t>#</w:t>
            </w:r>
            <w:r>
              <w:rPr>
                <w:rFonts w:hint="eastAsia"/>
                <w:bCs/>
                <w:sz w:val="24"/>
              </w:rPr>
              <w:t>厂房油类试验废气所需风量为25</w:t>
            </w:r>
            <w:r>
              <w:rPr>
                <w:bCs/>
                <w:sz w:val="24"/>
              </w:rPr>
              <w:t>00m</w:t>
            </w:r>
            <w:r>
              <w:rPr>
                <w:bCs/>
                <w:sz w:val="24"/>
                <w:vertAlign w:val="superscript"/>
              </w:rPr>
              <w:t>3</w:t>
            </w:r>
            <w:r>
              <w:rPr>
                <w:bCs/>
                <w:sz w:val="24"/>
              </w:rPr>
              <w:t>/h</w:t>
            </w:r>
            <w:r>
              <w:rPr>
                <w:rFonts w:hint="eastAsia"/>
                <w:bCs/>
                <w:sz w:val="24"/>
              </w:rPr>
              <w:t>，故TA026尚有73300</w:t>
            </w:r>
            <w:r>
              <w:rPr>
                <w:bCs/>
                <w:sz w:val="24"/>
              </w:rPr>
              <w:t>m</w:t>
            </w:r>
            <w:r>
              <w:rPr>
                <w:bCs/>
                <w:sz w:val="24"/>
                <w:vertAlign w:val="superscript"/>
              </w:rPr>
              <w:t>3</w:t>
            </w:r>
            <w:r>
              <w:rPr>
                <w:bCs/>
                <w:sz w:val="24"/>
              </w:rPr>
              <w:t>/h</w:t>
            </w:r>
            <w:r>
              <w:rPr>
                <w:rFonts w:hint="eastAsia"/>
                <w:bCs/>
                <w:sz w:val="24"/>
              </w:rPr>
              <w:t>。可以满足本项目1206</w:t>
            </w:r>
            <w:r>
              <w:rPr>
                <w:rFonts w:hint="eastAsia"/>
                <w:sz w:val="24"/>
              </w:rPr>
              <w:t>#</w:t>
            </w:r>
            <w:r>
              <w:rPr>
                <w:rFonts w:hint="eastAsia"/>
                <w:bCs/>
                <w:sz w:val="24"/>
              </w:rPr>
              <w:t>厂房新增试验设备废气处理要求；本项目建成后</w:t>
            </w:r>
            <w:r>
              <w:rPr>
                <w:sz w:val="24"/>
              </w:rPr>
              <w:t>TA0</w:t>
            </w:r>
            <w:r>
              <w:rPr>
                <w:rFonts w:hint="eastAsia"/>
                <w:sz w:val="24"/>
              </w:rPr>
              <w:t>26处理废气量为29700</w:t>
            </w:r>
            <w:r>
              <w:rPr>
                <w:bCs/>
                <w:sz w:val="24"/>
              </w:rPr>
              <w:t>m</w:t>
            </w:r>
            <w:r>
              <w:rPr>
                <w:bCs/>
                <w:sz w:val="24"/>
                <w:vertAlign w:val="superscript"/>
              </w:rPr>
              <w:t>3</w:t>
            </w:r>
            <w:r>
              <w:rPr>
                <w:bCs/>
                <w:sz w:val="24"/>
              </w:rPr>
              <w:t>/h</w:t>
            </w:r>
            <w:r>
              <w:rPr>
                <w:rFonts w:hint="eastAsia"/>
                <w:bCs/>
                <w:sz w:val="24"/>
              </w:rPr>
              <w:t>，根据TA026设计资料，活性炭形态为蜂窝状、碘值800mg/g，活性炭床截面积为23.94m</w:t>
            </w:r>
            <w:r>
              <w:rPr>
                <w:rFonts w:hint="eastAsia"/>
                <w:bCs/>
                <w:sz w:val="24"/>
                <w:vertAlign w:val="superscript"/>
              </w:rPr>
              <w:t>2</w:t>
            </w:r>
            <w:r>
              <w:rPr>
                <w:rFonts w:hint="eastAsia"/>
                <w:bCs/>
                <w:sz w:val="24"/>
              </w:rPr>
              <w:t>，则本项目建成后废气量为297</w:t>
            </w:r>
            <w:r>
              <w:rPr>
                <w:bCs/>
                <w:sz w:val="24"/>
              </w:rPr>
              <w:t>00m</w:t>
            </w:r>
            <w:r>
              <w:rPr>
                <w:bCs/>
                <w:sz w:val="24"/>
                <w:vertAlign w:val="superscript"/>
              </w:rPr>
              <w:t>3</w:t>
            </w:r>
            <w:r>
              <w:rPr>
                <w:bCs/>
                <w:sz w:val="24"/>
              </w:rPr>
              <w:t>/h</w:t>
            </w:r>
            <w:r>
              <w:rPr>
                <w:rFonts w:hint="eastAsia"/>
                <w:bCs/>
                <w:sz w:val="24"/>
              </w:rPr>
              <w:t>时通过活性炭的废气流速为0.34m/s，待后期满TA026设计废气处理能力100</w:t>
            </w:r>
            <w:r>
              <w:rPr>
                <w:bCs/>
                <w:sz w:val="24"/>
              </w:rPr>
              <w:t>000m</w:t>
            </w:r>
            <w:r>
              <w:rPr>
                <w:bCs/>
                <w:sz w:val="24"/>
                <w:vertAlign w:val="superscript"/>
              </w:rPr>
              <w:t>3</w:t>
            </w:r>
            <w:r>
              <w:rPr>
                <w:bCs/>
                <w:sz w:val="24"/>
              </w:rPr>
              <w:t>/h</w:t>
            </w:r>
            <w:r>
              <w:rPr>
                <w:rFonts w:hint="eastAsia"/>
                <w:bCs/>
                <w:sz w:val="24"/>
              </w:rPr>
              <w:t>时通过活性炭的废气流速为1.16m/s，均满足《吸附法工业有机废气治理工程技术规范》（HJ2026-2013）6.3.3.3“采用蜂窝状吸附剂时，气体流速宜低于1.20m/s”，因此活性炭吸附/脱附-催化燃烧装置TA026治理具备依托条件。</w:t>
            </w:r>
          </w:p>
          <w:p w14:paraId="520AC5E2">
            <w:pPr>
              <w:adjustRightInd w:val="0"/>
              <w:snapToGrid w:val="0"/>
              <w:spacing w:line="460" w:lineRule="exact"/>
              <w:ind w:firstLine="480" w:firstLineChars="200"/>
              <w:rPr>
                <w:sz w:val="24"/>
              </w:rPr>
            </w:pPr>
            <w:r>
              <w:rPr>
                <w:rFonts w:hint="eastAsia"/>
                <w:sz w:val="24"/>
              </w:rPr>
              <w:t>综上，收集后的废气先进入活性炭吸收模块对有机废气进行治理，定期脱附-催化燃烧。根据TA0</w:t>
            </w:r>
            <w:r>
              <w:rPr>
                <w:sz w:val="24"/>
              </w:rPr>
              <w:t>3</w:t>
            </w:r>
            <w:r>
              <w:rPr>
                <w:rFonts w:hint="eastAsia"/>
                <w:sz w:val="24"/>
              </w:rPr>
              <w:t>0、T</w:t>
            </w:r>
            <w:r>
              <w:rPr>
                <w:sz w:val="24"/>
              </w:rPr>
              <w:t>A0</w:t>
            </w:r>
            <w:r>
              <w:rPr>
                <w:rFonts w:hint="eastAsia"/>
                <w:sz w:val="24"/>
              </w:rPr>
              <w:t>2</w:t>
            </w:r>
            <w:r>
              <w:rPr>
                <w:sz w:val="24"/>
              </w:rPr>
              <w:t>5</w:t>
            </w:r>
            <w:r>
              <w:rPr>
                <w:rFonts w:hint="eastAsia"/>
                <w:sz w:val="24"/>
              </w:rPr>
              <w:t>和TA026设计单位方案，活性炭对有机废气的设计去除效率（即吸附率）不低于90%，催化燃烧对活性炭吸附后脱附的有机废气的设计去除效率不低于97%，活性炭吸附后废气和催化燃烧后废气经同1根排气筒排放。因此本项目取催化燃烧装置开启时的排放情况进行分析。本项目101#厂房和1206#厂房试验脱附风量设计值为3000m</w:t>
            </w:r>
            <w:r>
              <w:rPr>
                <w:rFonts w:hint="eastAsia"/>
                <w:sz w:val="24"/>
                <w:vertAlign w:val="superscript"/>
              </w:rPr>
              <w:t>3</w:t>
            </w:r>
            <w:r>
              <w:rPr>
                <w:rFonts w:hint="eastAsia"/>
                <w:sz w:val="24"/>
              </w:rPr>
              <w:t>/h，1205#厂房试验脱附风量设计值为1500m</w:t>
            </w:r>
            <w:r>
              <w:rPr>
                <w:rFonts w:hint="eastAsia"/>
                <w:sz w:val="24"/>
                <w:vertAlign w:val="superscript"/>
              </w:rPr>
              <w:t>3</w:t>
            </w:r>
            <w:r>
              <w:rPr>
                <w:rFonts w:hint="eastAsia"/>
                <w:sz w:val="24"/>
              </w:rPr>
              <w:t>/h。</w:t>
            </w:r>
          </w:p>
          <w:p w14:paraId="520AC5E3">
            <w:pPr>
              <w:adjustRightInd w:val="0"/>
              <w:snapToGrid w:val="0"/>
              <w:spacing w:line="460" w:lineRule="exact"/>
              <w:ind w:firstLine="480" w:firstLineChars="200"/>
              <w:rPr>
                <w:sz w:val="24"/>
              </w:rPr>
            </w:pPr>
            <w:r>
              <w:rPr>
                <w:rFonts w:hint="eastAsia"/>
                <w:sz w:val="24"/>
              </w:rPr>
              <w:t>本项目使用“活性炭吸附/脱附-催化燃烧”装置废气走向示意图如下：</w:t>
            </w:r>
          </w:p>
          <w:p w14:paraId="520AC5E4">
            <w:pPr>
              <w:adjustRightInd w:val="0"/>
              <w:snapToGrid w:val="0"/>
              <w:jc w:val="center"/>
              <w:textAlignment w:val="baseline"/>
              <w:rPr>
                <w:bCs/>
                <w:sz w:val="24"/>
                <w:highlight w:val="yellow"/>
              </w:rPr>
            </w:pPr>
            <w:r>
              <w:fldChar w:fldCharType="begin"/>
            </w:r>
            <w:r>
              <w:instrText xml:space="preserve"> INCLUDEPICTURE "D:\\企业微信文件\\WXWork\\1688855055273330\\Cache\\Image\\2023-03\\企业微信截图_16793608322279(3).png" \* MERGEFORMATINET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fldChar w:fldCharType="begin"/>
            </w:r>
            <w:r>
              <w:instrText xml:space="preserve"> </w:instrText>
            </w:r>
            <w:r>
              <w:rPr>
                <w:rFonts w:hint="eastAsia"/>
              </w:rPr>
              <w:instrText xml:space="preserve">INCLUDEPICTURE  "D:\\企业微信文件\\WXWork\\1688855055273330\\Cache\\Image\\2023-03\\企业微信截图_16793608322279(3).png" \* MERGEFORMATINET</w:instrText>
            </w:r>
            <w:r>
              <w:instrText xml:space="preserve"> </w:instrText>
            </w:r>
            <w:r>
              <w:fldChar w:fldCharType="separate"/>
            </w:r>
            <w:r>
              <w:pict>
                <v:shape id="_x0000_i1029" o:spt="75" alt="" type="#_x0000_t75" style="height:258pt;width:360pt;" filled="f" o:preferrelative="t" stroked="f" coordsize="21600,21600">
                  <v:fill on="f" focussize="0,0"/>
                  <v:stroke on="f"/>
                  <v:imagedata r:id="rId26" o:title=""/>
                  <o:lock v:ext="edit" aspectratio="t"/>
                  <w10:wrap type="none"/>
                  <w10:anchorlock/>
                </v:shape>
              </w:pict>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p>
          <w:p w14:paraId="520AC5E5">
            <w:pPr>
              <w:adjustRightInd w:val="0"/>
              <w:snapToGrid w:val="0"/>
              <w:jc w:val="center"/>
              <w:textAlignment w:val="baseline"/>
              <w:rPr>
                <w:rFonts w:eastAsia="黑体"/>
                <w:bCs/>
                <w:sz w:val="24"/>
              </w:rPr>
            </w:pPr>
            <w:r>
              <w:rPr>
                <w:rFonts w:eastAsia="黑体"/>
                <w:sz w:val="24"/>
              </w:rPr>
              <w:t>图</w:t>
            </w:r>
            <w:r>
              <w:rPr>
                <w:rFonts w:hint="eastAsia" w:eastAsia="黑体"/>
                <w:sz w:val="24"/>
              </w:rPr>
              <w:t>1</w:t>
            </w:r>
            <w:r>
              <w:rPr>
                <w:rFonts w:eastAsia="黑体"/>
                <w:sz w:val="24"/>
              </w:rPr>
              <w:t>0  活性炭吸附/脱附-催化燃烧装置废气走向图</w:t>
            </w:r>
          </w:p>
          <w:p w14:paraId="520AC5E6">
            <w:pPr>
              <w:adjustRightInd w:val="0"/>
              <w:snapToGrid w:val="0"/>
              <w:spacing w:line="460" w:lineRule="exact"/>
              <w:ind w:firstLine="480" w:firstLineChars="200"/>
              <w:textAlignment w:val="baseline"/>
              <w:rPr>
                <w:bCs/>
                <w:sz w:val="24"/>
              </w:rPr>
            </w:pPr>
            <w:r>
              <w:rPr>
                <w:bCs/>
                <w:sz w:val="24"/>
              </w:rPr>
              <w:t>本项目</w:t>
            </w:r>
            <w:r>
              <w:rPr>
                <w:rFonts w:hint="eastAsia"/>
                <w:bCs/>
                <w:sz w:val="24"/>
              </w:rPr>
              <w:t>三套</w:t>
            </w:r>
            <w:r>
              <w:rPr>
                <w:bCs/>
                <w:sz w:val="24"/>
              </w:rPr>
              <w:t>催化燃烧装置</w:t>
            </w:r>
            <w:r>
              <w:rPr>
                <w:rFonts w:hint="eastAsia"/>
                <w:bCs/>
                <w:sz w:val="24"/>
              </w:rPr>
              <w:t>均分别</w:t>
            </w:r>
            <w:r>
              <w:rPr>
                <w:bCs/>
                <w:sz w:val="24"/>
              </w:rPr>
              <w:t>设2个活性炭床，一套用于脱附，</w:t>
            </w:r>
            <w:r>
              <w:rPr>
                <w:rFonts w:hint="eastAsia"/>
                <w:bCs/>
                <w:sz w:val="24"/>
              </w:rPr>
              <w:t>一套</w:t>
            </w:r>
            <w:r>
              <w:rPr>
                <w:bCs/>
                <w:sz w:val="24"/>
              </w:rPr>
              <w:t>用于吸附，有机废气先进入活性炭吸附床进行吸附，经处理后的洁净气体经过排气筒</w:t>
            </w:r>
            <w:r>
              <w:rPr>
                <w:rFonts w:hint="eastAsia"/>
                <w:bCs/>
                <w:sz w:val="24"/>
              </w:rPr>
              <w:t>有组织</w:t>
            </w:r>
            <w:r>
              <w:rPr>
                <w:bCs/>
                <w:sz w:val="24"/>
              </w:rPr>
              <w:t>排放。气流走向见上图废气走向图红色走向。</w:t>
            </w:r>
          </w:p>
          <w:p w14:paraId="520AC5E7">
            <w:pPr>
              <w:adjustRightInd w:val="0"/>
              <w:snapToGrid w:val="0"/>
              <w:spacing w:line="460" w:lineRule="exact"/>
              <w:ind w:firstLine="480" w:firstLineChars="200"/>
              <w:textAlignment w:val="baseline"/>
              <w:rPr>
                <w:bCs/>
                <w:sz w:val="24"/>
              </w:rPr>
            </w:pPr>
            <w:r>
              <w:rPr>
                <w:bCs/>
                <w:sz w:val="24"/>
              </w:rPr>
              <w:t>活性炭经过吸附达到饱和，启动系统的脱附-催化燃烧过程（见上图绿色走向），达到饱和状态的吸附床停止吸附，通过阀门切换进入脱附状态，原用于脱附的活性炭床开启吸附模式，交替进行。</w:t>
            </w:r>
          </w:p>
          <w:p w14:paraId="520AC5E8">
            <w:pPr>
              <w:adjustRightInd w:val="0"/>
              <w:snapToGrid w:val="0"/>
              <w:spacing w:line="460" w:lineRule="exact"/>
              <w:ind w:firstLine="480" w:firstLineChars="200"/>
              <w:rPr>
                <w:sz w:val="24"/>
              </w:rPr>
            </w:pPr>
            <w:r>
              <w:rPr>
                <w:bCs/>
                <w:sz w:val="24"/>
              </w:rPr>
              <w:t>脱附状态通过热气流将原来已经吸附在活性炭表面的有机</w:t>
            </w:r>
            <w:r>
              <w:rPr>
                <w:rFonts w:hint="eastAsia"/>
                <w:bCs/>
                <w:sz w:val="24"/>
              </w:rPr>
              <w:t>废气</w:t>
            </w:r>
            <w:r>
              <w:rPr>
                <w:bCs/>
                <w:sz w:val="24"/>
              </w:rPr>
              <w:t>脱附出来，并经过催化燃烧反应转化生成CO</w:t>
            </w:r>
            <w:r>
              <w:rPr>
                <w:bCs/>
                <w:sz w:val="24"/>
                <w:vertAlign w:val="subscript"/>
              </w:rPr>
              <w:t>2</w:t>
            </w:r>
            <w:r>
              <w:rPr>
                <w:bCs/>
                <w:sz w:val="24"/>
              </w:rPr>
              <w:t>和水蒸气等无害物质，并放出热量。反应产生的部分热废气经过热交换部分回用到脱附气流中进行脱附，其余废气经排气筒排放。燃烧温度</w:t>
            </w:r>
            <w:r>
              <w:rPr>
                <w:rFonts w:hint="eastAsia"/>
                <w:bCs/>
                <w:sz w:val="24"/>
              </w:rPr>
              <w:t>大于</w:t>
            </w:r>
            <w:r>
              <w:rPr>
                <w:bCs/>
                <w:sz w:val="24"/>
              </w:rPr>
              <w:t>300℃，使用电加热。</w:t>
            </w:r>
            <w:r>
              <w:rPr>
                <w:rFonts w:hint="eastAsia"/>
                <w:bCs/>
                <w:sz w:val="24"/>
              </w:rPr>
              <w:t>由于本项目非甲烷总烃产生量较小，活性炭脱附时间为25d/次（年工作250d/a），</w:t>
            </w:r>
            <w:r>
              <w:rPr>
                <w:bCs/>
                <w:sz w:val="24"/>
              </w:rPr>
              <w:t>每次催化燃烧的设计时间为</w:t>
            </w:r>
            <w:r>
              <w:rPr>
                <w:rFonts w:hint="eastAsia"/>
                <w:bCs/>
                <w:sz w:val="24"/>
              </w:rPr>
              <w:t>10</w:t>
            </w:r>
            <w:r>
              <w:rPr>
                <w:bCs/>
                <w:sz w:val="24"/>
              </w:rPr>
              <w:t>h</w:t>
            </w:r>
            <w:r>
              <w:rPr>
                <w:rFonts w:hint="eastAsia"/>
                <w:bCs/>
                <w:sz w:val="24"/>
              </w:rPr>
              <w:t>。</w:t>
            </w:r>
            <w:r>
              <w:rPr>
                <w:rFonts w:hint="eastAsia"/>
                <w:sz w:val="24"/>
              </w:rPr>
              <w:t>本项目1205#厂房、101#厂房和1206#厂房试验废气收集风量均为3000m</w:t>
            </w:r>
            <w:r>
              <w:rPr>
                <w:rFonts w:hint="eastAsia"/>
                <w:sz w:val="24"/>
                <w:vertAlign w:val="superscript"/>
              </w:rPr>
              <w:t>3</w:t>
            </w:r>
            <w:r>
              <w:rPr>
                <w:rFonts w:hint="eastAsia"/>
                <w:sz w:val="24"/>
              </w:rPr>
              <w:t>/h，101#厂房和1206#厂房脱附风量均为3000</w:t>
            </w:r>
            <w:r>
              <w:rPr>
                <w:sz w:val="24"/>
              </w:rPr>
              <w:t>m</w:t>
            </w:r>
            <w:r>
              <w:rPr>
                <w:sz w:val="24"/>
                <w:vertAlign w:val="superscript"/>
              </w:rPr>
              <w:t>3</w:t>
            </w:r>
            <w:r>
              <w:rPr>
                <w:sz w:val="24"/>
              </w:rPr>
              <w:t>/h</w:t>
            </w:r>
            <w:r>
              <w:rPr>
                <w:rFonts w:hint="eastAsia"/>
                <w:sz w:val="24"/>
              </w:rPr>
              <w:t>，1205#厂房脱附风量均为1500</w:t>
            </w:r>
            <w:r>
              <w:rPr>
                <w:sz w:val="24"/>
              </w:rPr>
              <w:t>m</w:t>
            </w:r>
            <w:r>
              <w:rPr>
                <w:sz w:val="24"/>
                <w:vertAlign w:val="superscript"/>
              </w:rPr>
              <w:t>3</w:t>
            </w:r>
            <w:r>
              <w:rPr>
                <w:sz w:val="24"/>
              </w:rPr>
              <w:t>/h</w:t>
            </w:r>
            <w:r>
              <w:rPr>
                <w:rFonts w:hint="eastAsia"/>
                <w:sz w:val="24"/>
              </w:rPr>
              <w:t>。</w:t>
            </w:r>
          </w:p>
          <w:p w14:paraId="520AC5E9">
            <w:pPr>
              <w:adjustRightInd w:val="0"/>
              <w:snapToGrid w:val="0"/>
              <w:spacing w:line="460" w:lineRule="exact"/>
              <w:ind w:firstLine="482" w:firstLineChars="200"/>
              <w:rPr>
                <w:b/>
                <w:bCs/>
                <w:kern w:val="0"/>
                <w:sz w:val="24"/>
              </w:rPr>
            </w:pPr>
            <w:r>
              <w:rPr>
                <w:rFonts w:hint="eastAsia"/>
                <w:b/>
                <w:bCs/>
                <w:sz w:val="24"/>
              </w:rPr>
              <w:t>仅本项目运行时</w:t>
            </w:r>
            <w:r>
              <w:rPr>
                <w:b/>
                <w:bCs/>
                <w:sz w:val="24"/>
              </w:rPr>
              <w:t>废气污染物产排情况如下</w:t>
            </w:r>
            <w:r>
              <w:rPr>
                <w:rFonts w:hint="eastAsia"/>
                <w:b/>
                <w:bCs/>
                <w:kern w:val="0"/>
                <w:sz w:val="24"/>
              </w:rPr>
              <w:t>：</w:t>
            </w:r>
          </w:p>
          <w:p w14:paraId="02688F80">
            <w:pPr>
              <w:adjustRightInd w:val="0"/>
              <w:snapToGrid w:val="0"/>
              <w:spacing w:line="460" w:lineRule="exact"/>
              <w:ind w:firstLine="480" w:firstLineChars="200"/>
              <w:rPr>
                <w:rFonts w:eastAsia="黑体"/>
                <w:bCs/>
                <w:sz w:val="24"/>
              </w:rPr>
            </w:pPr>
          </w:p>
          <w:p w14:paraId="520AC5EA">
            <w:pPr>
              <w:adjustRightInd w:val="0"/>
              <w:snapToGrid w:val="0"/>
              <w:spacing w:line="460" w:lineRule="exact"/>
              <w:ind w:firstLine="480" w:firstLineChars="200"/>
              <w:rPr>
                <w:rFonts w:eastAsia="黑体"/>
                <w:bCs/>
                <w:sz w:val="24"/>
                <w:lang w:val="pt-BR"/>
              </w:rPr>
            </w:pPr>
            <w:r>
              <w:rPr>
                <w:rFonts w:eastAsia="黑体"/>
                <w:bCs/>
                <w:sz w:val="24"/>
              </w:rPr>
              <w:t>表</w:t>
            </w:r>
            <w:r>
              <w:rPr>
                <w:rFonts w:hint="eastAsia" w:eastAsia="黑体"/>
                <w:bCs/>
                <w:sz w:val="24"/>
                <w:lang w:val="pt-BR"/>
              </w:rPr>
              <w:t>55</w:t>
            </w:r>
            <w:r>
              <w:rPr>
                <w:rFonts w:eastAsia="黑体"/>
                <w:bCs/>
                <w:sz w:val="24"/>
                <w:lang w:val="pt-BR"/>
              </w:rPr>
              <w:t xml:space="preserve">         </w:t>
            </w:r>
            <w:r>
              <w:rPr>
                <w:rFonts w:hint="eastAsia" w:eastAsia="黑体"/>
                <w:bCs/>
                <w:sz w:val="24"/>
              </w:rPr>
              <w:t>本项目有机废气污染物的产排情况一览表1</w:t>
            </w:r>
          </w:p>
          <w:tbl>
            <w:tblPr>
              <w:tblStyle w:val="18"/>
              <w:tblW w:w="5000" w:type="pct"/>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0" w:type="dxa"/>
                <w:bottom w:w="0" w:type="dxa"/>
                <w:right w:w="0" w:type="dxa"/>
              </w:tblCellMar>
            </w:tblPr>
            <w:tblGrid>
              <w:gridCol w:w="543"/>
              <w:gridCol w:w="483"/>
              <w:gridCol w:w="778"/>
              <w:gridCol w:w="641"/>
              <w:gridCol w:w="707"/>
              <w:gridCol w:w="847"/>
              <w:gridCol w:w="707"/>
              <w:gridCol w:w="707"/>
              <w:gridCol w:w="707"/>
              <w:gridCol w:w="707"/>
              <w:gridCol w:w="707"/>
              <w:gridCol w:w="580"/>
            </w:tblGrid>
            <w:tr w14:paraId="520AC5F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PrEx>
              <w:trPr>
                <w:trHeight w:val="397" w:hRule="atLeast"/>
                <w:jc w:val="center"/>
              </w:trPr>
              <w:tc>
                <w:tcPr>
                  <w:tcW w:w="334" w:type="pct"/>
                  <w:vMerge w:val="restart"/>
                  <w:tcBorders>
                    <w:top w:val="single" w:color="auto" w:sz="8" w:space="0"/>
                    <w:left w:val="nil"/>
                    <w:bottom w:val="single" w:color="auto" w:sz="6" w:space="0"/>
                  </w:tcBorders>
                  <w:vAlign w:val="center"/>
                </w:tcPr>
                <w:p w14:paraId="520AC5EB">
                  <w:pPr>
                    <w:jc w:val="center"/>
                    <w:rPr>
                      <w:b/>
                      <w:szCs w:val="21"/>
                    </w:rPr>
                  </w:pPr>
                  <w:r>
                    <w:rPr>
                      <w:rFonts w:hint="eastAsia"/>
                      <w:b/>
                      <w:szCs w:val="21"/>
                    </w:rPr>
                    <w:t>产污环节</w:t>
                  </w:r>
                </w:p>
              </w:tc>
              <w:tc>
                <w:tcPr>
                  <w:tcW w:w="297" w:type="pct"/>
                  <w:vMerge w:val="restart"/>
                  <w:tcBorders>
                    <w:top w:val="single" w:color="auto" w:sz="8" w:space="0"/>
                    <w:left w:val="nil"/>
                    <w:bottom w:val="single" w:color="auto" w:sz="6" w:space="0"/>
                  </w:tcBorders>
                  <w:vAlign w:val="center"/>
                </w:tcPr>
                <w:p w14:paraId="520AC5EC">
                  <w:pPr>
                    <w:jc w:val="center"/>
                    <w:rPr>
                      <w:bCs/>
                      <w:szCs w:val="21"/>
                    </w:rPr>
                  </w:pPr>
                  <w:r>
                    <w:rPr>
                      <w:b/>
                      <w:szCs w:val="21"/>
                    </w:rPr>
                    <w:t>污染因子</w:t>
                  </w:r>
                </w:p>
              </w:tc>
              <w:tc>
                <w:tcPr>
                  <w:tcW w:w="1832" w:type="pct"/>
                  <w:gridSpan w:val="4"/>
                  <w:tcBorders>
                    <w:top w:val="single" w:color="auto" w:sz="8" w:space="0"/>
                    <w:bottom w:val="single" w:color="auto" w:sz="6" w:space="0"/>
                  </w:tcBorders>
                  <w:vAlign w:val="center"/>
                </w:tcPr>
                <w:p w14:paraId="520AC5ED">
                  <w:pPr>
                    <w:jc w:val="center"/>
                    <w:rPr>
                      <w:b/>
                      <w:szCs w:val="21"/>
                    </w:rPr>
                  </w:pPr>
                  <w:r>
                    <w:rPr>
                      <w:b/>
                      <w:szCs w:val="21"/>
                    </w:rPr>
                    <w:t>产生情况</w:t>
                  </w:r>
                </w:p>
              </w:tc>
              <w:tc>
                <w:tcPr>
                  <w:tcW w:w="872" w:type="pct"/>
                  <w:gridSpan w:val="2"/>
                  <w:tcBorders>
                    <w:top w:val="single" w:color="auto" w:sz="8" w:space="0"/>
                    <w:bottom w:val="single" w:color="auto" w:sz="6" w:space="0"/>
                    <w:right w:val="single" w:color="auto" w:sz="4" w:space="0"/>
                  </w:tcBorders>
                  <w:vAlign w:val="center"/>
                </w:tcPr>
                <w:p w14:paraId="520AC5EE">
                  <w:pPr>
                    <w:jc w:val="center"/>
                    <w:rPr>
                      <w:b/>
                      <w:szCs w:val="21"/>
                    </w:rPr>
                  </w:pPr>
                  <w:r>
                    <w:rPr>
                      <w:b/>
                      <w:szCs w:val="21"/>
                    </w:rPr>
                    <w:t>活性炭吸附后排放情况</w:t>
                  </w:r>
                </w:p>
              </w:tc>
              <w:tc>
                <w:tcPr>
                  <w:tcW w:w="872" w:type="pct"/>
                  <w:gridSpan w:val="2"/>
                  <w:tcBorders>
                    <w:top w:val="single" w:color="auto" w:sz="8" w:space="0"/>
                    <w:left w:val="single" w:color="auto" w:sz="4" w:space="0"/>
                    <w:bottom w:val="single" w:color="auto" w:sz="6" w:space="0"/>
                    <w:right w:val="single" w:color="auto" w:sz="4" w:space="0"/>
                  </w:tcBorders>
                  <w:vAlign w:val="center"/>
                </w:tcPr>
                <w:p w14:paraId="520AC5EF">
                  <w:pPr>
                    <w:jc w:val="center"/>
                    <w:rPr>
                      <w:b/>
                      <w:szCs w:val="21"/>
                    </w:rPr>
                  </w:pPr>
                  <w:r>
                    <w:rPr>
                      <w:b/>
                      <w:szCs w:val="21"/>
                    </w:rPr>
                    <w:t>脱附</w:t>
                  </w:r>
                  <w:r>
                    <w:rPr>
                      <w:rFonts w:hint="eastAsia"/>
                      <w:b/>
                      <w:szCs w:val="21"/>
                    </w:rPr>
                    <w:t>情况</w:t>
                  </w:r>
                </w:p>
              </w:tc>
              <w:tc>
                <w:tcPr>
                  <w:tcW w:w="793" w:type="pct"/>
                  <w:gridSpan w:val="2"/>
                  <w:tcBorders>
                    <w:top w:val="single" w:color="auto" w:sz="8" w:space="0"/>
                    <w:left w:val="single" w:color="auto" w:sz="4" w:space="0"/>
                    <w:bottom w:val="single" w:color="auto" w:sz="6" w:space="0"/>
                    <w:right w:val="nil"/>
                  </w:tcBorders>
                  <w:vAlign w:val="center"/>
                </w:tcPr>
                <w:p w14:paraId="520AC5F0">
                  <w:pPr>
                    <w:jc w:val="center"/>
                    <w:rPr>
                      <w:b/>
                      <w:szCs w:val="21"/>
                    </w:rPr>
                  </w:pPr>
                  <w:r>
                    <w:rPr>
                      <w:b/>
                      <w:szCs w:val="21"/>
                    </w:rPr>
                    <w:t>催化燃烧后排放情况</w:t>
                  </w:r>
                </w:p>
              </w:tc>
            </w:tr>
            <w:tr w14:paraId="520AC5FE">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34" w:type="pct"/>
                  <w:vMerge w:val="continue"/>
                  <w:tcBorders>
                    <w:top w:val="single" w:color="auto" w:sz="6" w:space="0"/>
                    <w:left w:val="nil"/>
                    <w:bottom w:val="single" w:color="auto" w:sz="6" w:space="0"/>
                  </w:tcBorders>
                  <w:vAlign w:val="center"/>
                </w:tcPr>
                <w:p w14:paraId="520AC5F2">
                  <w:pPr>
                    <w:jc w:val="center"/>
                    <w:rPr>
                      <w:bCs/>
                      <w:szCs w:val="21"/>
                    </w:rPr>
                  </w:pPr>
                </w:p>
              </w:tc>
              <w:tc>
                <w:tcPr>
                  <w:tcW w:w="297" w:type="pct"/>
                  <w:vMerge w:val="continue"/>
                  <w:tcBorders>
                    <w:top w:val="single" w:color="auto" w:sz="6" w:space="0"/>
                    <w:left w:val="nil"/>
                    <w:bottom w:val="single" w:color="auto" w:sz="6" w:space="0"/>
                  </w:tcBorders>
                  <w:vAlign w:val="center"/>
                </w:tcPr>
                <w:p w14:paraId="520AC5F3">
                  <w:pPr>
                    <w:jc w:val="center"/>
                    <w:rPr>
                      <w:bCs/>
                      <w:szCs w:val="21"/>
                    </w:rPr>
                  </w:pPr>
                </w:p>
              </w:tc>
              <w:tc>
                <w:tcPr>
                  <w:tcW w:w="479" w:type="pct"/>
                  <w:tcBorders>
                    <w:top w:val="single" w:color="auto" w:sz="6" w:space="0"/>
                    <w:bottom w:val="single" w:color="auto" w:sz="6" w:space="0"/>
                    <w:right w:val="single" w:color="auto" w:sz="4" w:space="0"/>
                  </w:tcBorders>
                  <w:tcMar>
                    <w:right w:w="79" w:type="dxa"/>
                  </w:tcMar>
                  <w:vAlign w:val="center"/>
                </w:tcPr>
                <w:p w14:paraId="520AC5F4">
                  <w:pPr>
                    <w:jc w:val="center"/>
                    <w:rPr>
                      <w:b/>
                      <w:szCs w:val="21"/>
                    </w:rPr>
                  </w:pPr>
                  <w:r>
                    <w:rPr>
                      <w:rFonts w:hint="eastAsia"/>
                      <w:b/>
                      <w:szCs w:val="21"/>
                    </w:rPr>
                    <w:t>产生</w:t>
                  </w:r>
                  <w:r>
                    <w:rPr>
                      <w:b/>
                      <w:szCs w:val="21"/>
                    </w:rPr>
                    <w:t>量(t/a)</w:t>
                  </w:r>
                </w:p>
              </w:tc>
              <w:tc>
                <w:tcPr>
                  <w:tcW w:w="395" w:type="pct"/>
                  <w:tcBorders>
                    <w:top w:val="single" w:color="auto" w:sz="6" w:space="0"/>
                    <w:bottom w:val="single" w:color="auto" w:sz="6" w:space="0"/>
                    <w:right w:val="single" w:color="auto" w:sz="4" w:space="0"/>
                  </w:tcBorders>
                  <w:vAlign w:val="center"/>
                </w:tcPr>
                <w:p w14:paraId="520AC5F5">
                  <w:pPr>
                    <w:jc w:val="center"/>
                    <w:rPr>
                      <w:b/>
                      <w:szCs w:val="21"/>
                    </w:rPr>
                  </w:pPr>
                  <w:r>
                    <w:rPr>
                      <w:rFonts w:hint="eastAsia"/>
                      <w:b/>
                      <w:szCs w:val="21"/>
                    </w:rPr>
                    <w:t>收集</w:t>
                  </w:r>
                  <w:r>
                    <w:rPr>
                      <w:b/>
                      <w:szCs w:val="21"/>
                    </w:rPr>
                    <w:t>量(t/a)</w:t>
                  </w:r>
                </w:p>
              </w:tc>
              <w:tc>
                <w:tcPr>
                  <w:tcW w:w="436" w:type="pct"/>
                  <w:tcBorders>
                    <w:top w:val="single" w:color="auto" w:sz="6" w:space="0"/>
                    <w:left w:val="single" w:color="auto" w:sz="4" w:space="0"/>
                    <w:bottom w:val="single" w:color="auto" w:sz="6" w:space="0"/>
                  </w:tcBorders>
                  <w:vAlign w:val="center"/>
                </w:tcPr>
                <w:p w14:paraId="520AC5F6">
                  <w:pPr>
                    <w:jc w:val="center"/>
                    <w:rPr>
                      <w:b/>
                      <w:szCs w:val="21"/>
                    </w:rPr>
                  </w:pPr>
                  <w:r>
                    <w:rPr>
                      <w:b/>
                      <w:szCs w:val="21"/>
                    </w:rPr>
                    <w:t>速率(kg/h)</w:t>
                  </w:r>
                </w:p>
              </w:tc>
              <w:tc>
                <w:tcPr>
                  <w:tcW w:w="522" w:type="pct"/>
                  <w:tcBorders>
                    <w:top w:val="single" w:color="auto" w:sz="6" w:space="0"/>
                    <w:bottom w:val="single" w:color="auto" w:sz="6" w:space="0"/>
                  </w:tcBorders>
                  <w:tcMar>
                    <w:right w:w="74" w:type="dxa"/>
                  </w:tcMar>
                  <w:vAlign w:val="center"/>
                </w:tcPr>
                <w:p w14:paraId="520AC5F7">
                  <w:pPr>
                    <w:jc w:val="center"/>
                    <w:rPr>
                      <w:b/>
                      <w:szCs w:val="21"/>
                    </w:rPr>
                  </w:pPr>
                  <w:r>
                    <w:rPr>
                      <w:b/>
                      <w:szCs w:val="21"/>
                    </w:rPr>
                    <w:t>浓度(mg/m</w:t>
                  </w:r>
                  <w:r>
                    <w:rPr>
                      <w:b/>
                      <w:szCs w:val="21"/>
                      <w:vertAlign w:val="superscript"/>
                    </w:rPr>
                    <w:t>3</w:t>
                  </w:r>
                  <w:r>
                    <w:rPr>
                      <w:b/>
                      <w:szCs w:val="21"/>
                    </w:rPr>
                    <w:t>)</w:t>
                  </w:r>
                </w:p>
              </w:tc>
              <w:tc>
                <w:tcPr>
                  <w:tcW w:w="436" w:type="pct"/>
                  <w:tcBorders>
                    <w:top w:val="single" w:color="auto" w:sz="6" w:space="0"/>
                    <w:bottom w:val="single" w:color="auto" w:sz="6" w:space="0"/>
                    <w:right w:val="single" w:color="auto" w:sz="4" w:space="0"/>
                  </w:tcBorders>
                  <w:vAlign w:val="center"/>
                </w:tcPr>
                <w:p w14:paraId="520AC5F8">
                  <w:pPr>
                    <w:jc w:val="center"/>
                    <w:rPr>
                      <w:b/>
                      <w:szCs w:val="21"/>
                    </w:rPr>
                  </w:pPr>
                  <w:r>
                    <w:rPr>
                      <w:b/>
                      <w:szCs w:val="21"/>
                    </w:rPr>
                    <w:t>排放量(t/a)</w:t>
                  </w:r>
                </w:p>
              </w:tc>
              <w:tc>
                <w:tcPr>
                  <w:tcW w:w="436" w:type="pct"/>
                  <w:tcBorders>
                    <w:top w:val="single" w:color="auto" w:sz="6" w:space="0"/>
                    <w:left w:val="single" w:color="auto" w:sz="4" w:space="0"/>
                    <w:bottom w:val="single" w:color="auto" w:sz="6" w:space="0"/>
                  </w:tcBorders>
                  <w:vAlign w:val="center"/>
                </w:tcPr>
                <w:p w14:paraId="520AC5F9">
                  <w:pPr>
                    <w:jc w:val="center"/>
                    <w:rPr>
                      <w:b/>
                      <w:szCs w:val="21"/>
                    </w:rPr>
                  </w:pPr>
                  <w:r>
                    <w:rPr>
                      <w:b/>
                      <w:szCs w:val="21"/>
                    </w:rPr>
                    <w:t>速率(kg/h)</w:t>
                  </w:r>
                </w:p>
              </w:tc>
              <w:tc>
                <w:tcPr>
                  <w:tcW w:w="436" w:type="pct"/>
                  <w:tcBorders>
                    <w:top w:val="single" w:color="auto" w:sz="6" w:space="0"/>
                    <w:bottom w:val="single" w:color="auto" w:sz="6" w:space="0"/>
                    <w:right w:val="single" w:color="auto" w:sz="4" w:space="0"/>
                  </w:tcBorders>
                  <w:vAlign w:val="center"/>
                </w:tcPr>
                <w:p w14:paraId="520AC5FA">
                  <w:pPr>
                    <w:jc w:val="center"/>
                    <w:rPr>
                      <w:b/>
                      <w:szCs w:val="21"/>
                    </w:rPr>
                  </w:pPr>
                  <w:r>
                    <w:rPr>
                      <w:rFonts w:hint="eastAsia"/>
                      <w:b/>
                      <w:szCs w:val="21"/>
                    </w:rPr>
                    <w:t>脱附</w:t>
                  </w:r>
                  <w:r>
                    <w:rPr>
                      <w:b/>
                      <w:szCs w:val="21"/>
                    </w:rPr>
                    <w:t>量(t/a)</w:t>
                  </w:r>
                </w:p>
              </w:tc>
              <w:tc>
                <w:tcPr>
                  <w:tcW w:w="436" w:type="pct"/>
                  <w:tcBorders>
                    <w:top w:val="single" w:color="auto" w:sz="6" w:space="0"/>
                    <w:left w:val="single" w:color="auto" w:sz="4" w:space="0"/>
                    <w:bottom w:val="single" w:color="auto" w:sz="6" w:space="0"/>
                    <w:right w:val="single" w:color="auto" w:sz="4" w:space="0"/>
                  </w:tcBorders>
                  <w:tcMar>
                    <w:left w:w="57" w:type="dxa"/>
                    <w:right w:w="57" w:type="dxa"/>
                  </w:tcMar>
                  <w:vAlign w:val="center"/>
                </w:tcPr>
                <w:p w14:paraId="520AC5FB">
                  <w:pPr>
                    <w:jc w:val="center"/>
                    <w:rPr>
                      <w:b/>
                      <w:szCs w:val="21"/>
                    </w:rPr>
                  </w:pPr>
                  <w:r>
                    <w:rPr>
                      <w:b/>
                      <w:szCs w:val="21"/>
                    </w:rPr>
                    <w:t>速率(kg/h)</w:t>
                  </w:r>
                </w:p>
              </w:tc>
              <w:tc>
                <w:tcPr>
                  <w:tcW w:w="436" w:type="pct"/>
                  <w:tcBorders>
                    <w:top w:val="single" w:color="auto" w:sz="6" w:space="0"/>
                    <w:left w:val="single" w:color="auto" w:sz="4" w:space="0"/>
                    <w:bottom w:val="single" w:color="auto" w:sz="6" w:space="0"/>
                    <w:right w:val="single" w:color="auto" w:sz="4" w:space="0"/>
                  </w:tcBorders>
                  <w:vAlign w:val="center"/>
                </w:tcPr>
                <w:p w14:paraId="520AC5FC">
                  <w:pPr>
                    <w:jc w:val="center"/>
                    <w:rPr>
                      <w:b/>
                      <w:szCs w:val="21"/>
                    </w:rPr>
                  </w:pPr>
                  <w:r>
                    <w:rPr>
                      <w:b/>
                      <w:szCs w:val="21"/>
                    </w:rPr>
                    <w:t>排放量(t/a)</w:t>
                  </w:r>
                </w:p>
              </w:tc>
              <w:tc>
                <w:tcPr>
                  <w:tcW w:w="357" w:type="pct"/>
                  <w:tcBorders>
                    <w:top w:val="single" w:color="auto" w:sz="6" w:space="0"/>
                    <w:left w:val="single" w:color="auto" w:sz="4" w:space="0"/>
                    <w:bottom w:val="single" w:color="auto" w:sz="6" w:space="0"/>
                    <w:right w:val="nil"/>
                  </w:tcBorders>
                  <w:vAlign w:val="center"/>
                </w:tcPr>
                <w:p w14:paraId="520AC5FD">
                  <w:pPr>
                    <w:jc w:val="center"/>
                    <w:rPr>
                      <w:b/>
                      <w:szCs w:val="21"/>
                    </w:rPr>
                  </w:pPr>
                  <w:r>
                    <w:rPr>
                      <w:b/>
                      <w:szCs w:val="21"/>
                    </w:rPr>
                    <w:t>速率(kg/h)</w:t>
                  </w:r>
                </w:p>
              </w:tc>
            </w:tr>
            <w:tr w14:paraId="520AC60B">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34" w:type="pct"/>
                  <w:tcBorders>
                    <w:top w:val="single" w:color="auto" w:sz="6" w:space="0"/>
                    <w:left w:val="nil"/>
                    <w:bottom w:val="single" w:color="auto" w:sz="6" w:space="0"/>
                  </w:tcBorders>
                  <w:vAlign w:val="center"/>
                </w:tcPr>
                <w:p w14:paraId="520AC5FF">
                  <w:pPr>
                    <w:ind w:firstLine="35" w:firstLineChars="17"/>
                    <w:jc w:val="center"/>
                    <w:rPr>
                      <w:bCs/>
                      <w:szCs w:val="21"/>
                      <w:lang w:val="pt-BR"/>
                    </w:rPr>
                  </w:pPr>
                  <w:r>
                    <w:rPr>
                      <w:rFonts w:hint="eastAsia"/>
                      <w:bCs/>
                      <w:szCs w:val="21"/>
                    </w:rPr>
                    <w:t>1205#厂房</w:t>
                  </w:r>
                </w:p>
              </w:tc>
              <w:tc>
                <w:tcPr>
                  <w:tcW w:w="297" w:type="pct"/>
                  <w:vMerge w:val="restart"/>
                  <w:tcBorders>
                    <w:top w:val="single" w:color="auto" w:sz="6" w:space="0"/>
                    <w:left w:val="nil"/>
                  </w:tcBorders>
                  <w:vAlign w:val="center"/>
                </w:tcPr>
                <w:p w14:paraId="520AC600">
                  <w:pPr>
                    <w:ind w:firstLine="35" w:firstLineChars="17"/>
                    <w:jc w:val="center"/>
                    <w:rPr>
                      <w:bCs/>
                      <w:szCs w:val="21"/>
                      <w:lang w:val="pt-BR"/>
                    </w:rPr>
                  </w:pPr>
                  <w:r>
                    <w:rPr>
                      <w:bCs/>
                      <w:szCs w:val="21"/>
                    </w:rPr>
                    <w:t>非甲烷总烃</w:t>
                  </w:r>
                </w:p>
              </w:tc>
              <w:tc>
                <w:tcPr>
                  <w:tcW w:w="479" w:type="pct"/>
                  <w:tcBorders>
                    <w:top w:val="single" w:color="auto" w:sz="6" w:space="0"/>
                    <w:bottom w:val="single" w:color="auto" w:sz="6" w:space="0"/>
                    <w:right w:val="single" w:color="auto" w:sz="4" w:space="0"/>
                  </w:tcBorders>
                  <w:vAlign w:val="center"/>
                </w:tcPr>
                <w:p w14:paraId="520AC601">
                  <w:pPr>
                    <w:jc w:val="center"/>
                    <w:rPr>
                      <w:rFonts w:eastAsia="等线"/>
                      <w:szCs w:val="21"/>
                    </w:rPr>
                  </w:pPr>
                  <w:r>
                    <w:rPr>
                      <w:szCs w:val="21"/>
                    </w:rPr>
                    <w:t>0.0</w:t>
                  </w:r>
                  <w:r>
                    <w:rPr>
                      <w:rFonts w:hint="eastAsia"/>
                      <w:szCs w:val="21"/>
                    </w:rPr>
                    <w:t>2</w:t>
                  </w:r>
                  <w:r>
                    <w:rPr>
                      <w:szCs w:val="21"/>
                    </w:rPr>
                    <w:t>5</w:t>
                  </w:r>
                </w:p>
              </w:tc>
              <w:tc>
                <w:tcPr>
                  <w:tcW w:w="395" w:type="pct"/>
                  <w:tcBorders>
                    <w:top w:val="single" w:color="auto" w:sz="6" w:space="0"/>
                    <w:bottom w:val="single" w:color="auto" w:sz="6" w:space="0"/>
                    <w:right w:val="single" w:color="auto" w:sz="4" w:space="0"/>
                  </w:tcBorders>
                  <w:vAlign w:val="center"/>
                </w:tcPr>
                <w:p w14:paraId="520AC602">
                  <w:pPr>
                    <w:jc w:val="center"/>
                    <w:rPr>
                      <w:rFonts w:eastAsia="等线"/>
                      <w:szCs w:val="21"/>
                    </w:rPr>
                  </w:pPr>
                  <w:r>
                    <w:rPr>
                      <w:rFonts w:hint="eastAsia" w:eastAsia="等线"/>
                      <w:szCs w:val="21"/>
                    </w:rPr>
                    <w:t>0.0238</w:t>
                  </w:r>
                </w:p>
              </w:tc>
              <w:tc>
                <w:tcPr>
                  <w:tcW w:w="436" w:type="pct"/>
                  <w:tcBorders>
                    <w:top w:val="single" w:color="auto" w:sz="6" w:space="0"/>
                    <w:left w:val="single" w:color="auto" w:sz="4" w:space="0"/>
                    <w:bottom w:val="single" w:color="auto" w:sz="6" w:space="0"/>
                  </w:tcBorders>
                  <w:vAlign w:val="center"/>
                </w:tcPr>
                <w:p w14:paraId="520AC603">
                  <w:pPr>
                    <w:jc w:val="center"/>
                    <w:rPr>
                      <w:rFonts w:eastAsia="等线"/>
                      <w:szCs w:val="21"/>
                    </w:rPr>
                  </w:pPr>
                  <w:r>
                    <w:rPr>
                      <w:rFonts w:eastAsia="等线"/>
                      <w:szCs w:val="21"/>
                    </w:rPr>
                    <w:t>0.0238</w:t>
                  </w:r>
                </w:p>
              </w:tc>
              <w:tc>
                <w:tcPr>
                  <w:tcW w:w="522" w:type="pct"/>
                  <w:tcBorders>
                    <w:top w:val="single" w:color="auto" w:sz="6" w:space="0"/>
                    <w:bottom w:val="single" w:color="auto" w:sz="6" w:space="0"/>
                  </w:tcBorders>
                  <w:vAlign w:val="center"/>
                </w:tcPr>
                <w:p w14:paraId="520AC604">
                  <w:pPr>
                    <w:jc w:val="center"/>
                    <w:rPr>
                      <w:szCs w:val="21"/>
                    </w:rPr>
                  </w:pPr>
                  <w:r>
                    <w:rPr>
                      <w:rFonts w:hint="eastAsia" w:eastAsia="等线"/>
                      <w:szCs w:val="21"/>
                    </w:rPr>
                    <w:t>7</w:t>
                  </w:r>
                  <w:r>
                    <w:rPr>
                      <w:rFonts w:eastAsia="等线"/>
                      <w:szCs w:val="21"/>
                    </w:rPr>
                    <w:t>.9</w:t>
                  </w:r>
                </w:p>
              </w:tc>
              <w:tc>
                <w:tcPr>
                  <w:tcW w:w="436" w:type="pct"/>
                  <w:tcBorders>
                    <w:top w:val="single" w:color="auto" w:sz="6" w:space="0"/>
                    <w:bottom w:val="single" w:color="auto" w:sz="6" w:space="0"/>
                    <w:right w:val="single" w:color="auto" w:sz="4" w:space="0"/>
                  </w:tcBorders>
                  <w:vAlign w:val="center"/>
                </w:tcPr>
                <w:p w14:paraId="520AC605">
                  <w:pPr>
                    <w:jc w:val="center"/>
                    <w:rPr>
                      <w:szCs w:val="21"/>
                    </w:rPr>
                  </w:pPr>
                  <w:r>
                    <w:rPr>
                      <w:rFonts w:eastAsia="等线"/>
                      <w:szCs w:val="21"/>
                    </w:rPr>
                    <w:t>0.0024</w:t>
                  </w:r>
                </w:p>
              </w:tc>
              <w:tc>
                <w:tcPr>
                  <w:tcW w:w="436" w:type="pct"/>
                  <w:tcBorders>
                    <w:top w:val="single" w:color="auto" w:sz="6" w:space="0"/>
                    <w:left w:val="single" w:color="auto" w:sz="4" w:space="0"/>
                    <w:bottom w:val="single" w:color="auto" w:sz="6" w:space="0"/>
                  </w:tcBorders>
                  <w:vAlign w:val="center"/>
                </w:tcPr>
                <w:p w14:paraId="520AC606">
                  <w:pPr>
                    <w:jc w:val="center"/>
                    <w:rPr>
                      <w:szCs w:val="21"/>
                    </w:rPr>
                  </w:pPr>
                  <w:r>
                    <w:rPr>
                      <w:rFonts w:eastAsia="等线"/>
                      <w:szCs w:val="21"/>
                    </w:rPr>
                    <w:t>0.0024</w:t>
                  </w:r>
                </w:p>
              </w:tc>
              <w:tc>
                <w:tcPr>
                  <w:tcW w:w="436" w:type="pct"/>
                  <w:tcBorders>
                    <w:top w:val="single" w:color="auto" w:sz="6" w:space="0"/>
                    <w:bottom w:val="single" w:color="auto" w:sz="6" w:space="0"/>
                    <w:right w:val="single" w:color="auto" w:sz="4" w:space="0"/>
                  </w:tcBorders>
                  <w:vAlign w:val="center"/>
                </w:tcPr>
                <w:p w14:paraId="520AC607">
                  <w:pPr>
                    <w:jc w:val="center"/>
                    <w:rPr>
                      <w:szCs w:val="21"/>
                    </w:rPr>
                  </w:pPr>
                  <w:r>
                    <w:rPr>
                      <w:rFonts w:eastAsia="等线"/>
                      <w:szCs w:val="21"/>
                    </w:rPr>
                    <w:t>0.0214</w:t>
                  </w:r>
                </w:p>
              </w:tc>
              <w:tc>
                <w:tcPr>
                  <w:tcW w:w="436" w:type="pct"/>
                  <w:tcBorders>
                    <w:top w:val="single" w:color="auto" w:sz="6" w:space="0"/>
                    <w:left w:val="single" w:color="auto" w:sz="4" w:space="0"/>
                    <w:bottom w:val="single" w:color="auto" w:sz="6" w:space="0"/>
                    <w:right w:val="single" w:color="auto" w:sz="4" w:space="0"/>
                  </w:tcBorders>
                  <w:vAlign w:val="center"/>
                </w:tcPr>
                <w:p w14:paraId="520AC608">
                  <w:pPr>
                    <w:jc w:val="center"/>
                    <w:rPr>
                      <w:szCs w:val="21"/>
                    </w:rPr>
                  </w:pPr>
                  <w:r>
                    <w:rPr>
                      <w:rFonts w:eastAsia="等线"/>
                      <w:szCs w:val="21"/>
                    </w:rPr>
                    <w:t>0.214</w:t>
                  </w:r>
                </w:p>
              </w:tc>
              <w:tc>
                <w:tcPr>
                  <w:tcW w:w="436" w:type="pct"/>
                  <w:tcBorders>
                    <w:top w:val="single" w:color="auto" w:sz="6" w:space="0"/>
                    <w:left w:val="single" w:color="auto" w:sz="4" w:space="0"/>
                    <w:bottom w:val="single" w:color="auto" w:sz="6" w:space="0"/>
                  </w:tcBorders>
                  <w:vAlign w:val="center"/>
                </w:tcPr>
                <w:p w14:paraId="520AC609">
                  <w:pPr>
                    <w:jc w:val="center"/>
                    <w:rPr>
                      <w:szCs w:val="21"/>
                    </w:rPr>
                  </w:pPr>
                  <w:r>
                    <w:rPr>
                      <w:rFonts w:eastAsia="等线"/>
                      <w:szCs w:val="21"/>
                    </w:rPr>
                    <w:t>0.0006</w:t>
                  </w:r>
                </w:p>
              </w:tc>
              <w:tc>
                <w:tcPr>
                  <w:tcW w:w="357" w:type="pct"/>
                  <w:tcBorders>
                    <w:top w:val="single" w:color="auto" w:sz="6" w:space="0"/>
                    <w:bottom w:val="single" w:color="auto" w:sz="6" w:space="0"/>
                    <w:right w:val="nil"/>
                  </w:tcBorders>
                  <w:vAlign w:val="center"/>
                </w:tcPr>
                <w:p w14:paraId="520AC60A">
                  <w:pPr>
                    <w:jc w:val="center"/>
                    <w:rPr>
                      <w:szCs w:val="21"/>
                    </w:rPr>
                  </w:pPr>
                  <w:r>
                    <w:rPr>
                      <w:rFonts w:eastAsia="等线"/>
                      <w:szCs w:val="21"/>
                    </w:rPr>
                    <w:t>0.006</w:t>
                  </w:r>
                </w:p>
              </w:tc>
            </w:tr>
            <w:tr w14:paraId="520AC618">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34" w:type="pct"/>
                  <w:tcBorders>
                    <w:top w:val="single" w:color="auto" w:sz="6" w:space="0"/>
                    <w:left w:val="nil"/>
                    <w:bottom w:val="single" w:color="auto" w:sz="6" w:space="0"/>
                  </w:tcBorders>
                  <w:vAlign w:val="center"/>
                </w:tcPr>
                <w:p w14:paraId="520AC60C">
                  <w:pPr>
                    <w:ind w:firstLine="35" w:firstLineChars="17"/>
                    <w:jc w:val="center"/>
                    <w:rPr>
                      <w:bCs/>
                      <w:szCs w:val="21"/>
                    </w:rPr>
                  </w:pPr>
                  <w:r>
                    <w:rPr>
                      <w:rFonts w:hint="eastAsia"/>
                      <w:bCs/>
                      <w:szCs w:val="21"/>
                    </w:rPr>
                    <w:t>101#厂房</w:t>
                  </w:r>
                </w:p>
              </w:tc>
              <w:tc>
                <w:tcPr>
                  <w:tcW w:w="297" w:type="pct"/>
                  <w:vMerge w:val="continue"/>
                  <w:tcBorders>
                    <w:left w:val="nil"/>
                  </w:tcBorders>
                  <w:vAlign w:val="center"/>
                </w:tcPr>
                <w:p w14:paraId="520AC60D">
                  <w:pPr>
                    <w:ind w:firstLine="35" w:firstLineChars="17"/>
                    <w:jc w:val="center"/>
                    <w:rPr>
                      <w:bCs/>
                      <w:szCs w:val="21"/>
                    </w:rPr>
                  </w:pPr>
                </w:p>
              </w:tc>
              <w:tc>
                <w:tcPr>
                  <w:tcW w:w="479" w:type="pct"/>
                  <w:tcBorders>
                    <w:top w:val="single" w:color="auto" w:sz="6" w:space="0"/>
                    <w:bottom w:val="single" w:color="auto" w:sz="6" w:space="0"/>
                    <w:right w:val="single" w:color="auto" w:sz="4" w:space="0"/>
                  </w:tcBorders>
                  <w:vAlign w:val="center"/>
                </w:tcPr>
                <w:p w14:paraId="520AC60E">
                  <w:pPr>
                    <w:jc w:val="center"/>
                    <w:rPr>
                      <w:szCs w:val="21"/>
                    </w:rPr>
                  </w:pPr>
                  <w:r>
                    <w:rPr>
                      <w:rFonts w:hint="eastAsia"/>
                      <w:szCs w:val="21"/>
                    </w:rPr>
                    <w:t>0.004</w:t>
                  </w:r>
                </w:p>
              </w:tc>
              <w:tc>
                <w:tcPr>
                  <w:tcW w:w="395" w:type="pct"/>
                  <w:tcBorders>
                    <w:top w:val="single" w:color="auto" w:sz="6" w:space="0"/>
                    <w:bottom w:val="single" w:color="auto" w:sz="6" w:space="0"/>
                    <w:right w:val="single" w:color="auto" w:sz="4" w:space="0"/>
                  </w:tcBorders>
                  <w:vAlign w:val="center"/>
                </w:tcPr>
                <w:p w14:paraId="520AC60F">
                  <w:pPr>
                    <w:jc w:val="center"/>
                    <w:rPr>
                      <w:szCs w:val="21"/>
                    </w:rPr>
                  </w:pPr>
                  <w:r>
                    <w:rPr>
                      <w:rFonts w:hint="eastAsia"/>
                      <w:szCs w:val="21"/>
                    </w:rPr>
                    <w:t>0.0038</w:t>
                  </w:r>
                </w:p>
              </w:tc>
              <w:tc>
                <w:tcPr>
                  <w:tcW w:w="436" w:type="pct"/>
                  <w:tcBorders>
                    <w:top w:val="single" w:color="auto" w:sz="6" w:space="0"/>
                    <w:left w:val="single" w:color="auto" w:sz="4" w:space="0"/>
                    <w:bottom w:val="single" w:color="auto" w:sz="6" w:space="0"/>
                  </w:tcBorders>
                  <w:vAlign w:val="center"/>
                </w:tcPr>
                <w:p w14:paraId="520AC610">
                  <w:pPr>
                    <w:jc w:val="center"/>
                    <w:rPr>
                      <w:szCs w:val="21"/>
                    </w:rPr>
                  </w:pPr>
                  <w:r>
                    <w:rPr>
                      <w:rFonts w:eastAsia="等线"/>
                      <w:szCs w:val="21"/>
                    </w:rPr>
                    <w:t>0.0038</w:t>
                  </w:r>
                </w:p>
              </w:tc>
              <w:tc>
                <w:tcPr>
                  <w:tcW w:w="522" w:type="pct"/>
                  <w:tcBorders>
                    <w:top w:val="single" w:color="auto" w:sz="6" w:space="0"/>
                    <w:bottom w:val="single" w:color="auto" w:sz="6" w:space="0"/>
                  </w:tcBorders>
                  <w:vAlign w:val="center"/>
                </w:tcPr>
                <w:p w14:paraId="520AC611">
                  <w:pPr>
                    <w:jc w:val="center"/>
                    <w:rPr>
                      <w:szCs w:val="21"/>
                    </w:rPr>
                  </w:pPr>
                  <w:r>
                    <w:rPr>
                      <w:rFonts w:hint="eastAsia" w:eastAsia="等线"/>
                      <w:szCs w:val="21"/>
                    </w:rPr>
                    <w:t>1.3</w:t>
                  </w:r>
                </w:p>
              </w:tc>
              <w:tc>
                <w:tcPr>
                  <w:tcW w:w="436" w:type="pct"/>
                  <w:tcBorders>
                    <w:top w:val="single" w:color="auto" w:sz="6" w:space="0"/>
                    <w:bottom w:val="single" w:color="auto" w:sz="6" w:space="0"/>
                    <w:right w:val="single" w:color="auto" w:sz="4" w:space="0"/>
                  </w:tcBorders>
                  <w:vAlign w:val="center"/>
                </w:tcPr>
                <w:p w14:paraId="520AC612">
                  <w:pPr>
                    <w:jc w:val="center"/>
                    <w:rPr>
                      <w:rFonts w:eastAsia="等线"/>
                      <w:szCs w:val="21"/>
                    </w:rPr>
                  </w:pPr>
                  <w:r>
                    <w:rPr>
                      <w:rFonts w:eastAsia="等线"/>
                      <w:szCs w:val="21"/>
                    </w:rPr>
                    <w:t>0.0004</w:t>
                  </w:r>
                </w:p>
              </w:tc>
              <w:tc>
                <w:tcPr>
                  <w:tcW w:w="436" w:type="pct"/>
                  <w:tcBorders>
                    <w:top w:val="single" w:color="auto" w:sz="6" w:space="0"/>
                    <w:left w:val="single" w:color="auto" w:sz="4" w:space="0"/>
                    <w:bottom w:val="single" w:color="auto" w:sz="6" w:space="0"/>
                  </w:tcBorders>
                  <w:vAlign w:val="center"/>
                </w:tcPr>
                <w:p w14:paraId="520AC613">
                  <w:pPr>
                    <w:jc w:val="center"/>
                    <w:rPr>
                      <w:rFonts w:eastAsia="等线"/>
                      <w:szCs w:val="21"/>
                    </w:rPr>
                  </w:pPr>
                  <w:r>
                    <w:rPr>
                      <w:rFonts w:eastAsia="等线"/>
                      <w:szCs w:val="21"/>
                    </w:rPr>
                    <w:t>0.0004</w:t>
                  </w:r>
                </w:p>
              </w:tc>
              <w:tc>
                <w:tcPr>
                  <w:tcW w:w="436" w:type="pct"/>
                  <w:tcBorders>
                    <w:top w:val="single" w:color="auto" w:sz="6" w:space="0"/>
                    <w:bottom w:val="single" w:color="auto" w:sz="6" w:space="0"/>
                    <w:right w:val="single" w:color="auto" w:sz="4" w:space="0"/>
                  </w:tcBorders>
                  <w:vAlign w:val="center"/>
                </w:tcPr>
                <w:p w14:paraId="520AC614">
                  <w:pPr>
                    <w:jc w:val="center"/>
                    <w:rPr>
                      <w:rFonts w:eastAsia="等线"/>
                      <w:szCs w:val="21"/>
                    </w:rPr>
                  </w:pPr>
                  <w:r>
                    <w:rPr>
                      <w:rFonts w:eastAsia="等线"/>
                      <w:szCs w:val="21"/>
                    </w:rPr>
                    <w:t>0.0034</w:t>
                  </w:r>
                </w:p>
              </w:tc>
              <w:tc>
                <w:tcPr>
                  <w:tcW w:w="436" w:type="pct"/>
                  <w:tcBorders>
                    <w:top w:val="single" w:color="auto" w:sz="6" w:space="0"/>
                    <w:left w:val="single" w:color="auto" w:sz="4" w:space="0"/>
                    <w:bottom w:val="single" w:color="auto" w:sz="6" w:space="0"/>
                    <w:right w:val="single" w:color="auto" w:sz="4" w:space="0"/>
                  </w:tcBorders>
                  <w:vAlign w:val="center"/>
                </w:tcPr>
                <w:p w14:paraId="520AC615">
                  <w:pPr>
                    <w:jc w:val="center"/>
                    <w:rPr>
                      <w:szCs w:val="21"/>
                    </w:rPr>
                  </w:pPr>
                  <w:r>
                    <w:rPr>
                      <w:rFonts w:eastAsia="等线"/>
                      <w:szCs w:val="21"/>
                    </w:rPr>
                    <w:t>0.034</w:t>
                  </w:r>
                </w:p>
              </w:tc>
              <w:tc>
                <w:tcPr>
                  <w:tcW w:w="436" w:type="pct"/>
                  <w:tcBorders>
                    <w:top w:val="single" w:color="auto" w:sz="6" w:space="0"/>
                    <w:left w:val="single" w:color="auto" w:sz="4" w:space="0"/>
                    <w:bottom w:val="single" w:color="auto" w:sz="6" w:space="0"/>
                  </w:tcBorders>
                  <w:vAlign w:val="center"/>
                </w:tcPr>
                <w:p w14:paraId="520AC616">
                  <w:pPr>
                    <w:jc w:val="center"/>
                    <w:rPr>
                      <w:rFonts w:eastAsia="等线"/>
                      <w:szCs w:val="21"/>
                    </w:rPr>
                  </w:pPr>
                  <w:r>
                    <w:rPr>
                      <w:rFonts w:eastAsia="等线"/>
                      <w:szCs w:val="21"/>
                    </w:rPr>
                    <w:t>0.0001</w:t>
                  </w:r>
                </w:p>
              </w:tc>
              <w:tc>
                <w:tcPr>
                  <w:tcW w:w="357" w:type="pct"/>
                  <w:tcBorders>
                    <w:top w:val="single" w:color="auto" w:sz="6" w:space="0"/>
                    <w:bottom w:val="single" w:color="auto" w:sz="6" w:space="0"/>
                    <w:right w:val="nil"/>
                  </w:tcBorders>
                  <w:vAlign w:val="center"/>
                </w:tcPr>
                <w:p w14:paraId="520AC617">
                  <w:pPr>
                    <w:jc w:val="center"/>
                    <w:rPr>
                      <w:rFonts w:eastAsia="等线"/>
                      <w:szCs w:val="21"/>
                    </w:rPr>
                  </w:pPr>
                  <w:r>
                    <w:rPr>
                      <w:rFonts w:eastAsia="等线"/>
                      <w:szCs w:val="21"/>
                    </w:rPr>
                    <w:t>0.001</w:t>
                  </w:r>
                </w:p>
              </w:tc>
            </w:tr>
            <w:tr w14:paraId="520AC625">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34" w:type="pct"/>
                  <w:tcBorders>
                    <w:top w:val="single" w:color="auto" w:sz="6" w:space="0"/>
                    <w:left w:val="nil"/>
                    <w:bottom w:val="single" w:color="auto" w:sz="6" w:space="0"/>
                  </w:tcBorders>
                  <w:vAlign w:val="center"/>
                </w:tcPr>
                <w:p w14:paraId="520AC619">
                  <w:pPr>
                    <w:ind w:firstLine="35" w:firstLineChars="17"/>
                    <w:jc w:val="center"/>
                    <w:rPr>
                      <w:bCs/>
                      <w:szCs w:val="21"/>
                    </w:rPr>
                  </w:pPr>
                  <w:r>
                    <w:rPr>
                      <w:rFonts w:hint="eastAsia"/>
                      <w:bCs/>
                      <w:szCs w:val="21"/>
                    </w:rPr>
                    <w:t>1206#厂房</w:t>
                  </w:r>
                </w:p>
              </w:tc>
              <w:tc>
                <w:tcPr>
                  <w:tcW w:w="297" w:type="pct"/>
                  <w:vMerge w:val="continue"/>
                  <w:tcBorders>
                    <w:left w:val="nil"/>
                  </w:tcBorders>
                  <w:vAlign w:val="center"/>
                </w:tcPr>
                <w:p w14:paraId="520AC61A">
                  <w:pPr>
                    <w:ind w:firstLine="35" w:firstLineChars="17"/>
                    <w:jc w:val="center"/>
                    <w:rPr>
                      <w:bCs/>
                      <w:szCs w:val="21"/>
                    </w:rPr>
                  </w:pPr>
                </w:p>
              </w:tc>
              <w:tc>
                <w:tcPr>
                  <w:tcW w:w="479" w:type="pct"/>
                  <w:tcBorders>
                    <w:top w:val="single" w:color="auto" w:sz="6" w:space="0"/>
                    <w:bottom w:val="single" w:color="auto" w:sz="6" w:space="0"/>
                    <w:right w:val="single" w:color="auto" w:sz="4" w:space="0"/>
                  </w:tcBorders>
                  <w:vAlign w:val="center"/>
                </w:tcPr>
                <w:p w14:paraId="520AC61B">
                  <w:pPr>
                    <w:jc w:val="center"/>
                    <w:rPr>
                      <w:szCs w:val="21"/>
                    </w:rPr>
                  </w:pPr>
                  <w:r>
                    <w:rPr>
                      <w:rFonts w:hint="eastAsia"/>
                      <w:szCs w:val="21"/>
                    </w:rPr>
                    <w:t>0.0012</w:t>
                  </w:r>
                </w:p>
              </w:tc>
              <w:tc>
                <w:tcPr>
                  <w:tcW w:w="395" w:type="pct"/>
                  <w:tcBorders>
                    <w:top w:val="single" w:color="auto" w:sz="6" w:space="0"/>
                    <w:bottom w:val="single" w:color="auto" w:sz="6" w:space="0"/>
                    <w:right w:val="single" w:color="auto" w:sz="4" w:space="0"/>
                  </w:tcBorders>
                  <w:vAlign w:val="center"/>
                </w:tcPr>
                <w:p w14:paraId="520AC61C">
                  <w:pPr>
                    <w:jc w:val="center"/>
                    <w:rPr>
                      <w:szCs w:val="21"/>
                    </w:rPr>
                  </w:pPr>
                  <w:r>
                    <w:rPr>
                      <w:rFonts w:hint="eastAsia"/>
                      <w:szCs w:val="21"/>
                    </w:rPr>
                    <w:t>0.0011</w:t>
                  </w:r>
                </w:p>
              </w:tc>
              <w:tc>
                <w:tcPr>
                  <w:tcW w:w="436" w:type="pct"/>
                  <w:tcBorders>
                    <w:top w:val="single" w:color="auto" w:sz="6" w:space="0"/>
                    <w:left w:val="single" w:color="auto" w:sz="4" w:space="0"/>
                    <w:bottom w:val="single" w:color="auto" w:sz="6" w:space="0"/>
                  </w:tcBorders>
                  <w:vAlign w:val="center"/>
                </w:tcPr>
                <w:p w14:paraId="520AC61D">
                  <w:pPr>
                    <w:jc w:val="center"/>
                    <w:rPr>
                      <w:rFonts w:eastAsia="等线"/>
                      <w:szCs w:val="21"/>
                    </w:rPr>
                  </w:pPr>
                  <w:r>
                    <w:rPr>
                      <w:rFonts w:hint="eastAsia" w:eastAsia="等线"/>
                      <w:szCs w:val="21"/>
                    </w:rPr>
                    <w:t>0.0011</w:t>
                  </w:r>
                </w:p>
              </w:tc>
              <w:tc>
                <w:tcPr>
                  <w:tcW w:w="522" w:type="pct"/>
                  <w:tcBorders>
                    <w:top w:val="single" w:color="auto" w:sz="6" w:space="0"/>
                    <w:bottom w:val="single" w:color="auto" w:sz="6" w:space="0"/>
                  </w:tcBorders>
                  <w:vAlign w:val="center"/>
                </w:tcPr>
                <w:p w14:paraId="520AC61E">
                  <w:pPr>
                    <w:jc w:val="center"/>
                    <w:rPr>
                      <w:rFonts w:eastAsia="等线"/>
                      <w:szCs w:val="21"/>
                    </w:rPr>
                  </w:pPr>
                  <w:r>
                    <w:rPr>
                      <w:rFonts w:hint="eastAsia" w:eastAsia="等线"/>
                      <w:szCs w:val="21"/>
                    </w:rPr>
                    <w:t>0.37</w:t>
                  </w:r>
                </w:p>
              </w:tc>
              <w:tc>
                <w:tcPr>
                  <w:tcW w:w="436" w:type="pct"/>
                  <w:tcBorders>
                    <w:top w:val="single" w:color="auto" w:sz="6" w:space="0"/>
                    <w:bottom w:val="single" w:color="auto" w:sz="6" w:space="0"/>
                    <w:right w:val="single" w:color="auto" w:sz="4" w:space="0"/>
                  </w:tcBorders>
                  <w:vAlign w:val="center"/>
                </w:tcPr>
                <w:p w14:paraId="520AC61F">
                  <w:pPr>
                    <w:jc w:val="center"/>
                    <w:rPr>
                      <w:rFonts w:eastAsia="等线"/>
                      <w:szCs w:val="21"/>
                    </w:rPr>
                  </w:pPr>
                  <w:r>
                    <w:rPr>
                      <w:rFonts w:eastAsia="等线"/>
                      <w:szCs w:val="21"/>
                    </w:rPr>
                    <w:t>0.0001</w:t>
                  </w:r>
                </w:p>
              </w:tc>
              <w:tc>
                <w:tcPr>
                  <w:tcW w:w="436" w:type="pct"/>
                  <w:tcBorders>
                    <w:top w:val="single" w:color="auto" w:sz="6" w:space="0"/>
                    <w:left w:val="single" w:color="auto" w:sz="4" w:space="0"/>
                    <w:bottom w:val="single" w:color="auto" w:sz="6" w:space="0"/>
                  </w:tcBorders>
                  <w:vAlign w:val="center"/>
                </w:tcPr>
                <w:p w14:paraId="520AC620">
                  <w:pPr>
                    <w:jc w:val="center"/>
                    <w:rPr>
                      <w:rFonts w:eastAsia="等线"/>
                      <w:szCs w:val="21"/>
                    </w:rPr>
                  </w:pPr>
                  <w:r>
                    <w:rPr>
                      <w:rFonts w:eastAsia="等线"/>
                      <w:szCs w:val="21"/>
                    </w:rPr>
                    <w:t>0.0001</w:t>
                  </w:r>
                </w:p>
              </w:tc>
              <w:tc>
                <w:tcPr>
                  <w:tcW w:w="436" w:type="pct"/>
                  <w:tcBorders>
                    <w:top w:val="single" w:color="auto" w:sz="6" w:space="0"/>
                    <w:bottom w:val="single" w:color="auto" w:sz="6" w:space="0"/>
                    <w:right w:val="single" w:color="auto" w:sz="4" w:space="0"/>
                  </w:tcBorders>
                  <w:vAlign w:val="center"/>
                </w:tcPr>
                <w:p w14:paraId="520AC621">
                  <w:pPr>
                    <w:jc w:val="center"/>
                    <w:rPr>
                      <w:rFonts w:eastAsia="等线"/>
                      <w:szCs w:val="21"/>
                    </w:rPr>
                  </w:pPr>
                  <w:r>
                    <w:rPr>
                      <w:rFonts w:eastAsia="等线"/>
                      <w:szCs w:val="21"/>
                    </w:rPr>
                    <w:t>0.001</w:t>
                  </w:r>
                </w:p>
              </w:tc>
              <w:tc>
                <w:tcPr>
                  <w:tcW w:w="436" w:type="pct"/>
                  <w:tcBorders>
                    <w:top w:val="single" w:color="auto" w:sz="6" w:space="0"/>
                    <w:left w:val="single" w:color="auto" w:sz="4" w:space="0"/>
                    <w:bottom w:val="single" w:color="auto" w:sz="6" w:space="0"/>
                    <w:right w:val="single" w:color="auto" w:sz="4" w:space="0"/>
                  </w:tcBorders>
                  <w:vAlign w:val="center"/>
                </w:tcPr>
                <w:p w14:paraId="520AC622">
                  <w:pPr>
                    <w:jc w:val="center"/>
                    <w:rPr>
                      <w:rFonts w:eastAsia="等线"/>
                      <w:szCs w:val="21"/>
                    </w:rPr>
                  </w:pPr>
                  <w:r>
                    <w:rPr>
                      <w:rFonts w:eastAsia="等线"/>
                      <w:szCs w:val="21"/>
                    </w:rPr>
                    <w:t>0.01</w:t>
                  </w:r>
                </w:p>
              </w:tc>
              <w:tc>
                <w:tcPr>
                  <w:tcW w:w="436" w:type="pct"/>
                  <w:tcBorders>
                    <w:top w:val="single" w:color="auto" w:sz="6" w:space="0"/>
                    <w:left w:val="single" w:color="auto" w:sz="4" w:space="0"/>
                    <w:bottom w:val="single" w:color="auto" w:sz="6" w:space="0"/>
                  </w:tcBorders>
                  <w:vAlign w:val="center"/>
                </w:tcPr>
                <w:p w14:paraId="520AC623">
                  <w:pPr>
                    <w:jc w:val="center"/>
                    <w:rPr>
                      <w:rFonts w:eastAsia="等线"/>
                      <w:szCs w:val="21"/>
                    </w:rPr>
                  </w:pPr>
                  <w:r>
                    <w:rPr>
                      <w:rFonts w:hint="eastAsia" w:eastAsia="等线"/>
                      <w:szCs w:val="21"/>
                    </w:rPr>
                    <w:t>0.00003</w:t>
                  </w:r>
                </w:p>
              </w:tc>
              <w:tc>
                <w:tcPr>
                  <w:tcW w:w="357" w:type="pct"/>
                  <w:tcBorders>
                    <w:top w:val="single" w:color="auto" w:sz="6" w:space="0"/>
                    <w:bottom w:val="single" w:color="auto" w:sz="6" w:space="0"/>
                    <w:right w:val="nil"/>
                  </w:tcBorders>
                  <w:vAlign w:val="center"/>
                </w:tcPr>
                <w:p w14:paraId="520AC624">
                  <w:pPr>
                    <w:jc w:val="center"/>
                    <w:rPr>
                      <w:rFonts w:eastAsia="等线"/>
                      <w:szCs w:val="21"/>
                    </w:rPr>
                  </w:pPr>
                  <w:r>
                    <w:rPr>
                      <w:rFonts w:hint="eastAsia" w:eastAsia="等线"/>
                      <w:szCs w:val="21"/>
                    </w:rPr>
                    <w:t>0.0003</w:t>
                  </w:r>
                </w:p>
              </w:tc>
            </w:tr>
          </w:tbl>
          <w:p w14:paraId="520AC626">
            <w:pPr>
              <w:adjustRightInd w:val="0"/>
              <w:snapToGrid w:val="0"/>
              <w:spacing w:line="460" w:lineRule="exact"/>
              <w:ind w:firstLine="480" w:firstLineChars="200"/>
              <w:rPr>
                <w:bCs/>
                <w:sz w:val="24"/>
              </w:rPr>
            </w:pPr>
            <w:r>
              <w:rPr>
                <w:bCs/>
                <w:sz w:val="24"/>
              </w:rPr>
              <w:t>催化燃烧装置开启时，</w:t>
            </w:r>
            <w:r>
              <w:rPr>
                <w:rFonts w:hint="eastAsia"/>
                <w:bCs/>
                <w:sz w:val="24"/>
              </w:rPr>
              <w:t>有机废气污染物</w:t>
            </w:r>
            <w:r>
              <w:rPr>
                <w:bCs/>
                <w:sz w:val="24"/>
              </w:rPr>
              <w:t>的排放浓度见下表。</w:t>
            </w:r>
          </w:p>
          <w:p w14:paraId="520AC627">
            <w:pPr>
              <w:adjustRightInd w:val="0"/>
              <w:snapToGrid w:val="0"/>
              <w:spacing w:line="460" w:lineRule="exact"/>
              <w:ind w:firstLine="480" w:firstLineChars="200"/>
              <w:textAlignment w:val="baseline"/>
              <w:rPr>
                <w:rFonts w:eastAsia="黑体"/>
                <w:bCs/>
                <w:sz w:val="24"/>
              </w:rPr>
            </w:pPr>
            <w:r>
              <w:rPr>
                <w:rFonts w:eastAsia="黑体"/>
                <w:bCs/>
                <w:sz w:val="24"/>
              </w:rPr>
              <w:t>表</w:t>
            </w:r>
            <w:r>
              <w:rPr>
                <w:rFonts w:hint="eastAsia" w:eastAsia="黑体"/>
                <w:bCs/>
                <w:sz w:val="24"/>
              </w:rPr>
              <w:t>56</w:t>
            </w:r>
            <w:r>
              <w:rPr>
                <w:rFonts w:eastAsia="黑体"/>
                <w:bCs/>
                <w:sz w:val="24"/>
              </w:rPr>
              <w:t xml:space="preserve">         </w:t>
            </w:r>
            <w:r>
              <w:rPr>
                <w:rFonts w:hint="eastAsia" w:eastAsia="黑体"/>
                <w:bCs/>
                <w:sz w:val="24"/>
              </w:rPr>
              <w:t>本项目有机废气污染物的产排情况一览表2</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01"/>
              <w:gridCol w:w="567"/>
              <w:gridCol w:w="851"/>
              <w:gridCol w:w="850"/>
              <w:gridCol w:w="851"/>
              <w:gridCol w:w="850"/>
              <w:gridCol w:w="851"/>
              <w:gridCol w:w="850"/>
              <w:gridCol w:w="992"/>
              <w:gridCol w:w="872"/>
            </w:tblGrid>
            <w:tr w14:paraId="520AC62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vMerge w:val="restart"/>
                  <w:vAlign w:val="center"/>
                </w:tcPr>
                <w:p w14:paraId="520AC628">
                  <w:pPr>
                    <w:adjustRightInd w:val="0"/>
                    <w:snapToGrid w:val="0"/>
                    <w:jc w:val="center"/>
                    <w:textAlignment w:val="baseline"/>
                    <w:rPr>
                      <w:bCs/>
                      <w:szCs w:val="21"/>
                    </w:rPr>
                  </w:pPr>
                  <w:r>
                    <w:rPr>
                      <w:rFonts w:hint="eastAsia"/>
                      <w:b/>
                      <w:szCs w:val="21"/>
                    </w:rPr>
                    <w:t>产污环节</w:t>
                  </w:r>
                </w:p>
              </w:tc>
              <w:tc>
                <w:tcPr>
                  <w:tcW w:w="567" w:type="dxa"/>
                  <w:vMerge w:val="restart"/>
                  <w:vAlign w:val="center"/>
                </w:tcPr>
                <w:p w14:paraId="520AC629">
                  <w:pPr>
                    <w:adjustRightInd w:val="0"/>
                    <w:snapToGrid w:val="0"/>
                    <w:jc w:val="center"/>
                    <w:textAlignment w:val="baseline"/>
                    <w:rPr>
                      <w:bCs/>
                      <w:szCs w:val="21"/>
                    </w:rPr>
                  </w:pPr>
                  <w:r>
                    <w:rPr>
                      <w:b/>
                      <w:szCs w:val="21"/>
                    </w:rPr>
                    <w:t>污染因子</w:t>
                  </w:r>
                </w:p>
              </w:tc>
              <w:tc>
                <w:tcPr>
                  <w:tcW w:w="6967" w:type="dxa"/>
                  <w:gridSpan w:val="8"/>
                  <w:vAlign w:val="center"/>
                </w:tcPr>
                <w:p w14:paraId="520AC62A">
                  <w:pPr>
                    <w:adjustRightInd w:val="0"/>
                    <w:snapToGrid w:val="0"/>
                    <w:jc w:val="center"/>
                    <w:textAlignment w:val="baseline"/>
                    <w:rPr>
                      <w:b/>
                      <w:szCs w:val="21"/>
                    </w:rPr>
                  </w:pPr>
                  <w:r>
                    <w:rPr>
                      <w:b/>
                      <w:szCs w:val="21"/>
                    </w:rPr>
                    <w:t>排放情况</w:t>
                  </w:r>
                </w:p>
              </w:tc>
            </w:tr>
            <w:tr w14:paraId="520AC63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vMerge w:val="continue"/>
                  <w:vAlign w:val="center"/>
                </w:tcPr>
                <w:p w14:paraId="520AC62C">
                  <w:pPr>
                    <w:adjustRightInd w:val="0"/>
                    <w:snapToGrid w:val="0"/>
                    <w:jc w:val="center"/>
                    <w:textAlignment w:val="baseline"/>
                    <w:rPr>
                      <w:bCs/>
                      <w:szCs w:val="21"/>
                    </w:rPr>
                  </w:pPr>
                </w:p>
              </w:tc>
              <w:tc>
                <w:tcPr>
                  <w:tcW w:w="567" w:type="dxa"/>
                  <w:vMerge w:val="continue"/>
                  <w:vAlign w:val="center"/>
                </w:tcPr>
                <w:p w14:paraId="520AC62D">
                  <w:pPr>
                    <w:adjustRightInd w:val="0"/>
                    <w:snapToGrid w:val="0"/>
                    <w:jc w:val="center"/>
                    <w:textAlignment w:val="baseline"/>
                    <w:rPr>
                      <w:bCs/>
                      <w:szCs w:val="21"/>
                    </w:rPr>
                  </w:pPr>
                </w:p>
              </w:tc>
              <w:tc>
                <w:tcPr>
                  <w:tcW w:w="2552" w:type="dxa"/>
                  <w:gridSpan w:val="3"/>
                  <w:vAlign w:val="center"/>
                </w:tcPr>
                <w:p w14:paraId="520AC62E">
                  <w:pPr>
                    <w:adjustRightInd w:val="0"/>
                    <w:snapToGrid w:val="0"/>
                    <w:jc w:val="center"/>
                    <w:textAlignment w:val="baseline"/>
                    <w:rPr>
                      <w:b/>
                      <w:szCs w:val="21"/>
                    </w:rPr>
                  </w:pPr>
                  <w:r>
                    <w:rPr>
                      <w:b/>
                      <w:szCs w:val="21"/>
                    </w:rPr>
                    <w:t>排放量(t/a)</w:t>
                  </w:r>
                </w:p>
              </w:tc>
              <w:tc>
                <w:tcPr>
                  <w:tcW w:w="2551" w:type="dxa"/>
                  <w:gridSpan w:val="3"/>
                  <w:vAlign w:val="center"/>
                </w:tcPr>
                <w:p w14:paraId="520AC62F">
                  <w:pPr>
                    <w:adjustRightInd w:val="0"/>
                    <w:snapToGrid w:val="0"/>
                    <w:jc w:val="center"/>
                    <w:textAlignment w:val="baseline"/>
                    <w:rPr>
                      <w:b/>
                      <w:szCs w:val="21"/>
                    </w:rPr>
                  </w:pPr>
                  <w:r>
                    <w:rPr>
                      <w:b/>
                      <w:szCs w:val="21"/>
                    </w:rPr>
                    <w:t>速率(kg/h)</w:t>
                  </w:r>
                </w:p>
              </w:tc>
              <w:tc>
                <w:tcPr>
                  <w:tcW w:w="992" w:type="dxa"/>
                  <w:vMerge w:val="restart"/>
                  <w:vAlign w:val="center"/>
                </w:tcPr>
                <w:p w14:paraId="520AC630">
                  <w:pPr>
                    <w:jc w:val="center"/>
                    <w:rPr>
                      <w:b/>
                      <w:szCs w:val="21"/>
                    </w:rPr>
                  </w:pPr>
                  <w:r>
                    <w:rPr>
                      <w:b/>
                      <w:szCs w:val="21"/>
                    </w:rPr>
                    <w:t>仅吸附时排放浓度(mg/m</w:t>
                  </w:r>
                  <w:r>
                    <w:rPr>
                      <w:b/>
                      <w:szCs w:val="21"/>
                      <w:vertAlign w:val="superscript"/>
                    </w:rPr>
                    <w:t>3</w:t>
                  </w:r>
                  <w:r>
                    <w:rPr>
                      <w:b/>
                      <w:szCs w:val="21"/>
                    </w:rPr>
                    <w:t>)</w:t>
                  </w:r>
                </w:p>
              </w:tc>
              <w:tc>
                <w:tcPr>
                  <w:tcW w:w="872" w:type="dxa"/>
                  <w:vMerge w:val="restart"/>
                  <w:vAlign w:val="center"/>
                </w:tcPr>
                <w:p w14:paraId="520AC631">
                  <w:pPr>
                    <w:jc w:val="center"/>
                    <w:rPr>
                      <w:b/>
                      <w:szCs w:val="21"/>
                    </w:rPr>
                  </w:pPr>
                  <w:r>
                    <w:rPr>
                      <w:b/>
                      <w:szCs w:val="21"/>
                    </w:rPr>
                    <w:t>最大排放浓度</w:t>
                  </w:r>
                  <w:r>
                    <w:rPr>
                      <w:b/>
                      <w:szCs w:val="21"/>
                      <w:vertAlign w:val="superscript"/>
                    </w:rPr>
                    <w:t>*</w:t>
                  </w:r>
                  <w:r>
                    <w:rPr>
                      <w:b/>
                      <w:szCs w:val="21"/>
                    </w:rPr>
                    <w:t>(mg/m</w:t>
                  </w:r>
                  <w:r>
                    <w:rPr>
                      <w:b/>
                      <w:szCs w:val="21"/>
                      <w:vertAlign w:val="superscript"/>
                    </w:rPr>
                    <w:t>3</w:t>
                  </w:r>
                  <w:r>
                    <w:rPr>
                      <w:b/>
                      <w:szCs w:val="21"/>
                    </w:rPr>
                    <w:t>)</w:t>
                  </w:r>
                </w:p>
              </w:tc>
            </w:tr>
            <w:tr w14:paraId="520AC63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vMerge w:val="continue"/>
                  <w:vAlign w:val="center"/>
                </w:tcPr>
                <w:p w14:paraId="520AC633">
                  <w:pPr>
                    <w:adjustRightInd w:val="0"/>
                    <w:snapToGrid w:val="0"/>
                    <w:jc w:val="center"/>
                    <w:textAlignment w:val="baseline"/>
                    <w:rPr>
                      <w:bCs/>
                      <w:szCs w:val="21"/>
                      <w:highlight w:val="yellow"/>
                    </w:rPr>
                  </w:pPr>
                </w:p>
              </w:tc>
              <w:tc>
                <w:tcPr>
                  <w:tcW w:w="567" w:type="dxa"/>
                  <w:vMerge w:val="continue"/>
                  <w:vAlign w:val="center"/>
                </w:tcPr>
                <w:p w14:paraId="520AC634">
                  <w:pPr>
                    <w:adjustRightInd w:val="0"/>
                    <w:snapToGrid w:val="0"/>
                    <w:jc w:val="center"/>
                    <w:textAlignment w:val="baseline"/>
                    <w:rPr>
                      <w:bCs/>
                      <w:szCs w:val="21"/>
                      <w:highlight w:val="yellow"/>
                    </w:rPr>
                  </w:pPr>
                </w:p>
              </w:tc>
              <w:tc>
                <w:tcPr>
                  <w:tcW w:w="851" w:type="dxa"/>
                  <w:vAlign w:val="center"/>
                </w:tcPr>
                <w:p w14:paraId="520AC635">
                  <w:pPr>
                    <w:jc w:val="center"/>
                    <w:rPr>
                      <w:b/>
                      <w:szCs w:val="21"/>
                    </w:rPr>
                  </w:pPr>
                  <w:r>
                    <w:rPr>
                      <w:b/>
                      <w:szCs w:val="21"/>
                    </w:rPr>
                    <w:t>活性炭吸附后</w:t>
                  </w:r>
                </w:p>
              </w:tc>
              <w:tc>
                <w:tcPr>
                  <w:tcW w:w="850" w:type="dxa"/>
                  <w:vAlign w:val="center"/>
                </w:tcPr>
                <w:p w14:paraId="520AC636">
                  <w:pPr>
                    <w:jc w:val="center"/>
                    <w:rPr>
                      <w:b/>
                      <w:szCs w:val="21"/>
                    </w:rPr>
                  </w:pPr>
                  <w:r>
                    <w:rPr>
                      <w:b/>
                      <w:szCs w:val="21"/>
                    </w:rPr>
                    <w:t>催化燃烧后</w:t>
                  </w:r>
                </w:p>
              </w:tc>
              <w:tc>
                <w:tcPr>
                  <w:tcW w:w="851" w:type="dxa"/>
                  <w:vAlign w:val="center"/>
                </w:tcPr>
                <w:p w14:paraId="520AC637">
                  <w:pPr>
                    <w:jc w:val="center"/>
                    <w:rPr>
                      <w:b/>
                      <w:szCs w:val="21"/>
                    </w:rPr>
                  </w:pPr>
                  <w:r>
                    <w:rPr>
                      <w:b/>
                      <w:szCs w:val="21"/>
                    </w:rPr>
                    <w:t>合计</w:t>
                  </w:r>
                </w:p>
              </w:tc>
              <w:tc>
                <w:tcPr>
                  <w:tcW w:w="850" w:type="dxa"/>
                  <w:vAlign w:val="center"/>
                </w:tcPr>
                <w:p w14:paraId="520AC638">
                  <w:pPr>
                    <w:jc w:val="center"/>
                    <w:rPr>
                      <w:b/>
                      <w:szCs w:val="21"/>
                    </w:rPr>
                  </w:pPr>
                  <w:r>
                    <w:rPr>
                      <w:b/>
                      <w:szCs w:val="21"/>
                    </w:rPr>
                    <w:t>活性炭吸附后</w:t>
                  </w:r>
                </w:p>
              </w:tc>
              <w:tc>
                <w:tcPr>
                  <w:tcW w:w="851" w:type="dxa"/>
                  <w:vAlign w:val="center"/>
                </w:tcPr>
                <w:p w14:paraId="520AC639">
                  <w:pPr>
                    <w:jc w:val="center"/>
                    <w:rPr>
                      <w:b/>
                      <w:szCs w:val="21"/>
                    </w:rPr>
                  </w:pPr>
                  <w:r>
                    <w:rPr>
                      <w:b/>
                      <w:szCs w:val="21"/>
                    </w:rPr>
                    <w:t>催化燃烧后</w:t>
                  </w:r>
                </w:p>
              </w:tc>
              <w:tc>
                <w:tcPr>
                  <w:tcW w:w="850" w:type="dxa"/>
                  <w:vAlign w:val="center"/>
                </w:tcPr>
                <w:p w14:paraId="520AC63A">
                  <w:pPr>
                    <w:jc w:val="center"/>
                    <w:rPr>
                      <w:b/>
                      <w:szCs w:val="21"/>
                    </w:rPr>
                  </w:pPr>
                  <w:r>
                    <w:rPr>
                      <w:b/>
                      <w:szCs w:val="21"/>
                    </w:rPr>
                    <w:t>合计</w:t>
                  </w:r>
                </w:p>
              </w:tc>
              <w:tc>
                <w:tcPr>
                  <w:tcW w:w="992" w:type="dxa"/>
                  <w:vMerge w:val="continue"/>
                  <w:vAlign w:val="center"/>
                </w:tcPr>
                <w:p w14:paraId="520AC63B">
                  <w:pPr>
                    <w:jc w:val="center"/>
                    <w:rPr>
                      <w:b/>
                      <w:szCs w:val="21"/>
                      <w:highlight w:val="yellow"/>
                    </w:rPr>
                  </w:pPr>
                </w:p>
              </w:tc>
              <w:tc>
                <w:tcPr>
                  <w:tcW w:w="872" w:type="dxa"/>
                  <w:vMerge w:val="continue"/>
                  <w:vAlign w:val="center"/>
                </w:tcPr>
                <w:p w14:paraId="520AC63C">
                  <w:pPr>
                    <w:jc w:val="center"/>
                    <w:rPr>
                      <w:b/>
                      <w:szCs w:val="21"/>
                      <w:highlight w:val="yellow"/>
                    </w:rPr>
                  </w:pPr>
                </w:p>
              </w:tc>
            </w:tr>
            <w:tr w14:paraId="520AC64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vAlign w:val="center"/>
                </w:tcPr>
                <w:p w14:paraId="520AC63E">
                  <w:pPr>
                    <w:adjustRightInd w:val="0"/>
                    <w:snapToGrid w:val="0"/>
                    <w:jc w:val="center"/>
                    <w:textAlignment w:val="baseline"/>
                    <w:rPr>
                      <w:bCs/>
                      <w:szCs w:val="21"/>
                      <w:highlight w:val="yellow"/>
                    </w:rPr>
                  </w:pPr>
                  <w:r>
                    <w:rPr>
                      <w:rFonts w:hint="eastAsia"/>
                      <w:bCs/>
                      <w:szCs w:val="21"/>
                    </w:rPr>
                    <w:t>1205</w:t>
                  </w:r>
                  <w:r>
                    <w:rPr>
                      <w:rFonts w:hint="eastAsia"/>
                      <w:sz w:val="24"/>
                    </w:rPr>
                    <w:t>#</w:t>
                  </w:r>
                  <w:r>
                    <w:rPr>
                      <w:rFonts w:hint="eastAsia"/>
                      <w:bCs/>
                      <w:szCs w:val="21"/>
                    </w:rPr>
                    <w:t>厂房</w:t>
                  </w:r>
                </w:p>
              </w:tc>
              <w:tc>
                <w:tcPr>
                  <w:tcW w:w="567" w:type="dxa"/>
                  <w:vMerge w:val="restart"/>
                  <w:vAlign w:val="center"/>
                </w:tcPr>
                <w:p w14:paraId="520AC63F">
                  <w:pPr>
                    <w:adjustRightInd w:val="0"/>
                    <w:snapToGrid w:val="0"/>
                    <w:jc w:val="center"/>
                    <w:textAlignment w:val="baseline"/>
                    <w:rPr>
                      <w:bCs/>
                      <w:szCs w:val="21"/>
                      <w:highlight w:val="yellow"/>
                    </w:rPr>
                  </w:pPr>
                  <w:r>
                    <w:rPr>
                      <w:bCs/>
                      <w:szCs w:val="21"/>
                    </w:rPr>
                    <w:t>非甲烷总烃</w:t>
                  </w:r>
                </w:p>
              </w:tc>
              <w:tc>
                <w:tcPr>
                  <w:tcW w:w="851" w:type="dxa"/>
                  <w:vAlign w:val="center"/>
                </w:tcPr>
                <w:p w14:paraId="520AC640">
                  <w:pPr>
                    <w:jc w:val="center"/>
                    <w:rPr>
                      <w:bCs/>
                      <w:szCs w:val="21"/>
                      <w:highlight w:val="yellow"/>
                    </w:rPr>
                  </w:pPr>
                  <w:r>
                    <w:rPr>
                      <w:rFonts w:eastAsia="等线"/>
                      <w:szCs w:val="21"/>
                    </w:rPr>
                    <w:t>0.0024</w:t>
                  </w:r>
                </w:p>
              </w:tc>
              <w:tc>
                <w:tcPr>
                  <w:tcW w:w="850" w:type="dxa"/>
                  <w:vAlign w:val="center"/>
                </w:tcPr>
                <w:p w14:paraId="520AC641">
                  <w:pPr>
                    <w:jc w:val="center"/>
                    <w:rPr>
                      <w:bCs/>
                      <w:szCs w:val="21"/>
                      <w:highlight w:val="yellow"/>
                    </w:rPr>
                  </w:pPr>
                  <w:r>
                    <w:rPr>
                      <w:rFonts w:eastAsia="等线"/>
                      <w:szCs w:val="21"/>
                    </w:rPr>
                    <w:t>0.0006</w:t>
                  </w:r>
                </w:p>
              </w:tc>
              <w:tc>
                <w:tcPr>
                  <w:tcW w:w="851" w:type="dxa"/>
                  <w:vAlign w:val="center"/>
                </w:tcPr>
                <w:p w14:paraId="520AC642">
                  <w:pPr>
                    <w:jc w:val="center"/>
                    <w:rPr>
                      <w:bCs/>
                      <w:szCs w:val="21"/>
                    </w:rPr>
                  </w:pPr>
                  <w:r>
                    <w:rPr>
                      <w:rFonts w:eastAsia="等线"/>
                      <w:szCs w:val="21"/>
                    </w:rPr>
                    <w:t>0.003</w:t>
                  </w:r>
                </w:p>
              </w:tc>
              <w:tc>
                <w:tcPr>
                  <w:tcW w:w="850" w:type="dxa"/>
                  <w:vAlign w:val="center"/>
                </w:tcPr>
                <w:p w14:paraId="520AC643">
                  <w:pPr>
                    <w:jc w:val="center"/>
                    <w:rPr>
                      <w:rFonts w:eastAsia="等线"/>
                      <w:szCs w:val="21"/>
                    </w:rPr>
                  </w:pPr>
                  <w:r>
                    <w:rPr>
                      <w:rFonts w:eastAsia="等线"/>
                      <w:szCs w:val="21"/>
                    </w:rPr>
                    <w:t>0.0024</w:t>
                  </w:r>
                </w:p>
              </w:tc>
              <w:tc>
                <w:tcPr>
                  <w:tcW w:w="851" w:type="dxa"/>
                  <w:vAlign w:val="center"/>
                </w:tcPr>
                <w:p w14:paraId="520AC644">
                  <w:pPr>
                    <w:jc w:val="center"/>
                    <w:rPr>
                      <w:rFonts w:eastAsia="等线"/>
                      <w:szCs w:val="21"/>
                    </w:rPr>
                  </w:pPr>
                  <w:r>
                    <w:rPr>
                      <w:rFonts w:eastAsia="等线"/>
                      <w:szCs w:val="21"/>
                    </w:rPr>
                    <w:t>0.006</w:t>
                  </w:r>
                </w:p>
              </w:tc>
              <w:tc>
                <w:tcPr>
                  <w:tcW w:w="850" w:type="dxa"/>
                  <w:vAlign w:val="center"/>
                </w:tcPr>
                <w:p w14:paraId="520AC645">
                  <w:pPr>
                    <w:jc w:val="center"/>
                    <w:rPr>
                      <w:szCs w:val="21"/>
                    </w:rPr>
                  </w:pPr>
                  <w:r>
                    <w:rPr>
                      <w:rFonts w:eastAsia="等线"/>
                      <w:szCs w:val="21"/>
                    </w:rPr>
                    <w:t>0.0084</w:t>
                  </w:r>
                </w:p>
              </w:tc>
              <w:tc>
                <w:tcPr>
                  <w:tcW w:w="992" w:type="dxa"/>
                  <w:vAlign w:val="center"/>
                </w:tcPr>
                <w:p w14:paraId="520AC646">
                  <w:pPr>
                    <w:jc w:val="center"/>
                    <w:rPr>
                      <w:szCs w:val="21"/>
                    </w:rPr>
                  </w:pPr>
                  <w:r>
                    <w:rPr>
                      <w:rFonts w:eastAsia="等线"/>
                      <w:szCs w:val="21"/>
                    </w:rPr>
                    <w:t>0.8</w:t>
                  </w:r>
                </w:p>
              </w:tc>
              <w:tc>
                <w:tcPr>
                  <w:tcW w:w="872" w:type="dxa"/>
                  <w:vAlign w:val="center"/>
                </w:tcPr>
                <w:p w14:paraId="520AC647">
                  <w:pPr>
                    <w:jc w:val="center"/>
                    <w:rPr>
                      <w:szCs w:val="21"/>
                    </w:rPr>
                  </w:pPr>
                  <w:r>
                    <w:rPr>
                      <w:rFonts w:eastAsia="等线"/>
                      <w:szCs w:val="21"/>
                    </w:rPr>
                    <w:t>2.1</w:t>
                  </w:r>
                </w:p>
              </w:tc>
            </w:tr>
            <w:tr w14:paraId="520AC65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vAlign w:val="center"/>
                </w:tcPr>
                <w:p w14:paraId="520AC649">
                  <w:pPr>
                    <w:adjustRightInd w:val="0"/>
                    <w:snapToGrid w:val="0"/>
                    <w:jc w:val="center"/>
                    <w:textAlignment w:val="baseline"/>
                    <w:rPr>
                      <w:bCs/>
                      <w:szCs w:val="21"/>
                      <w:highlight w:val="yellow"/>
                    </w:rPr>
                  </w:pPr>
                  <w:r>
                    <w:rPr>
                      <w:rFonts w:hint="eastAsia"/>
                      <w:bCs/>
                      <w:szCs w:val="21"/>
                    </w:rPr>
                    <w:t>101</w:t>
                  </w:r>
                  <w:r>
                    <w:rPr>
                      <w:rFonts w:hint="eastAsia"/>
                      <w:sz w:val="24"/>
                    </w:rPr>
                    <w:t>#</w:t>
                  </w:r>
                  <w:r>
                    <w:rPr>
                      <w:rFonts w:hint="eastAsia"/>
                      <w:bCs/>
                      <w:szCs w:val="21"/>
                    </w:rPr>
                    <w:t>厂房</w:t>
                  </w:r>
                </w:p>
              </w:tc>
              <w:tc>
                <w:tcPr>
                  <w:tcW w:w="567" w:type="dxa"/>
                  <w:vMerge w:val="continue"/>
                  <w:vAlign w:val="center"/>
                </w:tcPr>
                <w:p w14:paraId="520AC64A">
                  <w:pPr>
                    <w:adjustRightInd w:val="0"/>
                    <w:snapToGrid w:val="0"/>
                    <w:jc w:val="center"/>
                    <w:textAlignment w:val="baseline"/>
                    <w:rPr>
                      <w:bCs/>
                      <w:szCs w:val="21"/>
                      <w:highlight w:val="yellow"/>
                    </w:rPr>
                  </w:pPr>
                </w:p>
              </w:tc>
              <w:tc>
                <w:tcPr>
                  <w:tcW w:w="851" w:type="dxa"/>
                  <w:vAlign w:val="center"/>
                </w:tcPr>
                <w:p w14:paraId="520AC64B">
                  <w:pPr>
                    <w:jc w:val="center"/>
                    <w:rPr>
                      <w:rFonts w:eastAsia="等线"/>
                      <w:szCs w:val="21"/>
                      <w:highlight w:val="yellow"/>
                    </w:rPr>
                  </w:pPr>
                  <w:r>
                    <w:rPr>
                      <w:rFonts w:eastAsia="等线"/>
                      <w:szCs w:val="21"/>
                    </w:rPr>
                    <w:t>0.0004</w:t>
                  </w:r>
                </w:p>
              </w:tc>
              <w:tc>
                <w:tcPr>
                  <w:tcW w:w="850" w:type="dxa"/>
                  <w:vAlign w:val="center"/>
                </w:tcPr>
                <w:p w14:paraId="520AC64C">
                  <w:pPr>
                    <w:jc w:val="center"/>
                    <w:rPr>
                      <w:rFonts w:eastAsia="等线"/>
                      <w:szCs w:val="21"/>
                      <w:highlight w:val="yellow"/>
                    </w:rPr>
                  </w:pPr>
                  <w:r>
                    <w:rPr>
                      <w:rFonts w:eastAsia="等线"/>
                      <w:szCs w:val="21"/>
                    </w:rPr>
                    <w:t>0.0001</w:t>
                  </w:r>
                </w:p>
              </w:tc>
              <w:tc>
                <w:tcPr>
                  <w:tcW w:w="851" w:type="dxa"/>
                  <w:vAlign w:val="center"/>
                </w:tcPr>
                <w:p w14:paraId="520AC64D">
                  <w:pPr>
                    <w:jc w:val="center"/>
                    <w:rPr>
                      <w:rFonts w:eastAsia="等线"/>
                      <w:szCs w:val="21"/>
                    </w:rPr>
                  </w:pPr>
                  <w:r>
                    <w:rPr>
                      <w:rFonts w:eastAsia="等线"/>
                      <w:szCs w:val="21"/>
                    </w:rPr>
                    <w:t>0.0005</w:t>
                  </w:r>
                </w:p>
              </w:tc>
              <w:tc>
                <w:tcPr>
                  <w:tcW w:w="850" w:type="dxa"/>
                  <w:vAlign w:val="center"/>
                </w:tcPr>
                <w:p w14:paraId="520AC64E">
                  <w:pPr>
                    <w:jc w:val="center"/>
                    <w:rPr>
                      <w:rFonts w:eastAsia="等线"/>
                      <w:szCs w:val="21"/>
                    </w:rPr>
                  </w:pPr>
                  <w:r>
                    <w:rPr>
                      <w:rFonts w:eastAsia="等线"/>
                      <w:szCs w:val="21"/>
                    </w:rPr>
                    <w:t>0.0004</w:t>
                  </w:r>
                </w:p>
              </w:tc>
              <w:tc>
                <w:tcPr>
                  <w:tcW w:w="851" w:type="dxa"/>
                  <w:vAlign w:val="center"/>
                </w:tcPr>
                <w:p w14:paraId="520AC64F">
                  <w:pPr>
                    <w:jc w:val="center"/>
                    <w:rPr>
                      <w:rFonts w:eastAsia="等线"/>
                      <w:szCs w:val="21"/>
                    </w:rPr>
                  </w:pPr>
                  <w:r>
                    <w:rPr>
                      <w:rFonts w:eastAsia="等线"/>
                      <w:szCs w:val="21"/>
                    </w:rPr>
                    <w:t>0.001</w:t>
                  </w:r>
                </w:p>
              </w:tc>
              <w:tc>
                <w:tcPr>
                  <w:tcW w:w="850" w:type="dxa"/>
                  <w:vAlign w:val="center"/>
                </w:tcPr>
                <w:p w14:paraId="520AC650">
                  <w:pPr>
                    <w:jc w:val="center"/>
                    <w:rPr>
                      <w:rFonts w:eastAsia="等线"/>
                      <w:szCs w:val="21"/>
                    </w:rPr>
                  </w:pPr>
                  <w:r>
                    <w:rPr>
                      <w:rFonts w:eastAsia="等线"/>
                      <w:szCs w:val="21"/>
                    </w:rPr>
                    <w:t>0.0014</w:t>
                  </w:r>
                </w:p>
              </w:tc>
              <w:tc>
                <w:tcPr>
                  <w:tcW w:w="992" w:type="dxa"/>
                  <w:vAlign w:val="center"/>
                </w:tcPr>
                <w:p w14:paraId="520AC651">
                  <w:pPr>
                    <w:jc w:val="center"/>
                    <w:rPr>
                      <w:rFonts w:eastAsia="等线"/>
                      <w:szCs w:val="21"/>
                    </w:rPr>
                  </w:pPr>
                  <w:r>
                    <w:rPr>
                      <w:rFonts w:eastAsia="等线"/>
                      <w:szCs w:val="21"/>
                    </w:rPr>
                    <w:t>0.13</w:t>
                  </w:r>
                </w:p>
              </w:tc>
              <w:tc>
                <w:tcPr>
                  <w:tcW w:w="872" w:type="dxa"/>
                  <w:vAlign w:val="center"/>
                </w:tcPr>
                <w:p w14:paraId="520AC652">
                  <w:pPr>
                    <w:jc w:val="center"/>
                    <w:rPr>
                      <w:rFonts w:eastAsia="等线"/>
                      <w:szCs w:val="21"/>
                    </w:rPr>
                  </w:pPr>
                  <w:r>
                    <w:rPr>
                      <w:rFonts w:eastAsia="等线"/>
                      <w:szCs w:val="21"/>
                    </w:rPr>
                    <w:t>0.</w:t>
                  </w:r>
                  <w:r>
                    <w:rPr>
                      <w:rFonts w:hint="eastAsia" w:eastAsia="等线"/>
                      <w:szCs w:val="21"/>
                    </w:rPr>
                    <w:t>4</w:t>
                  </w:r>
                </w:p>
              </w:tc>
            </w:tr>
            <w:tr w14:paraId="520AC65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vAlign w:val="center"/>
                </w:tcPr>
                <w:p w14:paraId="520AC654">
                  <w:pPr>
                    <w:adjustRightInd w:val="0"/>
                    <w:snapToGrid w:val="0"/>
                    <w:jc w:val="center"/>
                    <w:textAlignment w:val="baseline"/>
                    <w:rPr>
                      <w:bCs/>
                      <w:szCs w:val="21"/>
                    </w:rPr>
                  </w:pPr>
                  <w:r>
                    <w:rPr>
                      <w:rFonts w:hint="eastAsia"/>
                      <w:bCs/>
                      <w:szCs w:val="21"/>
                    </w:rPr>
                    <w:t>1206#厂房</w:t>
                  </w:r>
                </w:p>
              </w:tc>
              <w:tc>
                <w:tcPr>
                  <w:tcW w:w="567" w:type="dxa"/>
                  <w:vMerge w:val="continue"/>
                  <w:vAlign w:val="center"/>
                </w:tcPr>
                <w:p w14:paraId="520AC655">
                  <w:pPr>
                    <w:adjustRightInd w:val="0"/>
                    <w:snapToGrid w:val="0"/>
                    <w:jc w:val="center"/>
                    <w:textAlignment w:val="baseline"/>
                    <w:rPr>
                      <w:bCs/>
                      <w:szCs w:val="21"/>
                      <w:highlight w:val="yellow"/>
                    </w:rPr>
                  </w:pPr>
                </w:p>
              </w:tc>
              <w:tc>
                <w:tcPr>
                  <w:tcW w:w="851" w:type="dxa"/>
                  <w:vAlign w:val="center"/>
                </w:tcPr>
                <w:p w14:paraId="520AC656">
                  <w:pPr>
                    <w:jc w:val="center"/>
                    <w:rPr>
                      <w:rFonts w:eastAsia="等线"/>
                      <w:szCs w:val="21"/>
                    </w:rPr>
                  </w:pPr>
                  <w:r>
                    <w:rPr>
                      <w:rFonts w:eastAsia="等线"/>
                      <w:szCs w:val="21"/>
                    </w:rPr>
                    <w:t>0.0001</w:t>
                  </w:r>
                </w:p>
              </w:tc>
              <w:tc>
                <w:tcPr>
                  <w:tcW w:w="850" w:type="dxa"/>
                  <w:vAlign w:val="center"/>
                </w:tcPr>
                <w:p w14:paraId="520AC657">
                  <w:pPr>
                    <w:jc w:val="center"/>
                    <w:rPr>
                      <w:rFonts w:eastAsia="等线"/>
                      <w:szCs w:val="21"/>
                    </w:rPr>
                  </w:pPr>
                  <w:r>
                    <w:rPr>
                      <w:rFonts w:eastAsia="等线"/>
                      <w:szCs w:val="21"/>
                    </w:rPr>
                    <w:t>0.00003</w:t>
                  </w:r>
                </w:p>
              </w:tc>
              <w:tc>
                <w:tcPr>
                  <w:tcW w:w="851" w:type="dxa"/>
                  <w:vAlign w:val="center"/>
                </w:tcPr>
                <w:p w14:paraId="520AC658">
                  <w:pPr>
                    <w:jc w:val="center"/>
                    <w:rPr>
                      <w:rFonts w:eastAsia="等线"/>
                      <w:szCs w:val="21"/>
                    </w:rPr>
                  </w:pPr>
                  <w:r>
                    <w:rPr>
                      <w:rFonts w:eastAsia="等线"/>
                      <w:szCs w:val="21"/>
                    </w:rPr>
                    <w:t>0.00013</w:t>
                  </w:r>
                </w:p>
              </w:tc>
              <w:tc>
                <w:tcPr>
                  <w:tcW w:w="850" w:type="dxa"/>
                  <w:vAlign w:val="center"/>
                </w:tcPr>
                <w:p w14:paraId="520AC659">
                  <w:pPr>
                    <w:jc w:val="center"/>
                    <w:rPr>
                      <w:rFonts w:eastAsia="等线"/>
                      <w:szCs w:val="21"/>
                    </w:rPr>
                  </w:pPr>
                  <w:r>
                    <w:rPr>
                      <w:rFonts w:eastAsia="等线"/>
                      <w:szCs w:val="21"/>
                    </w:rPr>
                    <w:t>0.0001</w:t>
                  </w:r>
                </w:p>
              </w:tc>
              <w:tc>
                <w:tcPr>
                  <w:tcW w:w="851" w:type="dxa"/>
                  <w:vAlign w:val="center"/>
                </w:tcPr>
                <w:p w14:paraId="520AC65A">
                  <w:pPr>
                    <w:jc w:val="center"/>
                    <w:rPr>
                      <w:rFonts w:eastAsia="等线"/>
                      <w:szCs w:val="21"/>
                    </w:rPr>
                  </w:pPr>
                  <w:r>
                    <w:rPr>
                      <w:rFonts w:eastAsia="等线"/>
                      <w:szCs w:val="21"/>
                    </w:rPr>
                    <w:t>0.0003</w:t>
                  </w:r>
                </w:p>
              </w:tc>
              <w:tc>
                <w:tcPr>
                  <w:tcW w:w="850" w:type="dxa"/>
                  <w:vAlign w:val="center"/>
                </w:tcPr>
                <w:p w14:paraId="520AC65B">
                  <w:pPr>
                    <w:jc w:val="center"/>
                    <w:rPr>
                      <w:rFonts w:eastAsia="等线"/>
                      <w:szCs w:val="21"/>
                    </w:rPr>
                  </w:pPr>
                  <w:r>
                    <w:rPr>
                      <w:rFonts w:eastAsia="等线"/>
                      <w:szCs w:val="21"/>
                    </w:rPr>
                    <w:t>0.0004</w:t>
                  </w:r>
                </w:p>
              </w:tc>
              <w:tc>
                <w:tcPr>
                  <w:tcW w:w="992" w:type="dxa"/>
                  <w:vAlign w:val="center"/>
                </w:tcPr>
                <w:p w14:paraId="520AC65C">
                  <w:pPr>
                    <w:jc w:val="center"/>
                    <w:rPr>
                      <w:rFonts w:eastAsia="等线"/>
                      <w:szCs w:val="21"/>
                    </w:rPr>
                  </w:pPr>
                  <w:r>
                    <w:rPr>
                      <w:rFonts w:eastAsia="等线"/>
                      <w:szCs w:val="21"/>
                    </w:rPr>
                    <w:t>0.03</w:t>
                  </w:r>
                </w:p>
              </w:tc>
              <w:tc>
                <w:tcPr>
                  <w:tcW w:w="872" w:type="dxa"/>
                  <w:vAlign w:val="center"/>
                </w:tcPr>
                <w:p w14:paraId="520AC65D">
                  <w:pPr>
                    <w:jc w:val="center"/>
                    <w:rPr>
                      <w:rFonts w:eastAsia="等线"/>
                      <w:szCs w:val="21"/>
                    </w:rPr>
                  </w:pPr>
                  <w:r>
                    <w:rPr>
                      <w:rFonts w:eastAsia="等线"/>
                      <w:szCs w:val="21"/>
                    </w:rPr>
                    <w:t>0.1</w:t>
                  </w:r>
                </w:p>
              </w:tc>
            </w:tr>
            <w:tr w14:paraId="520AC66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35" w:type="dxa"/>
                  <w:gridSpan w:val="10"/>
                  <w:vAlign w:val="center"/>
                </w:tcPr>
                <w:p w14:paraId="520AC65F">
                  <w:pPr>
                    <w:adjustRightInd w:val="0"/>
                    <w:snapToGrid w:val="0"/>
                    <w:rPr>
                      <w:rFonts w:eastAsia="黑体"/>
                      <w:bCs/>
                      <w:szCs w:val="21"/>
                      <w:highlight w:val="yellow"/>
                    </w:rPr>
                  </w:pPr>
                  <w:r>
                    <w:rPr>
                      <w:rFonts w:eastAsia="黑体"/>
                      <w:bCs/>
                      <w:szCs w:val="21"/>
                    </w:rPr>
                    <w:t>注*：最大排放浓度为吸附、脱附同时工作时的排放浓度。</w:t>
                  </w:r>
                </w:p>
              </w:tc>
            </w:tr>
          </w:tbl>
          <w:p w14:paraId="520AC661">
            <w:pPr>
              <w:adjustRightInd w:val="0"/>
              <w:snapToGrid w:val="0"/>
              <w:spacing w:line="460" w:lineRule="exact"/>
              <w:ind w:firstLine="480" w:firstLineChars="200"/>
              <w:rPr>
                <w:sz w:val="24"/>
                <w:highlight w:val="yellow"/>
              </w:rPr>
            </w:pPr>
            <w:r>
              <w:rPr>
                <w:rFonts w:hint="eastAsia"/>
                <w:sz w:val="24"/>
              </w:rPr>
              <w:t>根据上表可知，</w:t>
            </w:r>
            <w:r>
              <w:rPr>
                <w:bCs/>
                <w:kern w:val="0"/>
                <w:sz w:val="24"/>
              </w:rPr>
              <w:t>有机废气在催化燃烧装置未启动（即仅活性炭吸附）时以及催化燃烧装置启动时</w:t>
            </w:r>
            <w:r>
              <w:rPr>
                <w:rFonts w:hint="eastAsia"/>
                <w:bCs/>
                <w:kern w:val="0"/>
                <w:sz w:val="24"/>
              </w:rPr>
              <w:t>，</w:t>
            </w:r>
            <w:r>
              <w:rPr>
                <w:rFonts w:hint="eastAsia"/>
                <w:sz w:val="24"/>
              </w:rPr>
              <w:t>排气筒DA025、DA026、DA0</w:t>
            </w:r>
            <w:r>
              <w:rPr>
                <w:sz w:val="24"/>
              </w:rPr>
              <w:t>3</w:t>
            </w:r>
            <w:r>
              <w:rPr>
                <w:rFonts w:hint="eastAsia"/>
                <w:sz w:val="24"/>
              </w:rPr>
              <w:t>0非甲烷总烃排放均能够满足《大气污染物综合排放标准》（GB16297-1996）表2二级</w:t>
            </w:r>
            <w:r>
              <w:rPr>
                <w:rFonts w:hint="eastAsia"/>
                <w:bCs/>
                <w:sz w:val="24"/>
              </w:rPr>
              <w:t>非甲烷总烃有组织12</w:t>
            </w:r>
            <w:r>
              <w:rPr>
                <w:bCs/>
                <w:sz w:val="24"/>
              </w:rPr>
              <w:t>0mg/m</w:t>
            </w:r>
            <w:r>
              <w:rPr>
                <w:bCs/>
                <w:sz w:val="24"/>
                <w:vertAlign w:val="superscript"/>
              </w:rPr>
              <w:t>3</w:t>
            </w:r>
            <w:r>
              <w:rPr>
                <w:rFonts w:hint="eastAsia"/>
                <w:bCs/>
                <w:sz w:val="24"/>
              </w:rPr>
              <w:t>、10kg/h（15m高排气筒）</w:t>
            </w:r>
            <w:r>
              <w:rPr>
                <w:rFonts w:hint="eastAsia"/>
                <w:sz w:val="24"/>
              </w:rPr>
              <w:t>的限值要求，同时满足</w:t>
            </w:r>
            <w:r>
              <w:rPr>
                <w:rFonts w:hint="eastAsia"/>
                <w:bCs/>
                <w:sz w:val="24"/>
              </w:rPr>
              <w:t>《</w:t>
            </w:r>
            <w:r>
              <w:rPr>
                <w:bCs/>
                <w:sz w:val="24"/>
              </w:rPr>
              <w:t>关于全省开展工业企业挥发性有机物专项治理工作中排放建议值的通知》（豫环攻坚办（2017）162号）附件</w:t>
            </w:r>
            <w:r>
              <w:rPr>
                <w:rFonts w:hint="eastAsia"/>
                <w:bCs/>
                <w:sz w:val="24"/>
              </w:rPr>
              <w:t>1其他行业非甲烷总烃80</w:t>
            </w:r>
            <w:r>
              <w:rPr>
                <w:rFonts w:hint="eastAsia"/>
                <w:sz w:val="24"/>
              </w:rPr>
              <w:t>mg/m</w:t>
            </w:r>
            <w:r>
              <w:rPr>
                <w:rFonts w:hint="eastAsia"/>
                <w:sz w:val="24"/>
                <w:vertAlign w:val="superscript"/>
              </w:rPr>
              <w:t>3</w:t>
            </w:r>
            <w:r>
              <w:rPr>
                <w:rFonts w:hint="eastAsia"/>
                <w:bCs/>
                <w:sz w:val="24"/>
              </w:rPr>
              <w:t>、处理效率70%</w:t>
            </w:r>
            <w:r>
              <w:rPr>
                <w:rFonts w:hint="eastAsia"/>
                <w:sz w:val="24"/>
              </w:rPr>
              <w:t>的限值要求，</w:t>
            </w:r>
            <w:r>
              <w:rPr>
                <w:bCs/>
                <w:sz w:val="24"/>
              </w:rPr>
              <w:t>《河南省重污染天气通用行业应急减排措施制定技术指南》（2024年修订版）涉VOCs企业</w:t>
            </w:r>
            <w:r>
              <w:rPr>
                <w:rFonts w:hint="eastAsia"/>
                <w:sz w:val="24"/>
              </w:rPr>
              <w:t>非甲烷总烃有组织3</w:t>
            </w:r>
            <w:r>
              <w:rPr>
                <w:sz w:val="24"/>
              </w:rPr>
              <w:t>0mg/m</w:t>
            </w:r>
            <w:r>
              <w:rPr>
                <w:sz w:val="24"/>
                <w:vertAlign w:val="superscript"/>
              </w:rPr>
              <w:t>3</w:t>
            </w:r>
            <w:r>
              <w:rPr>
                <w:rFonts w:hint="eastAsia"/>
                <w:sz w:val="24"/>
              </w:rPr>
              <w:t>的限值要求。</w:t>
            </w:r>
          </w:p>
          <w:p w14:paraId="520AC662">
            <w:pPr>
              <w:adjustRightInd w:val="0"/>
              <w:snapToGrid w:val="0"/>
              <w:spacing w:line="460" w:lineRule="exact"/>
              <w:ind w:firstLine="480" w:firstLineChars="200"/>
              <w:rPr>
                <w:sz w:val="24"/>
              </w:rPr>
            </w:pPr>
            <w:r>
              <w:rPr>
                <w:rFonts w:hint="eastAsia"/>
                <w:sz w:val="24"/>
              </w:rPr>
              <w:t>废气处理设施TA025、TA026、TA0</w:t>
            </w:r>
            <w:r>
              <w:rPr>
                <w:sz w:val="24"/>
              </w:rPr>
              <w:t>3</w:t>
            </w:r>
            <w:r>
              <w:rPr>
                <w:rFonts w:hint="eastAsia"/>
                <w:sz w:val="24"/>
              </w:rPr>
              <w:t>0依托达标分析如下：</w:t>
            </w:r>
          </w:p>
          <w:p w14:paraId="520AC663">
            <w:pPr>
              <w:adjustRightInd w:val="0"/>
              <w:snapToGrid w:val="0"/>
              <w:spacing w:line="460" w:lineRule="exact"/>
              <w:ind w:firstLine="480" w:firstLineChars="200"/>
              <w:rPr>
                <w:sz w:val="24"/>
              </w:rPr>
            </w:pPr>
            <w:r>
              <w:rPr>
                <w:rFonts w:hint="eastAsia"/>
                <w:sz w:val="24"/>
              </w:rPr>
              <w:t>本项目建成后，建设路厂区排气筒DA025、DA026和DA030相关废气收集、治理及排放工艺如下图：</w:t>
            </w:r>
          </w:p>
          <w:p w14:paraId="520AC664">
            <w:pPr>
              <w:adjustRightInd w:val="0"/>
              <w:snapToGrid w:val="0"/>
              <w:jc w:val="center"/>
              <w:rPr>
                <w:rFonts w:eastAsia="黑体"/>
                <w:sz w:val="24"/>
                <w:highlight w:val="yellow"/>
              </w:rPr>
            </w:pPr>
            <w:r>
              <w:drawing>
                <wp:inline distT="0" distB="0" distL="114300" distR="114300">
                  <wp:extent cx="5162550" cy="3818255"/>
                  <wp:effectExtent l="0" t="0" r="0" b="10795"/>
                  <wp:docPr id="5" name="图片 13"/>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a:ext>
                    </a:extLst>
                  </wp:cNvGraphicFramePr>
                  <a:graphic xmlns:a="http://schemas.openxmlformats.org/drawingml/2006/main">
                    <a:graphicData uri="http://schemas.openxmlformats.org/drawingml/2006/picture">
                      <pic:pic xmlns:pic="http://schemas.openxmlformats.org/drawingml/2006/picture">
                        <pic:nvPicPr>
                          <pic:cNvPr id="5" name="图片 13"/>
                          <pic:cNvPicPr>
                            <a:picLocks noChangeAspect="1"/>
                          </pic:cNvPicPr>
                        </pic:nvPicPr>
                        <pic:blipFill>
                          <a:blip r:embed="rId27"/>
                          <a:stretch>
                            <a:fillRect/>
                          </a:stretch>
                        </pic:blipFill>
                        <pic:spPr>
                          <a:xfrm>
                            <a:off x="0" y="0"/>
                            <a:ext cx="5162550" cy="3818255"/>
                          </a:xfrm>
                          <a:prstGeom prst="rect">
                            <a:avLst/>
                          </a:prstGeom>
                        </pic:spPr>
                      </pic:pic>
                    </a:graphicData>
                  </a:graphic>
                </wp:inline>
              </w:drawing>
            </w:r>
          </w:p>
          <w:p w14:paraId="520AC665">
            <w:pPr>
              <w:adjustRightInd w:val="0"/>
              <w:snapToGrid w:val="0"/>
              <w:jc w:val="center"/>
              <w:rPr>
                <w:rFonts w:eastAsia="黑体"/>
                <w:sz w:val="24"/>
              </w:rPr>
            </w:pPr>
            <w:r>
              <w:rPr>
                <w:rFonts w:hint="eastAsia" w:eastAsia="黑体"/>
                <w:sz w:val="24"/>
              </w:rPr>
              <w:t>图11  排气筒DA025、DA026和DA0</w:t>
            </w:r>
            <w:r>
              <w:rPr>
                <w:rFonts w:eastAsia="黑体"/>
                <w:sz w:val="24"/>
              </w:rPr>
              <w:t>3</w:t>
            </w:r>
            <w:r>
              <w:rPr>
                <w:rFonts w:hint="eastAsia" w:eastAsia="黑体"/>
                <w:sz w:val="24"/>
              </w:rPr>
              <w:t>0相关废气收集、治理及排放流程图</w:t>
            </w:r>
          </w:p>
          <w:p w14:paraId="520AC666">
            <w:pPr>
              <w:adjustRightInd w:val="0"/>
              <w:snapToGrid w:val="0"/>
              <w:spacing w:line="460" w:lineRule="exact"/>
              <w:ind w:firstLine="480" w:firstLineChars="200"/>
              <w:rPr>
                <w:sz w:val="24"/>
              </w:rPr>
            </w:pPr>
            <w:r>
              <w:rPr>
                <w:rFonts w:hint="eastAsia"/>
                <w:sz w:val="24"/>
              </w:rPr>
              <w:t>在建工程1</w:t>
            </w:r>
            <w:r>
              <w:rPr>
                <w:sz w:val="24"/>
              </w:rPr>
              <w:t>20</w:t>
            </w:r>
            <w:r>
              <w:rPr>
                <w:rFonts w:hint="eastAsia"/>
                <w:sz w:val="24"/>
              </w:rPr>
              <w:t>5#厂房油类试验废气污染物为非甲烷总烃，经TA0</w:t>
            </w:r>
            <w:r>
              <w:rPr>
                <w:sz w:val="24"/>
              </w:rPr>
              <w:t>3</w:t>
            </w:r>
            <w:r>
              <w:rPr>
                <w:rFonts w:hint="eastAsia"/>
                <w:sz w:val="24"/>
              </w:rPr>
              <w:t>0治理后经DA0</w:t>
            </w:r>
            <w:r>
              <w:rPr>
                <w:sz w:val="24"/>
              </w:rPr>
              <w:t>3</w:t>
            </w:r>
            <w:r>
              <w:rPr>
                <w:rFonts w:hint="eastAsia"/>
                <w:sz w:val="24"/>
              </w:rPr>
              <w:t>0有组织达标排放；已建工程和在建工程101#厂房油类试验废气污染物为非甲烷总烃，经TA025治理后经DA025有组织达标排放；已建工程和在建工程1206#厂房油类试验废气污染物为非甲烷总烃，经TA026治理后经DA026有组织达标排放。本项目有机废气依托在建工程治理措施和已建工程治理设施治理后排放，因此本次评价需对本项目和在建工程、</w:t>
            </w:r>
            <w:bookmarkStart w:id="7" w:name="_GoBack"/>
            <w:bookmarkEnd w:id="7"/>
            <w:r>
              <w:rPr>
                <w:rFonts w:hint="eastAsia"/>
                <w:sz w:val="24"/>
              </w:rPr>
              <w:t>已建工程排放的非甲烷总烃进行合并分析达标情况。</w:t>
            </w:r>
          </w:p>
          <w:p w14:paraId="520AC667">
            <w:pPr>
              <w:adjustRightInd w:val="0"/>
              <w:snapToGrid w:val="0"/>
              <w:spacing w:line="460" w:lineRule="exact"/>
              <w:ind w:firstLine="480" w:firstLineChars="200"/>
              <w:rPr>
                <w:sz w:val="24"/>
              </w:rPr>
            </w:pPr>
            <w:r>
              <w:rPr>
                <w:rFonts w:hint="eastAsia"/>
                <w:sz w:val="24"/>
              </w:rPr>
              <w:t>根据建设路厂区现有工程废气产排污分析及本工程废气产排污分析可知，本项目建成后排气筒DA025、DA026和DA0</w:t>
            </w:r>
            <w:r>
              <w:rPr>
                <w:sz w:val="24"/>
              </w:rPr>
              <w:t>3</w:t>
            </w:r>
            <w:r>
              <w:rPr>
                <w:rFonts w:hint="eastAsia"/>
                <w:sz w:val="24"/>
              </w:rPr>
              <w:t>0排放情况见下表。</w:t>
            </w:r>
          </w:p>
          <w:p w14:paraId="520AC668">
            <w:pPr>
              <w:adjustRightInd w:val="0"/>
              <w:snapToGrid w:val="0"/>
              <w:spacing w:line="460" w:lineRule="exact"/>
              <w:ind w:firstLine="224" w:firstLineChars="100"/>
              <w:textAlignment w:val="baseline"/>
              <w:rPr>
                <w:rFonts w:eastAsia="黑体"/>
                <w:bCs/>
                <w:spacing w:val="-8"/>
                <w:sz w:val="24"/>
              </w:rPr>
            </w:pPr>
            <w:r>
              <w:rPr>
                <w:rFonts w:eastAsia="黑体"/>
                <w:bCs/>
                <w:spacing w:val="-8"/>
                <w:sz w:val="24"/>
              </w:rPr>
              <w:t>表</w:t>
            </w:r>
            <w:r>
              <w:rPr>
                <w:rFonts w:hint="eastAsia" w:eastAsia="黑体"/>
                <w:bCs/>
                <w:spacing w:val="-8"/>
                <w:sz w:val="24"/>
              </w:rPr>
              <w:t>57</w:t>
            </w:r>
            <w:r>
              <w:rPr>
                <w:rFonts w:eastAsia="黑体"/>
                <w:bCs/>
                <w:spacing w:val="-8"/>
                <w:sz w:val="24"/>
              </w:rPr>
              <w:t xml:space="preserve"> </w:t>
            </w:r>
            <w:r>
              <w:rPr>
                <w:rFonts w:hint="eastAsia" w:eastAsia="黑体"/>
                <w:bCs/>
                <w:spacing w:val="-8"/>
                <w:sz w:val="24"/>
              </w:rPr>
              <w:t>本项目建成后排气筒DA025、DA026和DA0</w:t>
            </w:r>
            <w:r>
              <w:rPr>
                <w:rFonts w:eastAsia="黑体"/>
                <w:bCs/>
                <w:spacing w:val="-8"/>
                <w:sz w:val="24"/>
              </w:rPr>
              <w:t>33</w:t>
            </w:r>
            <w:r>
              <w:rPr>
                <w:rFonts w:hint="eastAsia" w:eastAsia="黑体"/>
                <w:bCs/>
                <w:spacing w:val="-8"/>
                <w:sz w:val="24"/>
              </w:rPr>
              <w:t>废气污染物排放情况一览表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454"/>
              <w:gridCol w:w="430"/>
              <w:gridCol w:w="708"/>
              <w:gridCol w:w="709"/>
              <w:gridCol w:w="709"/>
              <w:gridCol w:w="709"/>
              <w:gridCol w:w="564"/>
              <w:gridCol w:w="711"/>
              <w:gridCol w:w="709"/>
              <w:gridCol w:w="709"/>
              <w:gridCol w:w="850"/>
              <w:gridCol w:w="873"/>
            </w:tblGrid>
            <w:tr w14:paraId="520AC66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4" w:type="dxa"/>
                  <w:vMerge w:val="restart"/>
                  <w:vAlign w:val="center"/>
                </w:tcPr>
                <w:p w14:paraId="520AC669">
                  <w:pPr>
                    <w:adjustRightInd w:val="0"/>
                    <w:snapToGrid w:val="0"/>
                    <w:jc w:val="center"/>
                    <w:textAlignment w:val="baseline"/>
                    <w:rPr>
                      <w:bCs/>
                      <w:szCs w:val="21"/>
                    </w:rPr>
                  </w:pPr>
                  <w:r>
                    <w:rPr>
                      <w:rFonts w:hint="eastAsia"/>
                      <w:b/>
                      <w:szCs w:val="21"/>
                    </w:rPr>
                    <w:t>产污环节</w:t>
                  </w:r>
                </w:p>
              </w:tc>
              <w:tc>
                <w:tcPr>
                  <w:tcW w:w="430" w:type="dxa"/>
                  <w:vMerge w:val="restart"/>
                  <w:vAlign w:val="center"/>
                </w:tcPr>
                <w:p w14:paraId="520AC66A">
                  <w:pPr>
                    <w:adjustRightInd w:val="0"/>
                    <w:snapToGrid w:val="0"/>
                    <w:jc w:val="center"/>
                    <w:textAlignment w:val="baseline"/>
                    <w:rPr>
                      <w:bCs/>
                      <w:szCs w:val="21"/>
                    </w:rPr>
                  </w:pPr>
                  <w:r>
                    <w:rPr>
                      <w:b/>
                      <w:szCs w:val="21"/>
                    </w:rPr>
                    <w:t>污染因子</w:t>
                  </w:r>
                </w:p>
              </w:tc>
              <w:tc>
                <w:tcPr>
                  <w:tcW w:w="2835" w:type="dxa"/>
                  <w:gridSpan w:val="4"/>
                  <w:vAlign w:val="center"/>
                </w:tcPr>
                <w:p w14:paraId="520AC66B">
                  <w:pPr>
                    <w:adjustRightInd w:val="0"/>
                    <w:snapToGrid w:val="0"/>
                    <w:jc w:val="center"/>
                    <w:textAlignment w:val="baseline"/>
                    <w:rPr>
                      <w:b/>
                      <w:szCs w:val="21"/>
                    </w:rPr>
                  </w:pPr>
                  <w:r>
                    <w:rPr>
                      <w:b/>
                      <w:szCs w:val="21"/>
                    </w:rPr>
                    <w:t>排放量(t/a)</w:t>
                  </w:r>
                </w:p>
              </w:tc>
              <w:tc>
                <w:tcPr>
                  <w:tcW w:w="2693" w:type="dxa"/>
                  <w:gridSpan w:val="4"/>
                  <w:vAlign w:val="center"/>
                </w:tcPr>
                <w:p w14:paraId="520AC66C">
                  <w:pPr>
                    <w:adjustRightInd w:val="0"/>
                    <w:snapToGrid w:val="0"/>
                    <w:jc w:val="center"/>
                    <w:textAlignment w:val="baseline"/>
                    <w:rPr>
                      <w:b/>
                      <w:szCs w:val="21"/>
                    </w:rPr>
                  </w:pPr>
                  <w:r>
                    <w:rPr>
                      <w:rFonts w:hint="eastAsia"/>
                      <w:b/>
                      <w:szCs w:val="21"/>
                    </w:rPr>
                    <w:t>最大排放</w:t>
                  </w:r>
                  <w:r>
                    <w:rPr>
                      <w:b/>
                      <w:szCs w:val="21"/>
                    </w:rPr>
                    <w:t>速率(kg/h)</w:t>
                  </w:r>
                </w:p>
              </w:tc>
              <w:tc>
                <w:tcPr>
                  <w:tcW w:w="850" w:type="dxa"/>
                  <w:vMerge w:val="restart"/>
                  <w:vAlign w:val="center"/>
                </w:tcPr>
                <w:p w14:paraId="520AC66D">
                  <w:pPr>
                    <w:jc w:val="center"/>
                    <w:rPr>
                      <w:b/>
                      <w:szCs w:val="21"/>
                    </w:rPr>
                  </w:pPr>
                  <w:r>
                    <w:rPr>
                      <w:rFonts w:hint="eastAsia"/>
                      <w:b/>
                      <w:szCs w:val="21"/>
                    </w:rPr>
                    <w:t>本项目建成后最大风量(m</w:t>
                  </w:r>
                  <w:r>
                    <w:rPr>
                      <w:rFonts w:hint="eastAsia"/>
                      <w:b/>
                      <w:szCs w:val="21"/>
                      <w:vertAlign w:val="superscript"/>
                    </w:rPr>
                    <w:t>3</w:t>
                  </w:r>
                  <w:r>
                    <w:rPr>
                      <w:rFonts w:hint="eastAsia"/>
                      <w:b/>
                      <w:szCs w:val="21"/>
                    </w:rPr>
                    <w:t>/h)</w:t>
                  </w:r>
                </w:p>
              </w:tc>
              <w:tc>
                <w:tcPr>
                  <w:tcW w:w="873" w:type="dxa"/>
                  <w:vMerge w:val="restart"/>
                  <w:vAlign w:val="center"/>
                </w:tcPr>
                <w:p w14:paraId="520AC66E">
                  <w:pPr>
                    <w:jc w:val="center"/>
                    <w:rPr>
                      <w:b/>
                      <w:szCs w:val="21"/>
                    </w:rPr>
                  </w:pPr>
                  <w:r>
                    <w:rPr>
                      <w:rFonts w:hint="eastAsia"/>
                      <w:b/>
                      <w:szCs w:val="21"/>
                    </w:rPr>
                    <w:t>本项目建成后</w:t>
                  </w:r>
                  <w:r>
                    <w:rPr>
                      <w:b/>
                      <w:szCs w:val="21"/>
                    </w:rPr>
                    <w:t>最大排放浓度</w:t>
                  </w:r>
                  <w:r>
                    <w:rPr>
                      <w:b/>
                      <w:szCs w:val="21"/>
                      <w:vertAlign w:val="superscript"/>
                    </w:rPr>
                    <w:t>*</w:t>
                  </w:r>
                  <w:r>
                    <w:rPr>
                      <w:b/>
                      <w:szCs w:val="21"/>
                    </w:rPr>
                    <w:t>(mg/m</w:t>
                  </w:r>
                  <w:r>
                    <w:rPr>
                      <w:b/>
                      <w:szCs w:val="21"/>
                      <w:vertAlign w:val="superscript"/>
                    </w:rPr>
                    <w:t>3</w:t>
                  </w:r>
                  <w:r>
                    <w:rPr>
                      <w:b/>
                      <w:szCs w:val="21"/>
                    </w:rPr>
                    <w:t>)</w:t>
                  </w:r>
                </w:p>
              </w:tc>
            </w:tr>
            <w:tr w14:paraId="520AC67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4" w:type="dxa"/>
                  <w:vMerge w:val="continue"/>
                  <w:vAlign w:val="center"/>
                </w:tcPr>
                <w:p w14:paraId="520AC670">
                  <w:pPr>
                    <w:adjustRightInd w:val="0"/>
                    <w:snapToGrid w:val="0"/>
                    <w:jc w:val="center"/>
                    <w:textAlignment w:val="baseline"/>
                    <w:rPr>
                      <w:bCs/>
                      <w:szCs w:val="21"/>
                    </w:rPr>
                  </w:pPr>
                </w:p>
              </w:tc>
              <w:tc>
                <w:tcPr>
                  <w:tcW w:w="430" w:type="dxa"/>
                  <w:vMerge w:val="continue"/>
                  <w:vAlign w:val="center"/>
                </w:tcPr>
                <w:p w14:paraId="520AC671">
                  <w:pPr>
                    <w:adjustRightInd w:val="0"/>
                    <w:snapToGrid w:val="0"/>
                    <w:jc w:val="center"/>
                    <w:textAlignment w:val="baseline"/>
                    <w:rPr>
                      <w:bCs/>
                      <w:szCs w:val="21"/>
                    </w:rPr>
                  </w:pPr>
                </w:p>
              </w:tc>
              <w:tc>
                <w:tcPr>
                  <w:tcW w:w="708" w:type="dxa"/>
                  <w:vAlign w:val="center"/>
                </w:tcPr>
                <w:p w14:paraId="520AC672">
                  <w:pPr>
                    <w:jc w:val="center"/>
                    <w:rPr>
                      <w:b/>
                      <w:szCs w:val="21"/>
                    </w:rPr>
                  </w:pPr>
                  <w:r>
                    <w:rPr>
                      <w:rFonts w:hint="eastAsia"/>
                      <w:b/>
                      <w:szCs w:val="21"/>
                    </w:rPr>
                    <w:t>已建工程</w:t>
                  </w:r>
                </w:p>
              </w:tc>
              <w:tc>
                <w:tcPr>
                  <w:tcW w:w="709" w:type="dxa"/>
                  <w:vAlign w:val="center"/>
                </w:tcPr>
                <w:p w14:paraId="520AC673">
                  <w:pPr>
                    <w:jc w:val="center"/>
                    <w:rPr>
                      <w:b/>
                      <w:szCs w:val="21"/>
                    </w:rPr>
                  </w:pPr>
                  <w:r>
                    <w:rPr>
                      <w:rFonts w:hint="eastAsia"/>
                      <w:b/>
                      <w:szCs w:val="21"/>
                    </w:rPr>
                    <w:t>在建工程</w:t>
                  </w:r>
                </w:p>
              </w:tc>
              <w:tc>
                <w:tcPr>
                  <w:tcW w:w="709" w:type="dxa"/>
                  <w:vAlign w:val="center"/>
                </w:tcPr>
                <w:p w14:paraId="520AC674">
                  <w:pPr>
                    <w:jc w:val="center"/>
                    <w:rPr>
                      <w:b/>
                      <w:szCs w:val="21"/>
                    </w:rPr>
                  </w:pPr>
                  <w:r>
                    <w:rPr>
                      <w:rFonts w:hint="eastAsia"/>
                      <w:b/>
                      <w:szCs w:val="21"/>
                    </w:rPr>
                    <w:t>本项目</w:t>
                  </w:r>
                </w:p>
              </w:tc>
              <w:tc>
                <w:tcPr>
                  <w:tcW w:w="709" w:type="dxa"/>
                  <w:vAlign w:val="center"/>
                </w:tcPr>
                <w:p w14:paraId="520AC675">
                  <w:pPr>
                    <w:jc w:val="center"/>
                    <w:rPr>
                      <w:b/>
                      <w:szCs w:val="21"/>
                    </w:rPr>
                  </w:pPr>
                  <w:r>
                    <w:rPr>
                      <w:b/>
                      <w:szCs w:val="21"/>
                    </w:rPr>
                    <w:t>合计</w:t>
                  </w:r>
                </w:p>
              </w:tc>
              <w:tc>
                <w:tcPr>
                  <w:tcW w:w="564" w:type="dxa"/>
                  <w:vAlign w:val="center"/>
                </w:tcPr>
                <w:p w14:paraId="520AC676">
                  <w:pPr>
                    <w:jc w:val="center"/>
                    <w:rPr>
                      <w:b/>
                      <w:szCs w:val="21"/>
                    </w:rPr>
                  </w:pPr>
                  <w:r>
                    <w:rPr>
                      <w:rFonts w:hint="eastAsia"/>
                      <w:b/>
                      <w:szCs w:val="21"/>
                    </w:rPr>
                    <w:t>已建工程</w:t>
                  </w:r>
                </w:p>
              </w:tc>
              <w:tc>
                <w:tcPr>
                  <w:tcW w:w="711" w:type="dxa"/>
                  <w:vAlign w:val="center"/>
                </w:tcPr>
                <w:p w14:paraId="520AC677">
                  <w:pPr>
                    <w:jc w:val="center"/>
                    <w:rPr>
                      <w:b/>
                      <w:szCs w:val="21"/>
                    </w:rPr>
                  </w:pPr>
                  <w:r>
                    <w:rPr>
                      <w:rFonts w:hint="eastAsia"/>
                      <w:b/>
                      <w:szCs w:val="21"/>
                    </w:rPr>
                    <w:t>在建工程</w:t>
                  </w:r>
                </w:p>
              </w:tc>
              <w:tc>
                <w:tcPr>
                  <w:tcW w:w="709" w:type="dxa"/>
                  <w:vAlign w:val="center"/>
                </w:tcPr>
                <w:p w14:paraId="520AC678">
                  <w:pPr>
                    <w:jc w:val="center"/>
                    <w:rPr>
                      <w:b/>
                      <w:szCs w:val="21"/>
                    </w:rPr>
                  </w:pPr>
                  <w:r>
                    <w:rPr>
                      <w:rFonts w:hint="eastAsia"/>
                      <w:b/>
                      <w:szCs w:val="21"/>
                    </w:rPr>
                    <w:t>本项目</w:t>
                  </w:r>
                </w:p>
              </w:tc>
              <w:tc>
                <w:tcPr>
                  <w:tcW w:w="709" w:type="dxa"/>
                  <w:vAlign w:val="center"/>
                </w:tcPr>
                <w:p w14:paraId="520AC679">
                  <w:pPr>
                    <w:jc w:val="center"/>
                    <w:rPr>
                      <w:b/>
                      <w:szCs w:val="21"/>
                    </w:rPr>
                  </w:pPr>
                  <w:r>
                    <w:rPr>
                      <w:b/>
                      <w:szCs w:val="21"/>
                    </w:rPr>
                    <w:t>合计</w:t>
                  </w:r>
                </w:p>
              </w:tc>
              <w:tc>
                <w:tcPr>
                  <w:tcW w:w="850" w:type="dxa"/>
                  <w:vMerge w:val="continue"/>
                  <w:vAlign w:val="center"/>
                </w:tcPr>
                <w:p w14:paraId="520AC67A">
                  <w:pPr>
                    <w:jc w:val="center"/>
                    <w:rPr>
                      <w:b/>
                      <w:szCs w:val="21"/>
                    </w:rPr>
                  </w:pPr>
                </w:p>
              </w:tc>
              <w:tc>
                <w:tcPr>
                  <w:tcW w:w="873" w:type="dxa"/>
                  <w:vMerge w:val="continue"/>
                  <w:vAlign w:val="center"/>
                </w:tcPr>
                <w:p w14:paraId="520AC67B">
                  <w:pPr>
                    <w:jc w:val="center"/>
                    <w:rPr>
                      <w:b/>
                      <w:szCs w:val="21"/>
                    </w:rPr>
                  </w:pPr>
                </w:p>
              </w:tc>
            </w:tr>
            <w:tr w14:paraId="520AC68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4" w:type="dxa"/>
                  <w:vAlign w:val="center"/>
                </w:tcPr>
                <w:p w14:paraId="520AC67D">
                  <w:pPr>
                    <w:adjustRightInd w:val="0"/>
                    <w:snapToGrid w:val="0"/>
                    <w:jc w:val="center"/>
                    <w:textAlignment w:val="baseline"/>
                    <w:rPr>
                      <w:kern w:val="0"/>
                      <w:szCs w:val="21"/>
                      <w:lang w:val="pt-BR"/>
                    </w:rPr>
                  </w:pPr>
                  <w:r>
                    <w:rPr>
                      <w:rFonts w:hint="eastAsia"/>
                      <w:kern w:val="0"/>
                      <w:szCs w:val="21"/>
                      <w:lang w:val="pt-BR"/>
                    </w:rPr>
                    <w:t>1205</w:t>
                  </w:r>
                  <w:r>
                    <w:rPr>
                      <w:rFonts w:hint="eastAsia"/>
                      <w:sz w:val="24"/>
                    </w:rPr>
                    <w:t>#</w:t>
                  </w:r>
                  <w:r>
                    <w:rPr>
                      <w:rFonts w:hint="eastAsia"/>
                      <w:kern w:val="0"/>
                      <w:szCs w:val="21"/>
                      <w:lang w:val="pt-BR"/>
                    </w:rPr>
                    <w:t>厂房DA0</w:t>
                  </w:r>
                  <w:r>
                    <w:rPr>
                      <w:kern w:val="0"/>
                      <w:szCs w:val="21"/>
                      <w:lang w:val="pt-BR"/>
                    </w:rPr>
                    <w:t>3</w:t>
                  </w:r>
                  <w:r>
                    <w:rPr>
                      <w:rFonts w:hint="eastAsia"/>
                      <w:kern w:val="0"/>
                      <w:szCs w:val="21"/>
                      <w:lang w:val="pt-BR"/>
                    </w:rPr>
                    <w:t>0</w:t>
                  </w:r>
                </w:p>
              </w:tc>
              <w:tc>
                <w:tcPr>
                  <w:tcW w:w="430" w:type="dxa"/>
                  <w:vMerge w:val="restart"/>
                  <w:vAlign w:val="center"/>
                </w:tcPr>
                <w:p w14:paraId="520AC67E">
                  <w:pPr>
                    <w:adjustRightInd w:val="0"/>
                    <w:snapToGrid w:val="0"/>
                    <w:jc w:val="center"/>
                    <w:textAlignment w:val="baseline"/>
                    <w:rPr>
                      <w:bCs/>
                      <w:szCs w:val="21"/>
                    </w:rPr>
                  </w:pPr>
                  <w:r>
                    <w:rPr>
                      <w:bCs/>
                      <w:szCs w:val="21"/>
                    </w:rPr>
                    <w:t>非甲烷总烃</w:t>
                  </w:r>
                </w:p>
              </w:tc>
              <w:tc>
                <w:tcPr>
                  <w:tcW w:w="708" w:type="dxa"/>
                  <w:vAlign w:val="center"/>
                </w:tcPr>
                <w:p w14:paraId="520AC67F">
                  <w:pPr>
                    <w:jc w:val="center"/>
                    <w:rPr>
                      <w:rFonts w:eastAsia="等线"/>
                      <w:szCs w:val="21"/>
                    </w:rPr>
                  </w:pPr>
                  <w:r>
                    <w:rPr>
                      <w:rFonts w:hint="eastAsia"/>
                      <w:bCs/>
                      <w:szCs w:val="21"/>
                    </w:rPr>
                    <w:t>/</w:t>
                  </w:r>
                </w:p>
              </w:tc>
              <w:tc>
                <w:tcPr>
                  <w:tcW w:w="709" w:type="dxa"/>
                  <w:vAlign w:val="center"/>
                </w:tcPr>
                <w:p w14:paraId="520AC680">
                  <w:pPr>
                    <w:jc w:val="center"/>
                    <w:rPr>
                      <w:rFonts w:eastAsia="等线"/>
                      <w:szCs w:val="21"/>
                    </w:rPr>
                  </w:pPr>
                  <w:r>
                    <w:rPr>
                      <w:rFonts w:hint="eastAsia"/>
                      <w:bCs/>
                      <w:szCs w:val="21"/>
                    </w:rPr>
                    <w:t>0.112</w:t>
                  </w:r>
                </w:p>
              </w:tc>
              <w:tc>
                <w:tcPr>
                  <w:tcW w:w="709" w:type="dxa"/>
                  <w:vAlign w:val="center"/>
                </w:tcPr>
                <w:p w14:paraId="520AC681">
                  <w:pPr>
                    <w:jc w:val="center"/>
                    <w:rPr>
                      <w:rFonts w:eastAsia="等线"/>
                      <w:szCs w:val="21"/>
                    </w:rPr>
                  </w:pPr>
                  <w:r>
                    <w:rPr>
                      <w:rFonts w:eastAsia="等线"/>
                      <w:szCs w:val="21"/>
                    </w:rPr>
                    <w:t>0.003</w:t>
                  </w:r>
                </w:p>
              </w:tc>
              <w:tc>
                <w:tcPr>
                  <w:tcW w:w="709" w:type="dxa"/>
                  <w:vAlign w:val="center"/>
                </w:tcPr>
                <w:p w14:paraId="520AC682">
                  <w:pPr>
                    <w:jc w:val="center"/>
                    <w:rPr>
                      <w:rFonts w:eastAsia="等线"/>
                      <w:szCs w:val="21"/>
                    </w:rPr>
                  </w:pPr>
                  <w:r>
                    <w:rPr>
                      <w:rFonts w:eastAsia="等线"/>
                      <w:szCs w:val="21"/>
                    </w:rPr>
                    <w:t>0.115</w:t>
                  </w:r>
                </w:p>
              </w:tc>
              <w:tc>
                <w:tcPr>
                  <w:tcW w:w="564" w:type="dxa"/>
                  <w:vAlign w:val="center"/>
                </w:tcPr>
                <w:p w14:paraId="520AC683">
                  <w:pPr>
                    <w:jc w:val="center"/>
                    <w:rPr>
                      <w:rFonts w:eastAsia="等线"/>
                      <w:szCs w:val="21"/>
                    </w:rPr>
                  </w:pPr>
                  <w:r>
                    <w:rPr>
                      <w:rFonts w:hint="eastAsia" w:eastAsia="等线"/>
                      <w:szCs w:val="21"/>
                    </w:rPr>
                    <w:t>/</w:t>
                  </w:r>
                </w:p>
              </w:tc>
              <w:tc>
                <w:tcPr>
                  <w:tcW w:w="711" w:type="dxa"/>
                  <w:vAlign w:val="center"/>
                </w:tcPr>
                <w:p w14:paraId="520AC684">
                  <w:pPr>
                    <w:jc w:val="center"/>
                    <w:rPr>
                      <w:rFonts w:eastAsia="等线"/>
                      <w:szCs w:val="21"/>
                    </w:rPr>
                  </w:pPr>
                  <w:r>
                    <w:rPr>
                      <w:rFonts w:hint="eastAsia" w:eastAsia="等线"/>
                      <w:szCs w:val="21"/>
                    </w:rPr>
                    <w:t>0.56</w:t>
                  </w:r>
                </w:p>
              </w:tc>
              <w:tc>
                <w:tcPr>
                  <w:tcW w:w="709" w:type="dxa"/>
                  <w:vAlign w:val="center"/>
                </w:tcPr>
                <w:p w14:paraId="520AC685">
                  <w:pPr>
                    <w:jc w:val="center"/>
                    <w:rPr>
                      <w:rFonts w:eastAsia="等线"/>
                      <w:szCs w:val="21"/>
                    </w:rPr>
                  </w:pPr>
                  <w:r>
                    <w:rPr>
                      <w:rFonts w:eastAsia="等线"/>
                      <w:szCs w:val="21"/>
                    </w:rPr>
                    <w:t>0.0084</w:t>
                  </w:r>
                </w:p>
              </w:tc>
              <w:tc>
                <w:tcPr>
                  <w:tcW w:w="709" w:type="dxa"/>
                  <w:vAlign w:val="center"/>
                </w:tcPr>
                <w:p w14:paraId="520AC686">
                  <w:pPr>
                    <w:jc w:val="center"/>
                    <w:rPr>
                      <w:rFonts w:eastAsia="等线"/>
                      <w:szCs w:val="21"/>
                    </w:rPr>
                  </w:pPr>
                  <w:r>
                    <w:rPr>
                      <w:rFonts w:eastAsia="等线"/>
                      <w:szCs w:val="21"/>
                    </w:rPr>
                    <w:t>0.5684</w:t>
                  </w:r>
                </w:p>
              </w:tc>
              <w:tc>
                <w:tcPr>
                  <w:tcW w:w="850" w:type="dxa"/>
                  <w:vAlign w:val="center"/>
                </w:tcPr>
                <w:p w14:paraId="520AC687">
                  <w:pPr>
                    <w:jc w:val="center"/>
                    <w:rPr>
                      <w:rFonts w:eastAsia="等线"/>
                      <w:szCs w:val="21"/>
                    </w:rPr>
                  </w:pPr>
                  <w:r>
                    <w:rPr>
                      <w:rFonts w:eastAsia="等线"/>
                      <w:szCs w:val="21"/>
                    </w:rPr>
                    <w:t>19500</w:t>
                  </w:r>
                </w:p>
              </w:tc>
              <w:tc>
                <w:tcPr>
                  <w:tcW w:w="873" w:type="dxa"/>
                  <w:vAlign w:val="center"/>
                </w:tcPr>
                <w:p w14:paraId="520AC688">
                  <w:pPr>
                    <w:jc w:val="center"/>
                    <w:rPr>
                      <w:rFonts w:eastAsia="等线"/>
                      <w:szCs w:val="21"/>
                    </w:rPr>
                  </w:pPr>
                  <w:r>
                    <w:rPr>
                      <w:rFonts w:hint="eastAsia" w:eastAsia="等线"/>
                      <w:szCs w:val="21"/>
                    </w:rPr>
                    <w:t>29.1</w:t>
                  </w:r>
                </w:p>
              </w:tc>
            </w:tr>
            <w:tr w14:paraId="520AC69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4" w:type="dxa"/>
                  <w:vAlign w:val="center"/>
                </w:tcPr>
                <w:p w14:paraId="520AC68A">
                  <w:pPr>
                    <w:adjustRightInd w:val="0"/>
                    <w:snapToGrid w:val="0"/>
                    <w:jc w:val="center"/>
                    <w:textAlignment w:val="baseline"/>
                    <w:rPr>
                      <w:kern w:val="0"/>
                      <w:szCs w:val="21"/>
                      <w:lang w:val="pt-BR"/>
                    </w:rPr>
                  </w:pPr>
                  <w:r>
                    <w:rPr>
                      <w:rFonts w:hint="eastAsia"/>
                      <w:kern w:val="0"/>
                      <w:szCs w:val="21"/>
                      <w:lang w:val="pt-BR"/>
                    </w:rPr>
                    <w:t>101</w:t>
                  </w:r>
                  <w:r>
                    <w:rPr>
                      <w:rFonts w:hint="eastAsia"/>
                      <w:sz w:val="24"/>
                    </w:rPr>
                    <w:t>#</w:t>
                  </w:r>
                  <w:r>
                    <w:rPr>
                      <w:rFonts w:hint="eastAsia"/>
                      <w:kern w:val="0"/>
                      <w:szCs w:val="21"/>
                      <w:lang w:val="pt-BR"/>
                    </w:rPr>
                    <w:t>厂房DA025</w:t>
                  </w:r>
                </w:p>
              </w:tc>
              <w:tc>
                <w:tcPr>
                  <w:tcW w:w="430" w:type="dxa"/>
                  <w:vMerge w:val="continue"/>
                  <w:vAlign w:val="center"/>
                </w:tcPr>
                <w:p w14:paraId="520AC68B">
                  <w:pPr>
                    <w:adjustRightInd w:val="0"/>
                    <w:snapToGrid w:val="0"/>
                    <w:jc w:val="center"/>
                    <w:textAlignment w:val="baseline"/>
                    <w:rPr>
                      <w:bCs/>
                      <w:szCs w:val="21"/>
                    </w:rPr>
                  </w:pPr>
                </w:p>
              </w:tc>
              <w:tc>
                <w:tcPr>
                  <w:tcW w:w="708" w:type="dxa"/>
                  <w:vAlign w:val="center"/>
                </w:tcPr>
                <w:p w14:paraId="520AC68C">
                  <w:pPr>
                    <w:jc w:val="center"/>
                    <w:rPr>
                      <w:rFonts w:eastAsia="等线"/>
                      <w:szCs w:val="21"/>
                    </w:rPr>
                  </w:pPr>
                  <w:r>
                    <w:rPr>
                      <w:rFonts w:hint="eastAsia" w:eastAsia="等线"/>
                      <w:szCs w:val="21"/>
                    </w:rPr>
                    <w:t>0.0611</w:t>
                  </w:r>
                </w:p>
              </w:tc>
              <w:tc>
                <w:tcPr>
                  <w:tcW w:w="709" w:type="dxa"/>
                  <w:vAlign w:val="center"/>
                </w:tcPr>
                <w:p w14:paraId="520AC68D">
                  <w:pPr>
                    <w:jc w:val="center"/>
                    <w:rPr>
                      <w:rFonts w:eastAsia="等线"/>
                      <w:szCs w:val="21"/>
                    </w:rPr>
                  </w:pPr>
                  <w:r>
                    <w:rPr>
                      <w:rFonts w:hint="eastAsia" w:eastAsia="等线"/>
                      <w:szCs w:val="21"/>
                    </w:rPr>
                    <w:t>0.0717</w:t>
                  </w:r>
                </w:p>
              </w:tc>
              <w:tc>
                <w:tcPr>
                  <w:tcW w:w="709" w:type="dxa"/>
                  <w:vAlign w:val="center"/>
                </w:tcPr>
                <w:p w14:paraId="520AC68E">
                  <w:pPr>
                    <w:jc w:val="center"/>
                    <w:rPr>
                      <w:rFonts w:eastAsia="等线"/>
                      <w:szCs w:val="21"/>
                    </w:rPr>
                  </w:pPr>
                  <w:r>
                    <w:rPr>
                      <w:rFonts w:eastAsia="等线"/>
                      <w:szCs w:val="21"/>
                    </w:rPr>
                    <w:t>0.0005</w:t>
                  </w:r>
                </w:p>
              </w:tc>
              <w:tc>
                <w:tcPr>
                  <w:tcW w:w="709" w:type="dxa"/>
                  <w:vAlign w:val="center"/>
                </w:tcPr>
                <w:p w14:paraId="520AC68F">
                  <w:pPr>
                    <w:jc w:val="center"/>
                    <w:rPr>
                      <w:rFonts w:eastAsia="等线"/>
                      <w:szCs w:val="21"/>
                    </w:rPr>
                  </w:pPr>
                  <w:r>
                    <w:rPr>
                      <w:rFonts w:eastAsia="等线"/>
                      <w:szCs w:val="21"/>
                    </w:rPr>
                    <w:t>0.1333</w:t>
                  </w:r>
                </w:p>
              </w:tc>
              <w:tc>
                <w:tcPr>
                  <w:tcW w:w="564" w:type="dxa"/>
                  <w:vAlign w:val="center"/>
                </w:tcPr>
                <w:p w14:paraId="520AC690">
                  <w:pPr>
                    <w:jc w:val="center"/>
                    <w:rPr>
                      <w:rFonts w:eastAsia="等线"/>
                      <w:szCs w:val="21"/>
                    </w:rPr>
                  </w:pPr>
                  <w:r>
                    <w:rPr>
                      <w:rFonts w:hint="eastAsia" w:eastAsia="等线"/>
                      <w:szCs w:val="21"/>
                    </w:rPr>
                    <w:t>0.107</w:t>
                  </w:r>
                </w:p>
              </w:tc>
              <w:tc>
                <w:tcPr>
                  <w:tcW w:w="711" w:type="dxa"/>
                  <w:vAlign w:val="center"/>
                </w:tcPr>
                <w:p w14:paraId="520AC691">
                  <w:pPr>
                    <w:jc w:val="center"/>
                    <w:rPr>
                      <w:rFonts w:eastAsia="等线"/>
                      <w:szCs w:val="21"/>
                    </w:rPr>
                  </w:pPr>
                  <w:r>
                    <w:rPr>
                      <w:rFonts w:hint="eastAsia" w:eastAsia="等线"/>
                      <w:szCs w:val="21"/>
                    </w:rPr>
                    <w:t>0.1506</w:t>
                  </w:r>
                </w:p>
              </w:tc>
              <w:tc>
                <w:tcPr>
                  <w:tcW w:w="709" w:type="dxa"/>
                  <w:vAlign w:val="center"/>
                </w:tcPr>
                <w:p w14:paraId="520AC692">
                  <w:pPr>
                    <w:jc w:val="center"/>
                    <w:rPr>
                      <w:rFonts w:eastAsia="等线"/>
                      <w:szCs w:val="21"/>
                    </w:rPr>
                  </w:pPr>
                  <w:r>
                    <w:rPr>
                      <w:rFonts w:eastAsia="等线"/>
                      <w:szCs w:val="21"/>
                    </w:rPr>
                    <w:t>0.0014</w:t>
                  </w:r>
                </w:p>
              </w:tc>
              <w:tc>
                <w:tcPr>
                  <w:tcW w:w="709" w:type="dxa"/>
                  <w:vAlign w:val="center"/>
                </w:tcPr>
                <w:p w14:paraId="520AC693">
                  <w:pPr>
                    <w:jc w:val="center"/>
                    <w:rPr>
                      <w:rFonts w:eastAsia="等线"/>
                      <w:szCs w:val="21"/>
                    </w:rPr>
                  </w:pPr>
                  <w:r>
                    <w:rPr>
                      <w:rFonts w:eastAsia="等线"/>
                      <w:szCs w:val="21"/>
                    </w:rPr>
                    <w:t>0.259</w:t>
                  </w:r>
                </w:p>
              </w:tc>
              <w:tc>
                <w:tcPr>
                  <w:tcW w:w="850" w:type="dxa"/>
                  <w:vAlign w:val="center"/>
                </w:tcPr>
                <w:p w14:paraId="520AC694">
                  <w:pPr>
                    <w:jc w:val="center"/>
                    <w:rPr>
                      <w:rFonts w:eastAsia="等线"/>
                      <w:szCs w:val="21"/>
                    </w:rPr>
                  </w:pPr>
                  <w:r>
                    <w:rPr>
                      <w:rFonts w:eastAsia="等线"/>
                      <w:szCs w:val="21"/>
                    </w:rPr>
                    <w:t>40300</w:t>
                  </w:r>
                </w:p>
              </w:tc>
              <w:tc>
                <w:tcPr>
                  <w:tcW w:w="873" w:type="dxa"/>
                  <w:vAlign w:val="center"/>
                </w:tcPr>
                <w:p w14:paraId="520AC695">
                  <w:pPr>
                    <w:jc w:val="center"/>
                    <w:rPr>
                      <w:rFonts w:eastAsia="等线"/>
                      <w:szCs w:val="21"/>
                    </w:rPr>
                  </w:pPr>
                  <w:r>
                    <w:rPr>
                      <w:rFonts w:hint="eastAsia" w:eastAsia="等线"/>
                      <w:szCs w:val="21"/>
                    </w:rPr>
                    <w:t>6.4</w:t>
                  </w:r>
                </w:p>
              </w:tc>
            </w:tr>
            <w:tr w14:paraId="520AC6A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4" w:type="dxa"/>
                  <w:vAlign w:val="center"/>
                </w:tcPr>
                <w:p w14:paraId="520AC697">
                  <w:pPr>
                    <w:adjustRightInd w:val="0"/>
                    <w:snapToGrid w:val="0"/>
                    <w:jc w:val="center"/>
                    <w:textAlignment w:val="baseline"/>
                    <w:rPr>
                      <w:kern w:val="0"/>
                      <w:szCs w:val="21"/>
                      <w:lang w:val="pt-BR"/>
                    </w:rPr>
                  </w:pPr>
                  <w:r>
                    <w:rPr>
                      <w:rFonts w:hint="eastAsia"/>
                      <w:kern w:val="0"/>
                      <w:szCs w:val="21"/>
                      <w:lang w:val="pt-BR"/>
                    </w:rPr>
                    <w:t>1206</w:t>
                  </w:r>
                  <w:r>
                    <w:rPr>
                      <w:rFonts w:hint="eastAsia"/>
                      <w:sz w:val="24"/>
                    </w:rPr>
                    <w:t>#</w:t>
                  </w:r>
                  <w:r>
                    <w:rPr>
                      <w:rFonts w:hint="eastAsia"/>
                      <w:kern w:val="0"/>
                      <w:szCs w:val="21"/>
                      <w:lang w:val="pt-BR"/>
                    </w:rPr>
                    <w:t>厂房DA026</w:t>
                  </w:r>
                </w:p>
              </w:tc>
              <w:tc>
                <w:tcPr>
                  <w:tcW w:w="430" w:type="dxa"/>
                  <w:vMerge w:val="continue"/>
                  <w:vAlign w:val="center"/>
                </w:tcPr>
                <w:p w14:paraId="520AC698">
                  <w:pPr>
                    <w:adjustRightInd w:val="0"/>
                    <w:snapToGrid w:val="0"/>
                    <w:jc w:val="center"/>
                    <w:textAlignment w:val="baseline"/>
                    <w:rPr>
                      <w:bCs/>
                      <w:szCs w:val="21"/>
                    </w:rPr>
                  </w:pPr>
                </w:p>
              </w:tc>
              <w:tc>
                <w:tcPr>
                  <w:tcW w:w="708" w:type="dxa"/>
                  <w:vAlign w:val="center"/>
                </w:tcPr>
                <w:p w14:paraId="520AC699">
                  <w:pPr>
                    <w:jc w:val="center"/>
                    <w:rPr>
                      <w:rFonts w:eastAsia="等线"/>
                      <w:szCs w:val="21"/>
                    </w:rPr>
                  </w:pPr>
                  <w:r>
                    <w:rPr>
                      <w:rFonts w:hint="eastAsia" w:eastAsia="等线"/>
                      <w:szCs w:val="21"/>
                    </w:rPr>
                    <w:t>0.0503</w:t>
                  </w:r>
                </w:p>
              </w:tc>
              <w:tc>
                <w:tcPr>
                  <w:tcW w:w="709" w:type="dxa"/>
                  <w:vAlign w:val="center"/>
                </w:tcPr>
                <w:p w14:paraId="520AC69A">
                  <w:pPr>
                    <w:jc w:val="center"/>
                    <w:rPr>
                      <w:rFonts w:eastAsia="等线"/>
                      <w:szCs w:val="21"/>
                    </w:rPr>
                  </w:pPr>
                  <w:r>
                    <w:rPr>
                      <w:rFonts w:hint="eastAsia" w:eastAsia="等线"/>
                      <w:szCs w:val="21"/>
                    </w:rPr>
                    <w:t>0.0146</w:t>
                  </w:r>
                </w:p>
              </w:tc>
              <w:tc>
                <w:tcPr>
                  <w:tcW w:w="709" w:type="dxa"/>
                  <w:vAlign w:val="center"/>
                </w:tcPr>
                <w:p w14:paraId="520AC69B">
                  <w:pPr>
                    <w:jc w:val="center"/>
                    <w:rPr>
                      <w:rFonts w:eastAsia="等线"/>
                      <w:szCs w:val="21"/>
                    </w:rPr>
                  </w:pPr>
                  <w:r>
                    <w:rPr>
                      <w:rFonts w:eastAsia="等线"/>
                      <w:szCs w:val="21"/>
                    </w:rPr>
                    <w:t>0.00013</w:t>
                  </w:r>
                </w:p>
              </w:tc>
              <w:tc>
                <w:tcPr>
                  <w:tcW w:w="709" w:type="dxa"/>
                  <w:vAlign w:val="center"/>
                </w:tcPr>
                <w:p w14:paraId="520AC69C">
                  <w:pPr>
                    <w:jc w:val="center"/>
                    <w:rPr>
                      <w:rFonts w:eastAsia="等线"/>
                      <w:szCs w:val="21"/>
                    </w:rPr>
                  </w:pPr>
                  <w:r>
                    <w:rPr>
                      <w:rFonts w:eastAsia="等线"/>
                      <w:szCs w:val="21"/>
                    </w:rPr>
                    <w:t>0.06503</w:t>
                  </w:r>
                </w:p>
              </w:tc>
              <w:tc>
                <w:tcPr>
                  <w:tcW w:w="564" w:type="dxa"/>
                  <w:vAlign w:val="center"/>
                </w:tcPr>
                <w:p w14:paraId="520AC69D">
                  <w:pPr>
                    <w:jc w:val="center"/>
                    <w:rPr>
                      <w:rFonts w:eastAsia="等线"/>
                      <w:szCs w:val="21"/>
                    </w:rPr>
                  </w:pPr>
                  <w:r>
                    <w:rPr>
                      <w:rFonts w:hint="eastAsia" w:eastAsia="等线"/>
                      <w:szCs w:val="21"/>
                    </w:rPr>
                    <w:t>0.088</w:t>
                  </w:r>
                </w:p>
              </w:tc>
              <w:tc>
                <w:tcPr>
                  <w:tcW w:w="711" w:type="dxa"/>
                  <w:vAlign w:val="center"/>
                </w:tcPr>
                <w:p w14:paraId="520AC69E">
                  <w:pPr>
                    <w:jc w:val="center"/>
                    <w:rPr>
                      <w:rFonts w:eastAsia="等线"/>
                      <w:szCs w:val="21"/>
                    </w:rPr>
                  </w:pPr>
                  <w:r>
                    <w:rPr>
                      <w:rFonts w:hint="eastAsia" w:eastAsia="等线"/>
                      <w:szCs w:val="21"/>
                    </w:rPr>
                    <w:t>0.0367</w:t>
                  </w:r>
                </w:p>
              </w:tc>
              <w:tc>
                <w:tcPr>
                  <w:tcW w:w="709" w:type="dxa"/>
                  <w:vAlign w:val="center"/>
                </w:tcPr>
                <w:p w14:paraId="520AC69F">
                  <w:pPr>
                    <w:jc w:val="center"/>
                    <w:rPr>
                      <w:rFonts w:eastAsia="等线"/>
                      <w:szCs w:val="21"/>
                    </w:rPr>
                  </w:pPr>
                  <w:r>
                    <w:rPr>
                      <w:rFonts w:eastAsia="等线"/>
                      <w:szCs w:val="21"/>
                    </w:rPr>
                    <w:t>0.0004</w:t>
                  </w:r>
                </w:p>
              </w:tc>
              <w:tc>
                <w:tcPr>
                  <w:tcW w:w="709" w:type="dxa"/>
                  <w:vAlign w:val="center"/>
                </w:tcPr>
                <w:p w14:paraId="520AC6A0">
                  <w:pPr>
                    <w:jc w:val="center"/>
                    <w:rPr>
                      <w:rFonts w:eastAsia="等线"/>
                      <w:szCs w:val="21"/>
                    </w:rPr>
                  </w:pPr>
                  <w:r>
                    <w:rPr>
                      <w:rFonts w:eastAsia="等线"/>
                      <w:szCs w:val="21"/>
                    </w:rPr>
                    <w:t>0.1251</w:t>
                  </w:r>
                </w:p>
              </w:tc>
              <w:tc>
                <w:tcPr>
                  <w:tcW w:w="850" w:type="dxa"/>
                  <w:vAlign w:val="center"/>
                </w:tcPr>
                <w:p w14:paraId="520AC6A1">
                  <w:pPr>
                    <w:jc w:val="center"/>
                    <w:rPr>
                      <w:rFonts w:eastAsia="等线"/>
                      <w:szCs w:val="21"/>
                    </w:rPr>
                  </w:pPr>
                  <w:r>
                    <w:rPr>
                      <w:rFonts w:hint="eastAsia" w:eastAsia="等线"/>
                      <w:szCs w:val="21"/>
                    </w:rPr>
                    <w:t>31500</w:t>
                  </w:r>
                </w:p>
              </w:tc>
              <w:tc>
                <w:tcPr>
                  <w:tcW w:w="873" w:type="dxa"/>
                  <w:vAlign w:val="center"/>
                </w:tcPr>
                <w:p w14:paraId="520AC6A2">
                  <w:pPr>
                    <w:jc w:val="center"/>
                    <w:rPr>
                      <w:rFonts w:eastAsia="等线"/>
                      <w:szCs w:val="21"/>
                    </w:rPr>
                  </w:pPr>
                  <w:r>
                    <w:rPr>
                      <w:rFonts w:hint="eastAsia" w:eastAsia="等线"/>
                      <w:szCs w:val="21"/>
                    </w:rPr>
                    <w:t>4</w:t>
                  </w:r>
                </w:p>
              </w:tc>
            </w:tr>
          </w:tbl>
          <w:p w14:paraId="520AC6A4">
            <w:pPr>
              <w:adjustRightInd w:val="0"/>
              <w:snapToGrid w:val="0"/>
              <w:spacing w:line="460" w:lineRule="exact"/>
              <w:ind w:firstLine="480" w:firstLineChars="200"/>
              <w:rPr>
                <w:sz w:val="24"/>
              </w:rPr>
            </w:pPr>
            <w:r>
              <w:rPr>
                <w:rFonts w:hint="eastAsia"/>
                <w:sz w:val="24"/>
              </w:rPr>
              <w:t>根据上表可知，本项目建成后，排气筒DA025、DA026和DA0</w:t>
            </w:r>
            <w:r>
              <w:rPr>
                <w:sz w:val="24"/>
              </w:rPr>
              <w:t>3</w:t>
            </w:r>
            <w:r>
              <w:rPr>
                <w:rFonts w:hint="eastAsia"/>
                <w:sz w:val="24"/>
              </w:rPr>
              <w:t>0非甲烷总烃排放均能够满足《大气污染物综合排放标准》（GB16297-1996）表2二级非甲烷总烃有组织12</w:t>
            </w:r>
            <w:r>
              <w:rPr>
                <w:sz w:val="24"/>
              </w:rPr>
              <w:t>0mg/m</w:t>
            </w:r>
            <w:r>
              <w:rPr>
                <w:sz w:val="24"/>
                <w:vertAlign w:val="superscript"/>
              </w:rPr>
              <w:t>3</w:t>
            </w:r>
            <w:r>
              <w:rPr>
                <w:rFonts w:hint="eastAsia"/>
                <w:sz w:val="24"/>
              </w:rPr>
              <w:t>、10kg/h（15m高排气筒）的限值要求，同时满足《</w:t>
            </w:r>
            <w:r>
              <w:rPr>
                <w:sz w:val="24"/>
              </w:rPr>
              <w:t>关于全省开展工业企业挥发性有机物专项治理工作中排放建议值的通知》（豫环攻坚办（2017）162号）附件</w:t>
            </w:r>
            <w:r>
              <w:rPr>
                <w:rFonts w:hint="eastAsia"/>
                <w:sz w:val="24"/>
              </w:rPr>
              <w:t>1其他行业非甲烷总烃80mg/m</w:t>
            </w:r>
            <w:r>
              <w:rPr>
                <w:rFonts w:hint="eastAsia"/>
                <w:sz w:val="24"/>
                <w:vertAlign w:val="superscript"/>
              </w:rPr>
              <w:t>3</w:t>
            </w:r>
            <w:r>
              <w:rPr>
                <w:rFonts w:hint="eastAsia"/>
                <w:bCs/>
                <w:sz w:val="24"/>
              </w:rPr>
              <w:t>、处理效率70%</w:t>
            </w:r>
            <w:r>
              <w:rPr>
                <w:rFonts w:hint="eastAsia"/>
                <w:sz w:val="24"/>
              </w:rPr>
              <w:t>的限值要求，</w:t>
            </w:r>
            <w:r>
              <w:rPr>
                <w:bCs/>
                <w:sz w:val="24"/>
              </w:rPr>
              <w:t>《河南省重污染天气通用行业应急减排措施制定技术指南》（2024年修订版）涉VOCs企业</w:t>
            </w:r>
            <w:r>
              <w:rPr>
                <w:rFonts w:hint="eastAsia"/>
                <w:sz w:val="24"/>
              </w:rPr>
              <w:t>非甲烷总烃有组织3</w:t>
            </w:r>
            <w:r>
              <w:rPr>
                <w:sz w:val="24"/>
              </w:rPr>
              <w:t>0mg/m</w:t>
            </w:r>
            <w:r>
              <w:rPr>
                <w:sz w:val="24"/>
                <w:vertAlign w:val="superscript"/>
              </w:rPr>
              <w:t>3</w:t>
            </w:r>
            <w:r>
              <w:rPr>
                <w:rFonts w:hint="eastAsia"/>
                <w:sz w:val="24"/>
              </w:rPr>
              <w:t>的限值要求，因此本项目1205厂房油类试验废气依托TA030进行处理、101厂房油类试验废气依托TA025进行处理、1206厂房冷却系统试验废气依托TA026进行处理是可行的。</w:t>
            </w:r>
          </w:p>
          <w:p w14:paraId="35B88EF9">
            <w:pPr>
              <w:adjustRightInd w:val="0"/>
              <w:snapToGrid w:val="0"/>
              <w:spacing w:line="460" w:lineRule="exact"/>
              <w:ind w:firstLine="482" w:firstLineChars="200"/>
              <w:rPr>
                <w:b/>
                <w:bCs/>
                <w:sz w:val="24"/>
              </w:rPr>
            </w:pPr>
            <w:r>
              <w:rPr>
                <w:rFonts w:hint="eastAsia"/>
                <w:b/>
                <w:bCs/>
                <w:sz w:val="24"/>
              </w:rPr>
              <w:t>②抛丸废气</w:t>
            </w:r>
          </w:p>
          <w:p w14:paraId="2950059F">
            <w:pPr>
              <w:adjustRightInd w:val="0"/>
              <w:snapToGrid w:val="0"/>
              <w:spacing w:line="460" w:lineRule="exact"/>
              <w:ind w:firstLine="480" w:firstLineChars="200"/>
              <w:rPr>
                <w:sz w:val="24"/>
              </w:rPr>
            </w:pPr>
            <w:r>
              <w:rPr>
                <w:rFonts w:hint="eastAsia"/>
                <w:sz w:val="24"/>
              </w:rPr>
              <w:t>本项目新增抛丸设备分担原进入吹砂设备处理的一部分工件，因吹砂设备属于在建工程，故根据吹砂设备所在环评进行废气排放分析。根据吹砂设备所在环评，105#厂需要喷砂的金属工件年用量为180t/a。其中1/2工件进入本项目新增的抛丸机中进行处理，产生的废气与吹砂废气分别经密闭管道收集后一起进入“袋式除尘器+水喷淋TA019”中进行处理，处理后经15m高排气筒DA019排放，因此工作时间由1000h/a减少至500h/a。根据《排放源统计调查产排污核算方法和系数手册》中（33金属制品业、34通用设备制造业、35专用设备制造业、36汽车制造业、37铁路、船舶、航空航天和其他运输设备制造业、431金属制品修理、432通用设备修理、433专用设备修理、434铁路、船舶、航空航天等运输设备修理（不包括电镀工艺）行业系数手册），0</w:t>
            </w:r>
            <w:r>
              <w:rPr>
                <w:sz w:val="24"/>
              </w:rPr>
              <w:t>6</w:t>
            </w:r>
            <w:r>
              <w:rPr>
                <w:rFonts w:hint="eastAsia"/>
                <w:sz w:val="24"/>
              </w:rPr>
              <w:t>预处理核算环节，抛丸、喷砂、打磨、滚筒时，废气污染物颗粒物排放系数为</w:t>
            </w:r>
            <w:r>
              <w:rPr>
                <w:sz w:val="24"/>
              </w:rPr>
              <w:t>2.19</w:t>
            </w:r>
            <w:r>
              <w:rPr>
                <w:rFonts w:hint="eastAsia"/>
                <w:sz w:val="24"/>
              </w:rPr>
              <w:t>kg/t-原料（钢材、铝材、铝合金、铁材、其它金属材料），密闭管道收集效率为1</w:t>
            </w:r>
            <w:r>
              <w:rPr>
                <w:sz w:val="24"/>
              </w:rPr>
              <w:t>00%</w:t>
            </w:r>
            <w:r>
              <w:rPr>
                <w:rFonts w:hint="eastAsia"/>
                <w:sz w:val="24"/>
              </w:rPr>
              <w:t>，“袋式除尘器+水喷淋”处理效率按9</w:t>
            </w:r>
            <w:r>
              <w:rPr>
                <w:sz w:val="24"/>
              </w:rPr>
              <w:t>9%</w:t>
            </w:r>
            <w:r>
              <w:rPr>
                <w:rFonts w:hint="eastAsia"/>
                <w:sz w:val="24"/>
              </w:rPr>
              <w:t>计。则本项目抛丸废气产品情况见下表。</w:t>
            </w:r>
          </w:p>
          <w:p w14:paraId="774EDE12">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58</w:t>
            </w:r>
            <w:r>
              <w:rPr>
                <w:rFonts w:eastAsia="黑体"/>
                <w:sz w:val="24"/>
              </w:rPr>
              <w:t xml:space="preserve">          </w:t>
            </w:r>
            <w:r>
              <w:rPr>
                <w:rFonts w:hint="eastAsia" w:eastAsia="黑体"/>
                <w:sz w:val="24"/>
              </w:rPr>
              <w:t xml:space="preserve"> </w:t>
            </w:r>
            <w:r>
              <w:rPr>
                <w:rFonts w:eastAsia="黑体"/>
                <w:sz w:val="24"/>
              </w:rPr>
              <w:t>本项目</w:t>
            </w:r>
            <w:r>
              <w:rPr>
                <w:rFonts w:hint="eastAsia" w:eastAsia="黑体"/>
                <w:sz w:val="24"/>
              </w:rPr>
              <w:t>抛丸</w:t>
            </w:r>
            <w:r>
              <w:rPr>
                <w:rFonts w:eastAsia="黑体"/>
                <w:sz w:val="24"/>
              </w:rPr>
              <w:t>废气污染物产</w:t>
            </w:r>
            <w:r>
              <w:rPr>
                <w:rFonts w:hint="eastAsia" w:eastAsia="黑体"/>
                <w:sz w:val="24"/>
              </w:rPr>
              <w:t>排</w:t>
            </w:r>
            <w:r>
              <w:rPr>
                <w:rFonts w:eastAsia="黑体"/>
                <w:sz w:val="24"/>
              </w:rPr>
              <w:t>情况一览表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745"/>
              <w:gridCol w:w="993"/>
              <w:gridCol w:w="709"/>
              <w:gridCol w:w="992"/>
              <w:gridCol w:w="992"/>
              <w:gridCol w:w="851"/>
              <w:gridCol w:w="849"/>
              <w:gridCol w:w="992"/>
              <w:gridCol w:w="1012"/>
            </w:tblGrid>
            <w:tr w14:paraId="7400362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457" w:type="pct"/>
                  <w:vAlign w:val="center"/>
                </w:tcPr>
                <w:p w14:paraId="49C14B49">
                  <w:pPr>
                    <w:widowControl/>
                    <w:jc w:val="center"/>
                    <w:rPr>
                      <w:b/>
                      <w:szCs w:val="21"/>
                    </w:rPr>
                  </w:pPr>
                  <w:r>
                    <w:rPr>
                      <w:b/>
                      <w:szCs w:val="21"/>
                    </w:rPr>
                    <w:t>污染</w:t>
                  </w:r>
                </w:p>
                <w:p w14:paraId="27AA44BD">
                  <w:pPr>
                    <w:widowControl/>
                    <w:jc w:val="center"/>
                    <w:rPr>
                      <w:b/>
                      <w:kern w:val="0"/>
                      <w:szCs w:val="21"/>
                    </w:rPr>
                  </w:pPr>
                  <w:r>
                    <w:rPr>
                      <w:b/>
                      <w:szCs w:val="21"/>
                    </w:rPr>
                    <w:t>因子</w:t>
                  </w:r>
                </w:p>
              </w:tc>
              <w:tc>
                <w:tcPr>
                  <w:tcW w:w="610" w:type="pct"/>
                  <w:vAlign w:val="center"/>
                </w:tcPr>
                <w:p w14:paraId="266A0F40">
                  <w:pPr>
                    <w:widowControl/>
                    <w:jc w:val="center"/>
                    <w:rPr>
                      <w:b/>
                      <w:szCs w:val="21"/>
                    </w:rPr>
                  </w:pPr>
                  <w:r>
                    <w:rPr>
                      <w:b/>
                      <w:szCs w:val="21"/>
                    </w:rPr>
                    <w:t>产生量(t/a)</w:t>
                  </w:r>
                </w:p>
              </w:tc>
              <w:tc>
                <w:tcPr>
                  <w:tcW w:w="436" w:type="pct"/>
                  <w:vAlign w:val="center"/>
                </w:tcPr>
                <w:p w14:paraId="4DD7C12C">
                  <w:pPr>
                    <w:widowControl/>
                    <w:jc w:val="center"/>
                    <w:rPr>
                      <w:b/>
                      <w:szCs w:val="21"/>
                    </w:rPr>
                  </w:pPr>
                  <w:r>
                    <w:rPr>
                      <w:b/>
                      <w:szCs w:val="21"/>
                    </w:rPr>
                    <w:t>收集量(t/a)</w:t>
                  </w:r>
                </w:p>
              </w:tc>
              <w:tc>
                <w:tcPr>
                  <w:tcW w:w="610" w:type="pct"/>
                  <w:vAlign w:val="center"/>
                </w:tcPr>
                <w:p w14:paraId="691A944A">
                  <w:pPr>
                    <w:widowControl/>
                    <w:jc w:val="center"/>
                    <w:rPr>
                      <w:b/>
                      <w:szCs w:val="21"/>
                    </w:rPr>
                  </w:pPr>
                  <w:r>
                    <w:rPr>
                      <w:b/>
                      <w:szCs w:val="21"/>
                    </w:rPr>
                    <w:t>产生速率(kg/h)</w:t>
                  </w:r>
                </w:p>
              </w:tc>
              <w:tc>
                <w:tcPr>
                  <w:tcW w:w="610" w:type="pct"/>
                  <w:vAlign w:val="center"/>
                </w:tcPr>
                <w:p w14:paraId="3BB7DCE2">
                  <w:pPr>
                    <w:widowControl/>
                    <w:jc w:val="center"/>
                    <w:rPr>
                      <w:b/>
                      <w:szCs w:val="21"/>
                    </w:rPr>
                  </w:pPr>
                  <w:r>
                    <w:rPr>
                      <w:b/>
                      <w:szCs w:val="21"/>
                    </w:rPr>
                    <w:t>产生浓度(mg/m</w:t>
                  </w:r>
                  <w:r>
                    <w:rPr>
                      <w:b/>
                      <w:szCs w:val="21"/>
                      <w:vertAlign w:val="superscript"/>
                    </w:rPr>
                    <w:t>3</w:t>
                  </w:r>
                  <w:r>
                    <w:rPr>
                      <w:b/>
                      <w:szCs w:val="21"/>
                    </w:rPr>
                    <w:t>)</w:t>
                  </w:r>
                </w:p>
              </w:tc>
              <w:tc>
                <w:tcPr>
                  <w:tcW w:w="523" w:type="pct"/>
                  <w:vAlign w:val="center"/>
                </w:tcPr>
                <w:p w14:paraId="17A1A990">
                  <w:pPr>
                    <w:widowControl/>
                    <w:jc w:val="center"/>
                    <w:rPr>
                      <w:b/>
                      <w:szCs w:val="21"/>
                    </w:rPr>
                  </w:pPr>
                  <w:r>
                    <w:rPr>
                      <w:rFonts w:hint="eastAsia"/>
                      <w:b/>
                      <w:szCs w:val="21"/>
                    </w:rPr>
                    <w:t>风</w:t>
                  </w:r>
                  <w:r>
                    <w:rPr>
                      <w:b/>
                      <w:szCs w:val="21"/>
                    </w:rPr>
                    <w:t>量(m</w:t>
                  </w:r>
                  <w:r>
                    <w:rPr>
                      <w:b/>
                      <w:szCs w:val="21"/>
                      <w:vertAlign w:val="superscript"/>
                    </w:rPr>
                    <w:t>3</w:t>
                  </w:r>
                  <w:r>
                    <w:rPr>
                      <w:b/>
                      <w:szCs w:val="21"/>
                    </w:rPr>
                    <w:t>/h)</w:t>
                  </w:r>
                </w:p>
              </w:tc>
              <w:tc>
                <w:tcPr>
                  <w:tcW w:w="522" w:type="pct"/>
                  <w:vAlign w:val="center"/>
                </w:tcPr>
                <w:p w14:paraId="2FF2BC86">
                  <w:pPr>
                    <w:widowControl/>
                    <w:jc w:val="center"/>
                    <w:rPr>
                      <w:b/>
                      <w:szCs w:val="21"/>
                    </w:rPr>
                  </w:pPr>
                  <w:r>
                    <w:rPr>
                      <w:rFonts w:hint="eastAsia"/>
                      <w:b/>
                      <w:szCs w:val="21"/>
                    </w:rPr>
                    <w:t>排放</w:t>
                  </w:r>
                  <w:r>
                    <w:rPr>
                      <w:b/>
                      <w:szCs w:val="21"/>
                    </w:rPr>
                    <w:t>量(t/a)</w:t>
                  </w:r>
                </w:p>
              </w:tc>
              <w:tc>
                <w:tcPr>
                  <w:tcW w:w="610" w:type="pct"/>
                  <w:vAlign w:val="center"/>
                </w:tcPr>
                <w:p w14:paraId="0E3737E6">
                  <w:pPr>
                    <w:widowControl/>
                    <w:jc w:val="center"/>
                    <w:rPr>
                      <w:b/>
                      <w:szCs w:val="21"/>
                    </w:rPr>
                  </w:pPr>
                  <w:r>
                    <w:rPr>
                      <w:rFonts w:hint="eastAsia"/>
                      <w:b/>
                      <w:szCs w:val="21"/>
                    </w:rPr>
                    <w:t>排放</w:t>
                  </w:r>
                  <w:r>
                    <w:rPr>
                      <w:b/>
                      <w:szCs w:val="21"/>
                    </w:rPr>
                    <w:t>速率(kg/h)</w:t>
                  </w:r>
                </w:p>
              </w:tc>
              <w:tc>
                <w:tcPr>
                  <w:tcW w:w="623" w:type="pct"/>
                  <w:vAlign w:val="center"/>
                </w:tcPr>
                <w:p w14:paraId="77683683">
                  <w:pPr>
                    <w:widowControl/>
                    <w:jc w:val="center"/>
                    <w:rPr>
                      <w:b/>
                      <w:szCs w:val="21"/>
                    </w:rPr>
                  </w:pPr>
                  <w:r>
                    <w:rPr>
                      <w:rFonts w:hint="eastAsia"/>
                      <w:b/>
                      <w:szCs w:val="21"/>
                    </w:rPr>
                    <w:t>排放</w:t>
                  </w:r>
                  <w:r>
                    <w:rPr>
                      <w:b/>
                      <w:szCs w:val="21"/>
                    </w:rPr>
                    <w:t>浓度(mg/m</w:t>
                  </w:r>
                  <w:r>
                    <w:rPr>
                      <w:b/>
                      <w:szCs w:val="21"/>
                      <w:vertAlign w:val="superscript"/>
                    </w:rPr>
                    <w:t>3</w:t>
                  </w:r>
                  <w:r>
                    <w:rPr>
                      <w:b/>
                      <w:szCs w:val="21"/>
                    </w:rPr>
                    <w:t>)</w:t>
                  </w:r>
                </w:p>
              </w:tc>
            </w:tr>
            <w:tr w14:paraId="2EA6889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457" w:type="pct"/>
                  <w:vAlign w:val="center"/>
                </w:tcPr>
                <w:p w14:paraId="47295140">
                  <w:pPr>
                    <w:ind w:firstLine="35" w:firstLineChars="17"/>
                    <w:jc w:val="center"/>
                    <w:rPr>
                      <w:szCs w:val="21"/>
                      <w:lang w:val="pt-BR"/>
                    </w:rPr>
                  </w:pPr>
                  <w:r>
                    <w:rPr>
                      <w:rFonts w:hint="eastAsia"/>
                      <w:szCs w:val="21"/>
                      <w:lang w:val="pt-BR"/>
                    </w:rPr>
                    <w:t>颗粒物</w:t>
                  </w:r>
                </w:p>
              </w:tc>
              <w:tc>
                <w:tcPr>
                  <w:tcW w:w="610" w:type="pct"/>
                  <w:vAlign w:val="center"/>
                </w:tcPr>
                <w:p w14:paraId="17715C10">
                  <w:pPr>
                    <w:pStyle w:val="11"/>
                    <w:snapToGrid w:val="0"/>
                    <w:jc w:val="center"/>
                    <w:rPr>
                      <w:rFonts w:ascii="Times New Roman" w:hAnsi="Times New Roman" w:cs="Courier New"/>
                      <w:lang w:val="en-US"/>
                    </w:rPr>
                  </w:pPr>
                  <w:r>
                    <w:rPr>
                      <w:rFonts w:ascii="Times New Roman" w:hAnsi="Times New Roman" w:cs="Courier New"/>
                      <w:lang w:val="en-US"/>
                    </w:rPr>
                    <w:t>0.</w:t>
                  </w:r>
                  <w:r>
                    <w:rPr>
                      <w:rFonts w:hint="eastAsia" w:ascii="Times New Roman" w:hAnsi="Times New Roman" w:cs="Courier New"/>
                      <w:lang w:val="en-US"/>
                    </w:rPr>
                    <w:t>1971</w:t>
                  </w:r>
                </w:p>
              </w:tc>
              <w:tc>
                <w:tcPr>
                  <w:tcW w:w="436" w:type="pct"/>
                  <w:vAlign w:val="center"/>
                </w:tcPr>
                <w:p w14:paraId="72E5941F">
                  <w:pPr>
                    <w:pStyle w:val="11"/>
                    <w:snapToGrid w:val="0"/>
                    <w:jc w:val="center"/>
                    <w:rPr>
                      <w:rFonts w:ascii="Times New Roman" w:hAnsi="Times New Roman" w:cs="Courier New"/>
                      <w:lang w:val="en-US"/>
                    </w:rPr>
                  </w:pPr>
                  <w:r>
                    <w:rPr>
                      <w:rFonts w:ascii="Times New Roman" w:hAnsi="Times New Roman" w:cs="Courier New"/>
                      <w:lang w:val="en-US"/>
                    </w:rPr>
                    <w:t>0.</w:t>
                  </w:r>
                  <w:r>
                    <w:rPr>
                      <w:rFonts w:hint="eastAsia" w:ascii="Times New Roman" w:hAnsi="Times New Roman" w:cs="Courier New"/>
                      <w:lang w:val="en-US"/>
                    </w:rPr>
                    <w:t>1971</w:t>
                  </w:r>
                </w:p>
              </w:tc>
              <w:tc>
                <w:tcPr>
                  <w:tcW w:w="610" w:type="pct"/>
                  <w:vAlign w:val="center"/>
                </w:tcPr>
                <w:p w14:paraId="6C705FF2">
                  <w:pPr>
                    <w:pStyle w:val="11"/>
                    <w:snapToGrid w:val="0"/>
                    <w:jc w:val="center"/>
                    <w:rPr>
                      <w:rFonts w:ascii="Times New Roman" w:hAnsi="Times New Roman" w:cs="Courier New"/>
                      <w:lang w:val="en-US"/>
                    </w:rPr>
                  </w:pPr>
                  <w:r>
                    <w:rPr>
                      <w:rFonts w:ascii="Times New Roman" w:hAnsi="Times New Roman" w:cs="Courier New"/>
                      <w:lang w:val="en-US"/>
                    </w:rPr>
                    <w:t>0.3942</w:t>
                  </w:r>
                </w:p>
              </w:tc>
              <w:tc>
                <w:tcPr>
                  <w:tcW w:w="610" w:type="pct"/>
                  <w:vAlign w:val="center"/>
                </w:tcPr>
                <w:p w14:paraId="2E1DBC54">
                  <w:pPr>
                    <w:pStyle w:val="11"/>
                    <w:snapToGrid w:val="0"/>
                    <w:jc w:val="center"/>
                    <w:rPr>
                      <w:rFonts w:ascii="Times New Roman" w:hAnsi="Times New Roman" w:cs="Courier New"/>
                      <w:lang w:val="en-US"/>
                    </w:rPr>
                  </w:pPr>
                  <w:r>
                    <w:rPr>
                      <w:rFonts w:ascii="Times New Roman" w:hAnsi="Times New Roman" w:cs="Courier New"/>
                      <w:lang w:val="en-US"/>
                    </w:rPr>
                    <w:t>262.8</w:t>
                  </w:r>
                </w:p>
              </w:tc>
              <w:tc>
                <w:tcPr>
                  <w:tcW w:w="523" w:type="pct"/>
                  <w:vAlign w:val="center"/>
                </w:tcPr>
                <w:p w14:paraId="45CEAE45">
                  <w:pPr>
                    <w:pStyle w:val="11"/>
                    <w:snapToGrid w:val="0"/>
                    <w:jc w:val="center"/>
                    <w:rPr>
                      <w:rFonts w:ascii="Times New Roman" w:hAnsi="Times New Roman" w:cs="Courier New"/>
                      <w:lang w:val="en-US"/>
                    </w:rPr>
                  </w:pPr>
                  <w:r>
                    <w:rPr>
                      <w:rFonts w:ascii="Times New Roman" w:hAnsi="Times New Roman" w:cs="Courier New"/>
                      <w:lang w:val="en-US"/>
                    </w:rPr>
                    <w:t>1500</w:t>
                  </w:r>
                </w:p>
              </w:tc>
              <w:tc>
                <w:tcPr>
                  <w:tcW w:w="522" w:type="pct"/>
                  <w:vAlign w:val="center"/>
                </w:tcPr>
                <w:p w14:paraId="2500590C">
                  <w:pPr>
                    <w:pStyle w:val="11"/>
                    <w:snapToGrid w:val="0"/>
                    <w:jc w:val="center"/>
                    <w:rPr>
                      <w:rFonts w:ascii="Times New Roman" w:hAnsi="Times New Roman" w:cs="Courier New"/>
                      <w:lang w:val="en-US"/>
                    </w:rPr>
                  </w:pPr>
                  <w:r>
                    <w:rPr>
                      <w:rFonts w:hint="eastAsia" w:ascii="Times New Roman" w:hAnsi="Times New Roman" w:cs="Courier New"/>
                      <w:lang w:val="en-US"/>
                    </w:rPr>
                    <w:t>0</w:t>
                  </w:r>
                  <w:r>
                    <w:rPr>
                      <w:rFonts w:ascii="Times New Roman" w:hAnsi="Times New Roman" w:cs="Courier New"/>
                      <w:lang w:val="en-US"/>
                    </w:rPr>
                    <w:t>.00</w:t>
                  </w:r>
                  <w:r>
                    <w:rPr>
                      <w:rFonts w:hint="eastAsia" w:ascii="Times New Roman" w:hAnsi="Times New Roman" w:cs="Courier New"/>
                      <w:lang w:val="en-US"/>
                    </w:rPr>
                    <w:t>2</w:t>
                  </w:r>
                </w:p>
              </w:tc>
              <w:tc>
                <w:tcPr>
                  <w:tcW w:w="610" w:type="pct"/>
                  <w:vAlign w:val="center"/>
                </w:tcPr>
                <w:p w14:paraId="1964DBE2">
                  <w:pPr>
                    <w:pStyle w:val="11"/>
                    <w:snapToGrid w:val="0"/>
                    <w:jc w:val="center"/>
                    <w:rPr>
                      <w:rFonts w:ascii="Times New Roman" w:hAnsi="Times New Roman" w:cs="Courier New"/>
                      <w:lang w:val="en-US"/>
                    </w:rPr>
                  </w:pPr>
                  <w:r>
                    <w:rPr>
                      <w:rFonts w:hint="eastAsia" w:ascii="Times New Roman" w:hAnsi="Times New Roman" w:cs="Courier New"/>
                      <w:lang w:val="en-US"/>
                    </w:rPr>
                    <w:t>0</w:t>
                  </w:r>
                  <w:r>
                    <w:rPr>
                      <w:rFonts w:ascii="Times New Roman" w:hAnsi="Times New Roman" w:cs="Courier New"/>
                      <w:lang w:val="en-US"/>
                    </w:rPr>
                    <w:t>.00</w:t>
                  </w:r>
                  <w:r>
                    <w:rPr>
                      <w:rFonts w:hint="eastAsia" w:ascii="Times New Roman" w:hAnsi="Times New Roman" w:cs="Courier New"/>
                      <w:lang w:val="en-US"/>
                    </w:rPr>
                    <w:t>4</w:t>
                  </w:r>
                </w:p>
              </w:tc>
              <w:tc>
                <w:tcPr>
                  <w:tcW w:w="623" w:type="pct"/>
                  <w:vAlign w:val="center"/>
                </w:tcPr>
                <w:p w14:paraId="4D541B42">
                  <w:pPr>
                    <w:pStyle w:val="11"/>
                    <w:snapToGrid w:val="0"/>
                    <w:jc w:val="center"/>
                    <w:rPr>
                      <w:rFonts w:ascii="Times New Roman" w:hAnsi="Times New Roman" w:cs="Courier New"/>
                      <w:lang w:val="en-US"/>
                    </w:rPr>
                  </w:pPr>
                  <w:r>
                    <w:rPr>
                      <w:rFonts w:ascii="Times New Roman" w:hAnsi="Times New Roman" w:cs="Courier New"/>
                      <w:lang w:val="en-US"/>
                    </w:rPr>
                    <w:t>2.</w:t>
                  </w:r>
                  <w:r>
                    <w:rPr>
                      <w:rFonts w:hint="eastAsia" w:ascii="Times New Roman" w:hAnsi="Times New Roman" w:cs="Courier New"/>
                      <w:lang w:val="en-US"/>
                    </w:rPr>
                    <w:t>7</w:t>
                  </w:r>
                </w:p>
              </w:tc>
            </w:tr>
          </w:tbl>
          <w:p w14:paraId="1E34F4A7">
            <w:pPr>
              <w:adjustRightInd w:val="0"/>
              <w:snapToGrid w:val="0"/>
              <w:spacing w:line="460" w:lineRule="exact"/>
              <w:ind w:firstLine="480" w:firstLineChars="200"/>
              <w:rPr>
                <w:sz w:val="24"/>
              </w:rPr>
            </w:pPr>
            <w:r>
              <w:rPr>
                <w:rFonts w:hint="eastAsia"/>
                <w:sz w:val="24"/>
              </w:rPr>
              <w:t>本项目建成后排气筒DA019排放情况见下表。</w:t>
            </w:r>
          </w:p>
          <w:p w14:paraId="7DCF3FFC">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59</w:t>
            </w:r>
            <w:r>
              <w:rPr>
                <w:rFonts w:eastAsia="黑体"/>
                <w:sz w:val="24"/>
              </w:rPr>
              <w:t xml:space="preserve">  </w:t>
            </w:r>
            <w:r>
              <w:rPr>
                <w:rFonts w:hint="eastAsia" w:eastAsia="黑体"/>
                <w:sz w:val="24"/>
              </w:rPr>
              <w:t xml:space="preserve"> </w:t>
            </w:r>
            <w:r>
              <w:rPr>
                <w:rFonts w:eastAsia="黑体"/>
                <w:sz w:val="24"/>
              </w:rPr>
              <w:t>本项目</w:t>
            </w:r>
            <w:r>
              <w:rPr>
                <w:rFonts w:hint="eastAsia" w:eastAsia="黑体"/>
                <w:sz w:val="24"/>
              </w:rPr>
              <w:t>建成后排气筒DA019</w:t>
            </w:r>
            <w:r>
              <w:rPr>
                <w:rFonts w:eastAsia="黑体"/>
                <w:sz w:val="24"/>
              </w:rPr>
              <w:t>污染物产</w:t>
            </w:r>
            <w:r>
              <w:rPr>
                <w:rFonts w:hint="eastAsia" w:eastAsia="黑体"/>
                <w:sz w:val="24"/>
              </w:rPr>
              <w:t>排</w:t>
            </w:r>
            <w:r>
              <w:rPr>
                <w:rFonts w:eastAsia="黑体"/>
                <w:sz w:val="24"/>
              </w:rPr>
              <w:t>情况一览表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35"/>
              <w:gridCol w:w="747"/>
              <w:gridCol w:w="732"/>
              <w:gridCol w:w="726"/>
              <w:gridCol w:w="870"/>
              <w:gridCol w:w="1015"/>
              <w:gridCol w:w="726"/>
              <w:gridCol w:w="724"/>
              <w:gridCol w:w="1017"/>
              <w:gridCol w:w="1043"/>
            </w:tblGrid>
            <w:tr w14:paraId="1FB60DC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29" w:type="pct"/>
                  <w:vAlign w:val="center"/>
                </w:tcPr>
                <w:p w14:paraId="12D69119">
                  <w:pPr>
                    <w:widowControl/>
                    <w:jc w:val="center"/>
                    <w:rPr>
                      <w:b/>
                      <w:kern w:val="0"/>
                      <w:szCs w:val="21"/>
                    </w:rPr>
                  </w:pPr>
                  <w:r>
                    <w:rPr>
                      <w:b/>
                      <w:szCs w:val="21"/>
                    </w:rPr>
                    <w:t>污染因子</w:t>
                  </w:r>
                </w:p>
              </w:tc>
              <w:tc>
                <w:tcPr>
                  <w:tcW w:w="459" w:type="pct"/>
                  <w:vAlign w:val="center"/>
                </w:tcPr>
                <w:p w14:paraId="4C892AF2">
                  <w:pPr>
                    <w:widowControl/>
                    <w:jc w:val="center"/>
                    <w:rPr>
                      <w:b/>
                      <w:kern w:val="0"/>
                      <w:szCs w:val="21"/>
                    </w:rPr>
                  </w:pPr>
                  <w:r>
                    <w:rPr>
                      <w:rFonts w:hint="eastAsia"/>
                      <w:b/>
                      <w:szCs w:val="21"/>
                    </w:rPr>
                    <w:t>项目</w:t>
                  </w:r>
                </w:p>
              </w:tc>
              <w:tc>
                <w:tcPr>
                  <w:tcW w:w="450" w:type="pct"/>
                  <w:vAlign w:val="center"/>
                </w:tcPr>
                <w:p w14:paraId="45416EF7">
                  <w:pPr>
                    <w:widowControl/>
                    <w:jc w:val="center"/>
                    <w:rPr>
                      <w:b/>
                      <w:szCs w:val="21"/>
                    </w:rPr>
                  </w:pPr>
                  <w:r>
                    <w:rPr>
                      <w:b/>
                      <w:szCs w:val="21"/>
                    </w:rPr>
                    <w:t>产生量(t/a)</w:t>
                  </w:r>
                </w:p>
              </w:tc>
              <w:tc>
                <w:tcPr>
                  <w:tcW w:w="446" w:type="pct"/>
                  <w:vAlign w:val="center"/>
                </w:tcPr>
                <w:p w14:paraId="7A4AC687">
                  <w:pPr>
                    <w:widowControl/>
                    <w:jc w:val="center"/>
                    <w:rPr>
                      <w:b/>
                      <w:szCs w:val="21"/>
                    </w:rPr>
                  </w:pPr>
                  <w:r>
                    <w:rPr>
                      <w:b/>
                      <w:szCs w:val="21"/>
                    </w:rPr>
                    <w:t>收集量(t/a)</w:t>
                  </w:r>
                </w:p>
              </w:tc>
              <w:tc>
                <w:tcPr>
                  <w:tcW w:w="535" w:type="pct"/>
                  <w:vAlign w:val="center"/>
                </w:tcPr>
                <w:p w14:paraId="21AF3037">
                  <w:pPr>
                    <w:widowControl/>
                    <w:jc w:val="center"/>
                    <w:rPr>
                      <w:b/>
                      <w:szCs w:val="21"/>
                    </w:rPr>
                  </w:pPr>
                  <w:r>
                    <w:rPr>
                      <w:b/>
                      <w:szCs w:val="21"/>
                    </w:rPr>
                    <w:t>产生速率(kg/h)</w:t>
                  </w:r>
                </w:p>
              </w:tc>
              <w:tc>
                <w:tcPr>
                  <w:tcW w:w="624" w:type="pct"/>
                  <w:vAlign w:val="center"/>
                </w:tcPr>
                <w:p w14:paraId="58D97B88">
                  <w:pPr>
                    <w:widowControl/>
                    <w:jc w:val="center"/>
                    <w:rPr>
                      <w:b/>
                      <w:szCs w:val="21"/>
                    </w:rPr>
                  </w:pPr>
                  <w:r>
                    <w:rPr>
                      <w:b/>
                      <w:szCs w:val="21"/>
                    </w:rPr>
                    <w:t>产生浓度(mg/m</w:t>
                  </w:r>
                  <w:r>
                    <w:rPr>
                      <w:b/>
                      <w:szCs w:val="21"/>
                      <w:vertAlign w:val="superscript"/>
                    </w:rPr>
                    <w:t>3</w:t>
                  </w:r>
                  <w:r>
                    <w:rPr>
                      <w:b/>
                      <w:szCs w:val="21"/>
                    </w:rPr>
                    <w:t>)</w:t>
                  </w:r>
                </w:p>
              </w:tc>
              <w:tc>
                <w:tcPr>
                  <w:tcW w:w="446" w:type="pct"/>
                  <w:vAlign w:val="center"/>
                </w:tcPr>
                <w:p w14:paraId="2A64EA2C">
                  <w:pPr>
                    <w:widowControl/>
                    <w:jc w:val="center"/>
                    <w:rPr>
                      <w:b/>
                      <w:szCs w:val="21"/>
                    </w:rPr>
                  </w:pPr>
                  <w:r>
                    <w:rPr>
                      <w:rFonts w:hint="eastAsia"/>
                      <w:b/>
                      <w:szCs w:val="21"/>
                    </w:rPr>
                    <w:t>风</w:t>
                  </w:r>
                  <w:r>
                    <w:rPr>
                      <w:b/>
                      <w:szCs w:val="21"/>
                    </w:rPr>
                    <w:t>量(m</w:t>
                  </w:r>
                  <w:r>
                    <w:rPr>
                      <w:b/>
                      <w:szCs w:val="21"/>
                      <w:vertAlign w:val="superscript"/>
                    </w:rPr>
                    <w:t>3</w:t>
                  </w:r>
                  <w:r>
                    <w:rPr>
                      <w:b/>
                      <w:szCs w:val="21"/>
                    </w:rPr>
                    <w:t>/h)</w:t>
                  </w:r>
                </w:p>
              </w:tc>
              <w:tc>
                <w:tcPr>
                  <w:tcW w:w="445" w:type="pct"/>
                  <w:vAlign w:val="center"/>
                </w:tcPr>
                <w:p w14:paraId="7C7864AF">
                  <w:pPr>
                    <w:widowControl/>
                    <w:jc w:val="center"/>
                    <w:rPr>
                      <w:b/>
                      <w:szCs w:val="21"/>
                    </w:rPr>
                  </w:pPr>
                  <w:r>
                    <w:rPr>
                      <w:rFonts w:hint="eastAsia"/>
                      <w:b/>
                      <w:szCs w:val="21"/>
                    </w:rPr>
                    <w:t>排放</w:t>
                  </w:r>
                  <w:r>
                    <w:rPr>
                      <w:b/>
                      <w:szCs w:val="21"/>
                    </w:rPr>
                    <w:t>量(t/a)</w:t>
                  </w:r>
                </w:p>
              </w:tc>
              <w:tc>
                <w:tcPr>
                  <w:tcW w:w="625" w:type="pct"/>
                  <w:vAlign w:val="center"/>
                </w:tcPr>
                <w:p w14:paraId="31BB9173">
                  <w:pPr>
                    <w:widowControl/>
                    <w:jc w:val="center"/>
                    <w:rPr>
                      <w:b/>
                      <w:szCs w:val="21"/>
                    </w:rPr>
                  </w:pPr>
                  <w:r>
                    <w:rPr>
                      <w:rFonts w:hint="eastAsia"/>
                      <w:b/>
                      <w:szCs w:val="21"/>
                    </w:rPr>
                    <w:t>排放</w:t>
                  </w:r>
                  <w:r>
                    <w:rPr>
                      <w:b/>
                      <w:szCs w:val="21"/>
                    </w:rPr>
                    <w:t>速率(kg/h)</w:t>
                  </w:r>
                </w:p>
              </w:tc>
              <w:tc>
                <w:tcPr>
                  <w:tcW w:w="641" w:type="pct"/>
                  <w:vAlign w:val="center"/>
                </w:tcPr>
                <w:p w14:paraId="03C7B6A2">
                  <w:pPr>
                    <w:widowControl/>
                    <w:jc w:val="center"/>
                    <w:rPr>
                      <w:b/>
                      <w:szCs w:val="21"/>
                    </w:rPr>
                  </w:pPr>
                  <w:r>
                    <w:rPr>
                      <w:rFonts w:hint="eastAsia"/>
                      <w:b/>
                      <w:szCs w:val="21"/>
                    </w:rPr>
                    <w:t>排放</w:t>
                  </w:r>
                  <w:r>
                    <w:rPr>
                      <w:b/>
                      <w:szCs w:val="21"/>
                    </w:rPr>
                    <w:t>浓度(mg/m</w:t>
                  </w:r>
                  <w:r>
                    <w:rPr>
                      <w:b/>
                      <w:szCs w:val="21"/>
                      <w:vertAlign w:val="superscript"/>
                    </w:rPr>
                    <w:t>3</w:t>
                  </w:r>
                  <w:r>
                    <w:rPr>
                      <w:b/>
                      <w:szCs w:val="21"/>
                    </w:rPr>
                    <w:t>)</w:t>
                  </w:r>
                </w:p>
              </w:tc>
            </w:tr>
            <w:tr w14:paraId="49CFFCE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29" w:type="pct"/>
                  <w:vMerge w:val="restart"/>
                  <w:vAlign w:val="center"/>
                </w:tcPr>
                <w:p w14:paraId="263AD26D">
                  <w:pPr>
                    <w:ind w:firstLine="35" w:firstLineChars="17"/>
                    <w:jc w:val="center"/>
                    <w:rPr>
                      <w:szCs w:val="21"/>
                      <w:lang w:val="pt-BR"/>
                    </w:rPr>
                  </w:pPr>
                  <w:r>
                    <w:rPr>
                      <w:rFonts w:hint="eastAsia"/>
                      <w:szCs w:val="21"/>
                      <w:lang w:val="pt-BR"/>
                    </w:rPr>
                    <w:t>颗粒物</w:t>
                  </w:r>
                </w:p>
              </w:tc>
              <w:tc>
                <w:tcPr>
                  <w:tcW w:w="459" w:type="pct"/>
                  <w:vAlign w:val="center"/>
                </w:tcPr>
                <w:p w14:paraId="39A7583F">
                  <w:pPr>
                    <w:ind w:firstLine="35" w:firstLineChars="17"/>
                    <w:jc w:val="center"/>
                    <w:rPr>
                      <w:szCs w:val="21"/>
                      <w:lang w:val="pt-BR"/>
                    </w:rPr>
                  </w:pPr>
                  <w:r>
                    <w:rPr>
                      <w:rFonts w:hint="eastAsia"/>
                      <w:szCs w:val="21"/>
                      <w:lang w:val="pt-BR"/>
                    </w:rPr>
                    <w:t>本项目</w:t>
                  </w:r>
                </w:p>
              </w:tc>
              <w:tc>
                <w:tcPr>
                  <w:tcW w:w="450" w:type="pct"/>
                  <w:vAlign w:val="center"/>
                </w:tcPr>
                <w:p w14:paraId="63F128A6">
                  <w:pPr>
                    <w:pStyle w:val="11"/>
                    <w:snapToGrid w:val="0"/>
                    <w:jc w:val="center"/>
                    <w:rPr>
                      <w:rFonts w:ascii="Times New Roman" w:hAnsi="Times New Roman" w:cs="Courier New"/>
                      <w:lang w:val="en-US"/>
                    </w:rPr>
                  </w:pPr>
                  <w:r>
                    <w:rPr>
                      <w:rFonts w:ascii="Times New Roman" w:hAnsi="Times New Roman" w:cs="Courier New"/>
                      <w:lang w:val="en-US"/>
                    </w:rPr>
                    <w:t>0.</w:t>
                  </w:r>
                  <w:r>
                    <w:rPr>
                      <w:rFonts w:hint="eastAsia" w:ascii="Times New Roman" w:hAnsi="Times New Roman" w:cs="Courier New"/>
                      <w:lang w:val="en-US"/>
                    </w:rPr>
                    <w:t>1971</w:t>
                  </w:r>
                </w:p>
              </w:tc>
              <w:tc>
                <w:tcPr>
                  <w:tcW w:w="446" w:type="pct"/>
                  <w:vAlign w:val="center"/>
                </w:tcPr>
                <w:p w14:paraId="35B15840">
                  <w:pPr>
                    <w:pStyle w:val="11"/>
                    <w:snapToGrid w:val="0"/>
                    <w:jc w:val="center"/>
                    <w:rPr>
                      <w:rFonts w:ascii="Times New Roman" w:hAnsi="Times New Roman" w:cs="Courier New"/>
                      <w:lang w:val="en-US"/>
                    </w:rPr>
                  </w:pPr>
                  <w:r>
                    <w:rPr>
                      <w:rFonts w:ascii="Times New Roman" w:hAnsi="Times New Roman" w:cs="Courier New"/>
                      <w:lang w:val="en-US"/>
                    </w:rPr>
                    <w:t>0.</w:t>
                  </w:r>
                  <w:r>
                    <w:rPr>
                      <w:rFonts w:hint="eastAsia" w:ascii="Times New Roman" w:hAnsi="Times New Roman" w:cs="Courier New"/>
                      <w:lang w:val="en-US"/>
                    </w:rPr>
                    <w:t>1971</w:t>
                  </w:r>
                </w:p>
              </w:tc>
              <w:tc>
                <w:tcPr>
                  <w:tcW w:w="535" w:type="pct"/>
                  <w:vAlign w:val="center"/>
                </w:tcPr>
                <w:p w14:paraId="6F9350F6">
                  <w:pPr>
                    <w:pStyle w:val="11"/>
                    <w:snapToGrid w:val="0"/>
                    <w:jc w:val="center"/>
                    <w:rPr>
                      <w:rFonts w:ascii="Times New Roman" w:hAnsi="Times New Roman" w:cs="Courier New"/>
                      <w:lang w:val="en-US"/>
                    </w:rPr>
                  </w:pPr>
                  <w:r>
                    <w:rPr>
                      <w:rFonts w:ascii="Times New Roman" w:hAnsi="Times New Roman" w:cs="Courier New"/>
                      <w:lang w:val="en-US"/>
                    </w:rPr>
                    <w:t>0.3942</w:t>
                  </w:r>
                </w:p>
              </w:tc>
              <w:tc>
                <w:tcPr>
                  <w:tcW w:w="624" w:type="pct"/>
                  <w:vAlign w:val="center"/>
                </w:tcPr>
                <w:p w14:paraId="0195D2AD">
                  <w:pPr>
                    <w:pStyle w:val="11"/>
                    <w:snapToGrid w:val="0"/>
                    <w:jc w:val="center"/>
                    <w:rPr>
                      <w:rFonts w:ascii="Times New Roman" w:hAnsi="Times New Roman" w:cs="Courier New"/>
                      <w:lang w:val="en-US"/>
                    </w:rPr>
                  </w:pPr>
                  <w:r>
                    <w:rPr>
                      <w:rFonts w:hint="eastAsia" w:ascii="Times New Roman" w:hAnsi="Times New Roman" w:cs="Courier New"/>
                      <w:lang w:val="en-US"/>
                    </w:rPr>
                    <w:t>131.4</w:t>
                  </w:r>
                </w:p>
              </w:tc>
              <w:tc>
                <w:tcPr>
                  <w:tcW w:w="446" w:type="pct"/>
                  <w:vMerge w:val="restart"/>
                  <w:vAlign w:val="center"/>
                </w:tcPr>
                <w:p w14:paraId="6BBFDA23">
                  <w:pPr>
                    <w:pStyle w:val="11"/>
                    <w:snapToGrid w:val="0"/>
                    <w:jc w:val="center"/>
                    <w:rPr>
                      <w:rFonts w:ascii="Times New Roman" w:hAnsi="Times New Roman" w:cs="Courier New"/>
                      <w:lang w:val="en-US"/>
                    </w:rPr>
                  </w:pPr>
                  <w:r>
                    <w:rPr>
                      <w:rFonts w:hint="eastAsia" w:ascii="Times New Roman" w:hAnsi="Times New Roman" w:cs="Courier New"/>
                      <w:lang w:val="en-US"/>
                    </w:rPr>
                    <w:t>30</w:t>
                  </w:r>
                  <w:r>
                    <w:rPr>
                      <w:rFonts w:ascii="Times New Roman" w:hAnsi="Times New Roman" w:cs="Courier New"/>
                      <w:lang w:val="en-US"/>
                    </w:rPr>
                    <w:t>00</w:t>
                  </w:r>
                </w:p>
              </w:tc>
              <w:tc>
                <w:tcPr>
                  <w:tcW w:w="445" w:type="pct"/>
                  <w:vMerge w:val="restart"/>
                  <w:vAlign w:val="center"/>
                </w:tcPr>
                <w:p w14:paraId="3A205FC3">
                  <w:pPr>
                    <w:pStyle w:val="11"/>
                    <w:snapToGrid w:val="0"/>
                    <w:jc w:val="center"/>
                    <w:rPr>
                      <w:rFonts w:ascii="Times New Roman" w:hAnsi="Times New Roman" w:cs="Courier New"/>
                      <w:lang w:val="en-US"/>
                    </w:rPr>
                  </w:pPr>
                  <w:r>
                    <w:rPr>
                      <w:rFonts w:hint="eastAsia" w:ascii="Times New Roman" w:hAnsi="Times New Roman" w:cs="Courier New"/>
                      <w:lang w:val="en-US"/>
                    </w:rPr>
                    <w:t>0</w:t>
                  </w:r>
                  <w:r>
                    <w:rPr>
                      <w:rFonts w:ascii="Times New Roman" w:hAnsi="Times New Roman" w:cs="Courier New"/>
                      <w:lang w:val="en-US"/>
                    </w:rPr>
                    <w:t>.00</w:t>
                  </w:r>
                  <w:r>
                    <w:rPr>
                      <w:rFonts w:hint="eastAsia" w:ascii="Times New Roman" w:hAnsi="Times New Roman" w:cs="Courier New"/>
                      <w:lang w:val="en-US"/>
                    </w:rPr>
                    <w:t>39</w:t>
                  </w:r>
                </w:p>
              </w:tc>
              <w:tc>
                <w:tcPr>
                  <w:tcW w:w="625" w:type="pct"/>
                  <w:vMerge w:val="restart"/>
                  <w:vAlign w:val="center"/>
                </w:tcPr>
                <w:p w14:paraId="07068234">
                  <w:pPr>
                    <w:pStyle w:val="11"/>
                    <w:snapToGrid w:val="0"/>
                    <w:jc w:val="center"/>
                    <w:rPr>
                      <w:rFonts w:ascii="Times New Roman" w:hAnsi="Times New Roman" w:cs="Courier New"/>
                      <w:lang w:val="en-US"/>
                    </w:rPr>
                  </w:pPr>
                  <w:r>
                    <w:rPr>
                      <w:rFonts w:hint="eastAsia" w:ascii="Times New Roman" w:hAnsi="Times New Roman" w:cs="Courier New"/>
                      <w:lang w:val="en-US"/>
                    </w:rPr>
                    <w:t>0</w:t>
                  </w:r>
                  <w:r>
                    <w:rPr>
                      <w:rFonts w:ascii="Times New Roman" w:hAnsi="Times New Roman" w:cs="Courier New"/>
                      <w:lang w:val="en-US"/>
                    </w:rPr>
                    <w:t>.00</w:t>
                  </w:r>
                  <w:r>
                    <w:rPr>
                      <w:rFonts w:hint="eastAsia" w:ascii="Times New Roman" w:hAnsi="Times New Roman" w:cs="Courier New"/>
                      <w:lang w:val="en-US"/>
                    </w:rPr>
                    <w:t>78</w:t>
                  </w:r>
                </w:p>
              </w:tc>
              <w:tc>
                <w:tcPr>
                  <w:tcW w:w="641" w:type="pct"/>
                  <w:vMerge w:val="restart"/>
                  <w:vAlign w:val="center"/>
                </w:tcPr>
                <w:p w14:paraId="1FBDA783">
                  <w:pPr>
                    <w:pStyle w:val="11"/>
                    <w:snapToGrid w:val="0"/>
                    <w:jc w:val="center"/>
                    <w:rPr>
                      <w:rFonts w:ascii="Times New Roman" w:hAnsi="Times New Roman" w:cs="Courier New"/>
                      <w:lang w:val="en-US"/>
                    </w:rPr>
                  </w:pPr>
                  <w:r>
                    <w:rPr>
                      <w:rFonts w:hint="eastAsia" w:ascii="Times New Roman" w:hAnsi="Times New Roman" w:cs="Courier New"/>
                      <w:lang w:val="en-US"/>
                    </w:rPr>
                    <w:t>2.6</w:t>
                  </w:r>
                </w:p>
              </w:tc>
            </w:tr>
            <w:tr w14:paraId="617F0A4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29" w:type="pct"/>
                  <w:vMerge w:val="continue"/>
                  <w:vAlign w:val="center"/>
                </w:tcPr>
                <w:p w14:paraId="540CC86E">
                  <w:pPr>
                    <w:ind w:firstLine="35" w:firstLineChars="17"/>
                    <w:jc w:val="center"/>
                    <w:rPr>
                      <w:szCs w:val="21"/>
                      <w:lang w:val="pt-BR"/>
                    </w:rPr>
                  </w:pPr>
                </w:p>
              </w:tc>
              <w:tc>
                <w:tcPr>
                  <w:tcW w:w="459" w:type="pct"/>
                  <w:vAlign w:val="center"/>
                </w:tcPr>
                <w:p w14:paraId="7436547D">
                  <w:pPr>
                    <w:ind w:firstLine="35" w:firstLineChars="17"/>
                    <w:jc w:val="center"/>
                    <w:rPr>
                      <w:szCs w:val="21"/>
                      <w:lang w:val="pt-BR"/>
                    </w:rPr>
                  </w:pPr>
                  <w:r>
                    <w:rPr>
                      <w:rFonts w:hint="eastAsia"/>
                      <w:szCs w:val="21"/>
                      <w:lang w:val="pt-BR"/>
                    </w:rPr>
                    <w:t>现有</w:t>
                  </w:r>
                </w:p>
                <w:p w14:paraId="097202E6">
                  <w:pPr>
                    <w:ind w:firstLine="35" w:firstLineChars="17"/>
                    <w:jc w:val="center"/>
                    <w:rPr>
                      <w:szCs w:val="21"/>
                      <w:lang w:val="pt-BR"/>
                    </w:rPr>
                  </w:pPr>
                  <w:r>
                    <w:rPr>
                      <w:rFonts w:hint="eastAsia"/>
                      <w:szCs w:val="21"/>
                      <w:lang w:val="pt-BR"/>
                    </w:rPr>
                    <w:t>项目</w:t>
                  </w:r>
                </w:p>
              </w:tc>
              <w:tc>
                <w:tcPr>
                  <w:tcW w:w="450" w:type="pct"/>
                  <w:vAlign w:val="center"/>
                </w:tcPr>
                <w:p w14:paraId="75E5EA59">
                  <w:pPr>
                    <w:pStyle w:val="11"/>
                    <w:snapToGrid w:val="0"/>
                    <w:jc w:val="center"/>
                    <w:rPr>
                      <w:rFonts w:ascii="Times New Roman" w:hAnsi="Times New Roman" w:cs="Courier New"/>
                      <w:lang w:val="en-US"/>
                    </w:rPr>
                  </w:pPr>
                  <w:r>
                    <w:rPr>
                      <w:rFonts w:ascii="Times New Roman" w:hAnsi="Times New Roman" w:cs="Courier New"/>
                      <w:lang w:val="en-US"/>
                    </w:rPr>
                    <w:t>0.</w:t>
                  </w:r>
                  <w:r>
                    <w:rPr>
                      <w:rFonts w:hint="eastAsia" w:ascii="Times New Roman" w:hAnsi="Times New Roman" w:cs="Courier New"/>
                      <w:lang w:val="en-US"/>
                    </w:rPr>
                    <w:t>1971</w:t>
                  </w:r>
                </w:p>
              </w:tc>
              <w:tc>
                <w:tcPr>
                  <w:tcW w:w="446" w:type="pct"/>
                  <w:vAlign w:val="center"/>
                </w:tcPr>
                <w:p w14:paraId="105C4C66">
                  <w:pPr>
                    <w:pStyle w:val="11"/>
                    <w:snapToGrid w:val="0"/>
                    <w:jc w:val="center"/>
                    <w:rPr>
                      <w:rFonts w:ascii="Times New Roman" w:hAnsi="Times New Roman" w:cs="Courier New"/>
                      <w:lang w:val="en-US"/>
                    </w:rPr>
                  </w:pPr>
                  <w:r>
                    <w:rPr>
                      <w:rFonts w:ascii="Times New Roman" w:hAnsi="Times New Roman" w:cs="Courier New"/>
                      <w:lang w:val="en-US"/>
                    </w:rPr>
                    <w:t>0.</w:t>
                  </w:r>
                  <w:r>
                    <w:rPr>
                      <w:rFonts w:hint="eastAsia" w:ascii="Times New Roman" w:hAnsi="Times New Roman" w:cs="Courier New"/>
                      <w:lang w:val="en-US"/>
                    </w:rPr>
                    <w:t>1971</w:t>
                  </w:r>
                </w:p>
              </w:tc>
              <w:tc>
                <w:tcPr>
                  <w:tcW w:w="535" w:type="pct"/>
                  <w:vAlign w:val="center"/>
                </w:tcPr>
                <w:p w14:paraId="3FEBA678">
                  <w:pPr>
                    <w:pStyle w:val="11"/>
                    <w:snapToGrid w:val="0"/>
                    <w:jc w:val="center"/>
                    <w:rPr>
                      <w:rFonts w:ascii="Times New Roman" w:hAnsi="Times New Roman" w:cs="Courier New"/>
                      <w:lang w:val="en-US"/>
                    </w:rPr>
                  </w:pPr>
                  <w:r>
                    <w:rPr>
                      <w:rFonts w:ascii="Times New Roman" w:hAnsi="Times New Roman" w:cs="Courier New"/>
                      <w:lang w:val="en-US"/>
                    </w:rPr>
                    <w:t>0.3942</w:t>
                  </w:r>
                </w:p>
              </w:tc>
              <w:tc>
                <w:tcPr>
                  <w:tcW w:w="624" w:type="pct"/>
                  <w:vAlign w:val="center"/>
                </w:tcPr>
                <w:p w14:paraId="4E5E1306">
                  <w:pPr>
                    <w:pStyle w:val="11"/>
                    <w:snapToGrid w:val="0"/>
                    <w:jc w:val="center"/>
                    <w:rPr>
                      <w:rFonts w:ascii="Times New Roman" w:hAnsi="Times New Roman" w:cs="Courier New"/>
                      <w:lang w:val="en-US"/>
                    </w:rPr>
                  </w:pPr>
                  <w:r>
                    <w:rPr>
                      <w:rFonts w:hint="eastAsia" w:ascii="Times New Roman" w:hAnsi="Times New Roman" w:cs="Courier New"/>
                      <w:lang w:val="en-US"/>
                    </w:rPr>
                    <w:t>131.4</w:t>
                  </w:r>
                </w:p>
              </w:tc>
              <w:tc>
                <w:tcPr>
                  <w:tcW w:w="446" w:type="pct"/>
                  <w:vMerge w:val="continue"/>
                  <w:vAlign w:val="center"/>
                </w:tcPr>
                <w:p w14:paraId="0A0CA752">
                  <w:pPr>
                    <w:pStyle w:val="11"/>
                    <w:snapToGrid w:val="0"/>
                    <w:jc w:val="center"/>
                    <w:rPr>
                      <w:rFonts w:ascii="Times New Roman" w:hAnsi="Times New Roman" w:cs="Courier New"/>
                      <w:lang w:val="en-US"/>
                    </w:rPr>
                  </w:pPr>
                </w:p>
              </w:tc>
              <w:tc>
                <w:tcPr>
                  <w:tcW w:w="445" w:type="pct"/>
                  <w:vMerge w:val="continue"/>
                  <w:vAlign w:val="center"/>
                </w:tcPr>
                <w:p w14:paraId="227BBBF9">
                  <w:pPr>
                    <w:pStyle w:val="11"/>
                    <w:snapToGrid w:val="0"/>
                    <w:jc w:val="center"/>
                    <w:rPr>
                      <w:rFonts w:ascii="Times New Roman" w:hAnsi="Times New Roman" w:cs="Courier New"/>
                      <w:lang w:val="en-US"/>
                    </w:rPr>
                  </w:pPr>
                </w:p>
              </w:tc>
              <w:tc>
                <w:tcPr>
                  <w:tcW w:w="625" w:type="pct"/>
                  <w:vMerge w:val="continue"/>
                  <w:vAlign w:val="center"/>
                </w:tcPr>
                <w:p w14:paraId="7FE7085C">
                  <w:pPr>
                    <w:pStyle w:val="11"/>
                    <w:snapToGrid w:val="0"/>
                    <w:jc w:val="center"/>
                    <w:rPr>
                      <w:rFonts w:ascii="Times New Roman" w:hAnsi="Times New Roman" w:cs="Courier New"/>
                      <w:lang w:val="en-US"/>
                    </w:rPr>
                  </w:pPr>
                </w:p>
              </w:tc>
              <w:tc>
                <w:tcPr>
                  <w:tcW w:w="641" w:type="pct"/>
                  <w:vMerge w:val="continue"/>
                  <w:vAlign w:val="center"/>
                </w:tcPr>
                <w:p w14:paraId="5D38A782">
                  <w:pPr>
                    <w:pStyle w:val="11"/>
                    <w:snapToGrid w:val="0"/>
                    <w:jc w:val="center"/>
                    <w:rPr>
                      <w:rFonts w:ascii="Times New Roman" w:hAnsi="Times New Roman" w:cs="Courier New"/>
                      <w:lang w:val="en-US"/>
                    </w:rPr>
                  </w:pPr>
                </w:p>
              </w:tc>
            </w:tr>
          </w:tbl>
          <w:p w14:paraId="30F289A9">
            <w:pPr>
              <w:adjustRightInd w:val="0"/>
              <w:snapToGrid w:val="0"/>
              <w:spacing w:line="460" w:lineRule="exact"/>
              <w:ind w:firstLine="480" w:firstLineChars="200"/>
              <w:rPr>
                <w:sz w:val="24"/>
              </w:rPr>
            </w:pPr>
            <w:r>
              <w:rPr>
                <w:rFonts w:hint="eastAsia"/>
                <w:sz w:val="24"/>
              </w:rPr>
              <w:t>根据上列表，本项目抛丸废气及本项目建成后排气筒DA019排放的颗粒物</w:t>
            </w:r>
            <w:r>
              <w:rPr>
                <w:rFonts w:hint="eastAsia"/>
                <w:bCs/>
                <w:sz w:val="24"/>
              </w:rPr>
              <w:t>排放速率均</w:t>
            </w:r>
            <w:r>
              <w:rPr>
                <w:rFonts w:hint="eastAsia"/>
                <w:sz w:val="24"/>
              </w:rPr>
              <w:t>能够</w:t>
            </w:r>
            <w:r>
              <w:rPr>
                <w:rFonts w:hint="eastAsia"/>
                <w:bCs/>
                <w:sz w:val="24"/>
              </w:rPr>
              <w:t>满足《大气污染物综合排放标准》（GB16297-1996）表2</w:t>
            </w:r>
            <w:r>
              <w:rPr>
                <w:rFonts w:hint="eastAsia"/>
                <w:sz w:val="24"/>
              </w:rPr>
              <w:t>有组织颗粒物排放速率3.5kg/h（15m高排气筒）的标准限值要求，</w:t>
            </w:r>
            <w:r>
              <w:rPr>
                <w:rFonts w:hint="eastAsia"/>
                <w:bCs/>
                <w:sz w:val="24"/>
              </w:rPr>
              <w:t>同时排放浓度均</w:t>
            </w:r>
            <w:r>
              <w:rPr>
                <w:rFonts w:hint="eastAsia"/>
                <w:sz w:val="24"/>
              </w:rPr>
              <w:t>满足《新乡市生态环境局关于进一步规范工业企业颗粒物排放限值的通知》有组织颗粒物排放浓度</w:t>
            </w:r>
            <w:r>
              <w:rPr>
                <w:sz w:val="24"/>
              </w:rPr>
              <w:t>10mg/m</w:t>
            </w:r>
            <w:r>
              <w:rPr>
                <w:sz w:val="24"/>
                <w:vertAlign w:val="superscript"/>
              </w:rPr>
              <w:t>3</w:t>
            </w:r>
            <w:r>
              <w:rPr>
                <w:rFonts w:hint="eastAsia"/>
                <w:sz w:val="24"/>
              </w:rPr>
              <w:t>的标准限值要求</w:t>
            </w:r>
            <w:r>
              <w:rPr>
                <w:rFonts w:hint="eastAsia"/>
                <w:bCs/>
                <w:sz w:val="24"/>
              </w:rPr>
              <w:t>，因此本项目105厂房抛丸废气依托TA019进行处理是可行的。</w:t>
            </w:r>
          </w:p>
          <w:p w14:paraId="7BCCE6FE">
            <w:pPr>
              <w:adjustRightInd w:val="0"/>
              <w:snapToGrid w:val="0"/>
              <w:spacing w:line="460" w:lineRule="exact"/>
              <w:ind w:firstLine="482" w:firstLineChars="200"/>
              <w:rPr>
                <w:b/>
                <w:bCs/>
                <w:sz w:val="24"/>
              </w:rPr>
            </w:pPr>
            <w:r>
              <w:rPr>
                <w:rFonts w:hint="eastAsia"/>
                <w:b/>
                <w:bCs/>
                <w:sz w:val="24"/>
              </w:rPr>
              <w:t>（2）解放路厂区</w:t>
            </w:r>
          </w:p>
          <w:p w14:paraId="2BD6202A">
            <w:pPr>
              <w:adjustRightInd w:val="0"/>
              <w:snapToGrid w:val="0"/>
              <w:spacing w:line="460" w:lineRule="exact"/>
              <w:ind w:firstLine="480" w:firstLineChars="200"/>
              <w:rPr>
                <w:sz w:val="24"/>
              </w:rPr>
            </w:pPr>
            <w:r>
              <w:rPr>
                <w:rFonts w:hint="eastAsia"/>
                <w:sz w:val="24"/>
              </w:rPr>
              <w:t>本项目新增高温硫化机及烘箱分担需要硫化处理的工件，建成后与现有的硫化废气一起经集气罩收集后引入现有的活性炭吸脱附-催化燃烧装置处理，处理后经15m高排气筒DA025排放。根据表33，现有硫化工段废气污染物产生量为非甲烷总烃0.0382t/a、硫化氢0.0213t/a。现有硫化工段硫化件处理量为438万件，本项目新增硫化设备处理工件量约为11.2万件，则本项目废气污染物产生量为非甲烷总烃0.001t/a、硫化氢0.0005t/a。</w:t>
            </w:r>
          </w:p>
          <w:p w14:paraId="0B20D9D0">
            <w:pPr>
              <w:adjustRightInd w:val="0"/>
              <w:snapToGrid w:val="0"/>
              <w:spacing w:line="460" w:lineRule="exact"/>
              <w:ind w:firstLine="480" w:firstLineChars="200"/>
              <w:rPr>
                <w:sz w:val="24"/>
              </w:rPr>
            </w:pPr>
            <w:r>
              <w:rPr>
                <w:rFonts w:hint="eastAsia"/>
                <w:sz w:val="24"/>
              </w:rPr>
              <w:t>根据河南中弘国泰检测技术有限公司2022年4月7日对硫化工段废气治理设施活性炭吸脱附-催化燃烧装置进出口的检测报告，该治理设施对非甲烷总烃的去除效率为91%，根据河南析源环境检测有限公司2023年6月20日对硫化工段废气治理设施活性炭吸脱附-催化燃烧装置进出口的检测报告，该治理设施对硫化氢的去除效率为97.4~97.8%，本次以97.4%计。集气罩收集效率以90%计，则本项目硫化工段废气污染物产排情况见下表。</w:t>
            </w:r>
          </w:p>
          <w:p w14:paraId="76AAC6B5">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60</w:t>
            </w:r>
            <w:r>
              <w:rPr>
                <w:rFonts w:eastAsia="黑体"/>
                <w:sz w:val="24"/>
              </w:rPr>
              <w:t xml:space="preserve">          </w:t>
            </w:r>
            <w:r>
              <w:rPr>
                <w:rFonts w:hint="eastAsia" w:eastAsia="黑体"/>
                <w:sz w:val="24"/>
              </w:rPr>
              <w:t xml:space="preserve"> </w:t>
            </w:r>
            <w:r>
              <w:rPr>
                <w:rFonts w:eastAsia="黑体"/>
                <w:sz w:val="24"/>
              </w:rPr>
              <w:t>本项目</w:t>
            </w:r>
            <w:r>
              <w:rPr>
                <w:rFonts w:hint="eastAsia" w:eastAsia="黑体"/>
                <w:sz w:val="24"/>
              </w:rPr>
              <w:t>硫化</w:t>
            </w:r>
            <w:r>
              <w:rPr>
                <w:rFonts w:eastAsia="黑体"/>
                <w:sz w:val="24"/>
              </w:rPr>
              <w:t>废气污染物产</w:t>
            </w:r>
            <w:r>
              <w:rPr>
                <w:rFonts w:hint="eastAsia" w:eastAsia="黑体"/>
                <w:sz w:val="24"/>
              </w:rPr>
              <w:t>排</w:t>
            </w:r>
            <w:r>
              <w:rPr>
                <w:rFonts w:eastAsia="黑体"/>
                <w:sz w:val="24"/>
              </w:rPr>
              <w:t>情况一览表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889"/>
              <w:gridCol w:w="858"/>
              <w:gridCol w:w="710"/>
              <w:gridCol w:w="992"/>
              <w:gridCol w:w="992"/>
              <w:gridCol w:w="851"/>
              <w:gridCol w:w="849"/>
              <w:gridCol w:w="992"/>
              <w:gridCol w:w="1002"/>
            </w:tblGrid>
            <w:tr w14:paraId="148CC51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46" w:type="pct"/>
                  <w:vAlign w:val="center"/>
                </w:tcPr>
                <w:p w14:paraId="1096003F">
                  <w:pPr>
                    <w:widowControl/>
                    <w:jc w:val="center"/>
                    <w:rPr>
                      <w:b/>
                      <w:szCs w:val="21"/>
                    </w:rPr>
                  </w:pPr>
                  <w:r>
                    <w:rPr>
                      <w:b/>
                      <w:szCs w:val="21"/>
                    </w:rPr>
                    <w:t>污染</w:t>
                  </w:r>
                </w:p>
                <w:p w14:paraId="65943957">
                  <w:pPr>
                    <w:widowControl/>
                    <w:jc w:val="center"/>
                    <w:rPr>
                      <w:b/>
                      <w:kern w:val="0"/>
                      <w:szCs w:val="21"/>
                    </w:rPr>
                  </w:pPr>
                  <w:r>
                    <w:rPr>
                      <w:b/>
                      <w:szCs w:val="21"/>
                    </w:rPr>
                    <w:t>因子</w:t>
                  </w:r>
                </w:p>
              </w:tc>
              <w:tc>
                <w:tcPr>
                  <w:tcW w:w="527" w:type="pct"/>
                  <w:vAlign w:val="center"/>
                </w:tcPr>
                <w:p w14:paraId="0268B140">
                  <w:pPr>
                    <w:widowControl/>
                    <w:jc w:val="center"/>
                    <w:rPr>
                      <w:b/>
                      <w:szCs w:val="21"/>
                    </w:rPr>
                  </w:pPr>
                  <w:r>
                    <w:rPr>
                      <w:b/>
                      <w:szCs w:val="21"/>
                    </w:rPr>
                    <w:t>产生量(t/a)</w:t>
                  </w:r>
                </w:p>
              </w:tc>
              <w:tc>
                <w:tcPr>
                  <w:tcW w:w="436" w:type="pct"/>
                  <w:vAlign w:val="center"/>
                </w:tcPr>
                <w:p w14:paraId="05649448">
                  <w:pPr>
                    <w:widowControl/>
                    <w:jc w:val="center"/>
                    <w:rPr>
                      <w:b/>
                      <w:szCs w:val="21"/>
                    </w:rPr>
                  </w:pPr>
                  <w:r>
                    <w:rPr>
                      <w:b/>
                      <w:szCs w:val="21"/>
                    </w:rPr>
                    <w:t>收集量(t/a)</w:t>
                  </w:r>
                </w:p>
              </w:tc>
              <w:tc>
                <w:tcPr>
                  <w:tcW w:w="610" w:type="pct"/>
                  <w:vAlign w:val="center"/>
                </w:tcPr>
                <w:p w14:paraId="7E995231">
                  <w:pPr>
                    <w:widowControl/>
                    <w:jc w:val="center"/>
                    <w:rPr>
                      <w:b/>
                      <w:szCs w:val="21"/>
                    </w:rPr>
                  </w:pPr>
                  <w:r>
                    <w:rPr>
                      <w:b/>
                      <w:szCs w:val="21"/>
                    </w:rPr>
                    <w:t>产生速率(kg/h)</w:t>
                  </w:r>
                </w:p>
              </w:tc>
              <w:tc>
                <w:tcPr>
                  <w:tcW w:w="610" w:type="pct"/>
                  <w:vAlign w:val="center"/>
                </w:tcPr>
                <w:p w14:paraId="5AF30FEF">
                  <w:pPr>
                    <w:widowControl/>
                    <w:jc w:val="center"/>
                    <w:rPr>
                      <w:b/>
                      <w:szCs w:val="21"/>
                    </w:rPr>
                  </w:pPr>
                  <w:r>
                    <w:rPr>
                      <w:b/>
                      <w:szCs w:val="21"/>
                    </w:rPr>
                    <w:t>产生浓度(mg/m</w:t>
                  </w:r>
                  <w:r>
                    <w:rPr>
                      <w:b/>
                      <w:szCs w:val="21"/>
                      <w:vertAlign w:val="superscript"/>
                    </w:rPr>
                    <w:t>3</w:t>
                  </w:r>
                  <w:r>
                    <w:rPr>
                      <w:b/>
                      <w:szCs w:val="21"/>
                    </w:rPr>
                    <w:t>)</w:t>
                  </w:r>
                </w:p>
              </w:tc>
              <w:tc>
                <w:tcPr>
                  <w:tcW w:w="523" w:type="pct"/>
                  <w:vAlign w:val="center"/>
                </w:tcPr>
                <w:p w14:paraId="39B73557">
                  <w:pPr>
                    <w:widowControl/>
                    <w:jc w:val="center"/>
                    <w:rPr>
                      <w:b/>
                      <w:szCs w:val="21"/>
                    </w:rPr>
                  </w:pPr>
                  <w:r>
                    <w:rPr>
                      <w:rFonts w:hint="eastAsia"/>
                      <w:b/>
                      <w:szCs w:val="21"/>
                    </w:rPr>
                    <w:t>风</w:t>
                  </w:r>
                  <w:r>
                    <w:rPr>
                      <w:b/>
                      <w:szCs w:val="21"/>
                    </w:rPr>
                    <w:t>量(m</w:t>
                  </w:r>
                  <w:r>
                    <w:rPr>
                      <w:b/>
                      <w:szCs w:val="21"/>
                      <w:vertAlign w:val="superscript"/>
                    </w:rPr>
                    <w:t>3</w:t>
                  </w:r>
                  <w:r>
                    <w:rPr>
                      <w:b/>
                      <w:szCs w:val="21"/>
                    </w:rPr>
                    <w:t>/h)</w:t>
                  </w:r>
                </w:p>
              </w:tc>
              <w:tc>
                <w:tcPr>
                  <w:tcW w:w="522" w:type="pct"/>
                  <w:vAlign w:val="center"/>
                </w:tcPr>
                <w:p w14:paraId="44862B90">
                  <w:pPr>
                    <w:widowControl/>
                    <w:jc w:val="center"/>
                    <w:rPr>
                      <w:b/>
                      <w:szCs w:val="21"/>
                    </w:rPr>
                  </w:pPr>
                  <w:r>
                    <w:rPr>
                      <w:rFonts w:hint="eastAsia"/>
                      <w:b/>
                      <w:szCs w:val="21"/>
                    </w:rPr>
                    <w:t>排放</w:t>
                  </w:r>
                  <w:r>
                    <w:rPr>
                      <w:b/>
                      <w:szCs w:val="21"/>
                    </w:rPr>
                    <w:t>量(t/a)</w:t>
                  </w:r>
                </w:p>
              </w:tc>
              <w:tc>
                <w:tcPr>
                  <w:tcW w:w="610" w:type="pct"/>
                  <w:vAlign w:val="center"/>
                </w:tcPr>
                <w:p w14:paraId="6A420ECC">
                  <w:pPr>
                    <w:widowControl/>
                    <w:jc w:val="center"/>
                    <w:rPr>
                      <w:b/>
                      <w:szCs w:val="21"/>
                    </w:rPr>
                  </w:pPr>
                  <w:r>
                    <w:rPr>
                      <w:rFonts w:hint="eastAsia"/>
                      <w:b/>
                      <w:szCs w:val="21"/>
                    </w:rPr>
                    <w:t>排放</w:t>
                  </w:r>
                  <w:r>
                    <w:rPr>
                      <w:b/>
                      <w:szCs w:val="21"/>
                    </w:rPr>
                    <w:t>速率(kg/h)</w:t>
                  </w:r>
                </w:p>
              </w:tc>
              <w:tc>
                <w:tcPr>
                  <w:tcW w:w="616" w:type="pct"/>
                  <w:vAlign w:val="center"/>
                </w:tcPr>
                <w:p w14:paraId="033EA000">
                  <w:pPr>
                    <w:widowControl/>
                    <w:jc w:val="center"/>
                    <w:rPr>
                      <w:b/>
                      <w:szCs w:val="21"/>
                    </w:rPr>
                  </w:pPr>
                  <w:r>
                    <w:rPr>
                      <w:rFonts w:hint="eastAsia"/>
                      <w:b/>
                      <w:szCs w:val="21"/>
                    </w:rPr>
                    <w:t>排放</w:t>
                  </w:r>
                  <w:r>
                    <w:rPr>
                      <w:b/>
                      <w:szCs w:val="21"/>
                    </w:rPr>
                    <w:t>浓度(mg/m</w:t>
                  </w:r>
                  <w:r>
                    <w:rPr>
                      <w:b/>
                      <w:szCs w:val="21"/>
                      <w:vertAlign w:val="superscript"/>
                    </w:rPr>
                    <w:t>3</w:t>
                  </w:r>
                  <w:r>
                    <w:rPr>
                      <w:b/>
                      <w:szCs w:val="21"/>
                    </w:rPr>
                    <w:t>)</w:t>
                  </w:r>
                </w:p>
              </w:tc>
            </w:tr>
            <w:tr w14:paraId="1518800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46" w:type="pct"/>
                  <w:vAlign w:val="center"/>
                </w:tcPr>
                <w:p w14:paraId="7771D9D2">
                  <w:pPr>
                    <w:ind w:firstLine="35" w:firstLineChars="17"/>
                    <w:jc w:val="center"/>
                    <w:rPr>
                      <w:szCs w:val="21"/>
                      <w:lang w:val="pt-BR"/>
                    </w:rPr>
                  </w:pPr>
                  <w:r>
                    <w:rPr>
                      <w:rFonts w:hint="eastAsia"/>
                      <w:szCs w:val="21"/>
                      <w:lang w:val="pt-BR"/>
                    </w:rPr>
                    <w:t>非甲烷总烃</w:t>
                  </w:r>
                </w:p>
              </w:tc>
              <w:tc>
                <w:tcPr>
                  <w:tcW w:w="527" w:type="pct"/>
                  <w:vAlign w:val="center"/>
                </w:tcPr>
                <w:p w14:paraId="65BE55A8">
                  <w:pPr>
                    <w:pStyle w:val="11"/>
                    <w:snapToGrid w:val="0"/>
                    <w:jc w:val="center"/>
                    <w:rPr>
                      <w:rFonts w:ascii="Times New Roman" w:hAnsi="Times New Roman" w:cs="Courier New"/>
                      <w:lang w:val="en-US"/>
                    </w:rPr>
                  </w:pPr>
                  <w:r>
                    <w:rPr>
                      <w:rFonts w:ascii="Times New Roman" w:hAnsi="Times New Roman" w:eastAsia="等线"/>
                      <w:lang w:val="en-US"/>
                    </w:rPr>
                    <w:t>0.001</w:t>
                  </w:r>
                </w:p>
              </w:tc>
              <w:tc>
                <w:tcPr>
                  <w:tcW w:w="436" w:type="pct"/>
                  <w:vAlign w:val="center"/>
                </w:tcPr>
                <w:p w14:paraId="51E8FE59">
                  <w:pPr>
                    <w:pStyle w:val="11"/>
                    <w:snapToGrid w:val="0"/>
                    <w:jc w:val="center"/>
                    <w:rPr>
                      <w:rFonts w:ascii="Times New Roman" w:hAnsi="Times New Roman" w:cs="Courier New"/>
                      <w:lang w:val="en-US"/>
                    </w:rPr>
                  </w:pPr>
                  <w:r>
                    <w:rPr>
                      <w:rFonts w:ascii="Times New Roman" w:hAnsi="Times New Roman" w:eastAsia="等线"/>
                      <w:lang w:val="en-US"/>
                    </w:rPr>
                    <w:t>0.0009</w:t>
                  </w:r>
                </w:p>
              </w:tc>
              <w:tc>
                <w:tcPr>
                  <w:tcW w:w="610" w:type="pct"/>
                  <w:vAlign w:val="center"/>
                </w:tcPr>
                <w:p w14:paraId="727280E2">
                  <w:pPr>
                    <w:pStyle w:val="11"/>
                    <w:snapToGrid w:val="0"/>
                    <w:jc w:val="center"/>
                    <w:rPr>
                      <w:rFonts w:ascii="Times New Roman" w:hAnsi="Times New Roman" w:cs="Courier New"/>
                      <w:lang w:val="en-US"/>
                    </w:rPr>
                  </w:pPr>
                  <w:r>
                    <w:rPr>
                      <w:rFonts w:ascii="Times New Roman" w:hAnsi="Times New Roman" w:eastAsia="等线"/>
                      <w:lang w:val="en-US"/>
                    </w:rPr>
                    <w:t>0.0036</w:t>
                  </w:r>
                </w:p>
              </w:tc>
              <w:tc>
                <w:tcPr>
                  <w:tcW w:w="610" w:type="pct"/>
                  <w:vAlign w:val="center"/>
                </w:tcPr>
                <w:p w14:paraId="2DC7552A">
                  <w:pPr>
                    <w:pStyle w:val="11"/>
                    <w:snapToGrid w:val="0"/>
                    <w:jc w:val="center"/>
                    <w:rPr>
                      <w:rFonts w:ascii="Times New Roman" w:hAnsi="Times New Roman" w:cs="Courier New"/>
                      <w:lang w:val="en-US"/>
                    </w:rPr>
                  </w:pPr>
                  <w:r>
                    <w:rPr>
                      <w:rFonts w:ascii="Times New Roman" w:hAnsi="Times New Roman" w:eastAsia="等线"/>
                      <w:lang w:val="en-US"/>
                    </w:rPr>
                    <w:t>7.2</w:t>
                  </w:r>
                </w:p>
              </w:tc>
              <w:tc>
                <w:tcPr>
                  <w:tcW w:w="523" w:type="pct"/>
                  <w:vMerge w:val="restart"/>
                  <w:vAlign w:val="center"/>
                </w:tcPr>
                <w:p w14:paraId="531AF7DC">
                  <w:pPr>
                    <w:pStyle w:val="11"/>
                    <w:snapToGrid w:val="0"/>
                    <w:jc w:val="center"/>
                    <w:rPr>
                      <w:rFonts w:ascii="Times New Roman" w:hAnsi="Times New Roman" w:cs="Courier New"/>
                      <w:lang w:val="en-US"/>
                    </w:rPr>
                  </w:pPr>
                  <w:r>
                    <w:rPr>
                      <w:rFonts w:hint="eastAsia" w:ascii="Times New Roman" w:hAnsi="Times New Roman" w:cs="Courier New"/>
                      <w:lang w:val="en-US"/>
                    </w:rPr>
                    <w:t>400</w:t>
                  </w:r>
                </w:p>
              </w:tc>
              <w:tc>
                <w:tcPr>
                  <w:tcW w:w="522" w:type="pct"/>
                  <w:vAlign w:val="center"/>
                </w:tcPr>
                <w:p w14:paraId="4CA39753">
                  <w:pPr>
                    <w:pStyle w:val="11"/>
                    <w:snapToGrid w:val="0"/>
                    <w:jc w:val="center"/>
                    <w:rPr>
                      <w:rFonts w:ascii="Times New Roman" w:hAnsi="Times New Roman" w:cs="Courier New"/>
                      <w:lang w:val="en-US"/>
                    </w:rPr>
                  </w:pPr>
                  <w:r>
                    <w:rPr>
                      <w:rFonts w:ascii="Times New Roman" w:hAnsi="Times New Roman" w:eastAsia="等线"/>
                      <w:lang w:val="en-US"/>
                    </w:rPr>
                    <w:t>0.0001</w:t>
                  </w:r>
                </w:p>
              </w:tc>
              <w:tc>
                <w:tcPr>
                  <w:tcW w:w="610" w:type="pct"/>
                  <w:vAlign w:val="center"/>
                </w:tcPr>
                <w:p w14:paraId="3AF13447">
                  <w:pPr>
                    <w:pStyle w:val="11"/>
                    <w:snapToGrid w:val="0"/>
                    <w:jc w:val="center"/>
                    <w:rPr>
                      <w:rFonts w:ascii="Times New Roman" w:hAnsi="Times New Roman" w:cs="Courier New"/>
                      <w:lang w:val="en-US"/>
                    </w:rPr>
                  </w:pPr>
                  <w:r>
                    <w:rPr>
                      <w:rFonts w:ascii="Times New Roman" w:hAnsi="Times New Roman" w:eastAsia="等线"/>
                      <w:lang w:val="en-US"/>
                    </w:rPr>
                    <w:t>0.0004</w:t>
                  </w:r>
                </w:p>
              </w:tc>
              <w:tc>
                <w:tcPr>
                  <w:tcW w:w="616" w:type="pct"/>
                  <w:vAlign w:val="center"/>
                </w:tcPr>
                <w:p w14:paraId="526F5B90">
                  <w:pPr>
                    <w:pStyle w:val="11"/>
                    <w:snapToGrid w:val="0"/>
                    <w:jc w:val="center"/>
                    <w:rPr>
                      <w:rFonts w:ascii="Times New Roman" w:hAnsi="Times New Roman" w:cs="Courier New"/>
                      <w:lang w:val="en-US"/>
                    </w:rPr>
                  </w:pPr>
                  <w:r>
                    <w:rPr>
                      <w:rFonts w:ascii="Times New Roman" w:hAnsi="Times New Roman" w:eastAsia="等线"/>
                      <w:lang w:val="en-US"/>
                    </w:rPr>
                    <w:t>0.8</w:t>
                  </w:r>
                </w:p>
              </w:tc>
            </w:tr>
            <w:tr w14:paraId="69A3B45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46" w:type="pct"/>
                  <w:vAlign w:val="center"/>
                </w:tcPr>
                <w:p w14:paraId="62F43BF1">
                  <w:pPr>
                    <w:ind w:firstLine="35" w:firstLineChars="17"/>
                    <w:jc w:val="center"/>
                    <w:rPr>
                      <w:szCs w:val="21"/>
                      <w:lang w:val="pt-BR"/>
                    </w:rPr>
                  </w:pPr>
                  <w:r>
                    <w:rPr>
                      <w:rFonts w:hint="eastAsia"/>
                      <w:szCs w:val="21"/>
                      <w:lang w:val="pt-BR"/>
                    </w:rPr>
                    <w:t>硫化氢</w:t>
                  </w:r>
                </w:p>
              </w:tc>
              <w:tc>
                <w:tcPr>
                  <w:tcW w:w="527" w:type="pct"/>
                  <w:vAlign w:val="center"/>
                </w:tcPr>
                <w:p w14:paraId="4EAC7F0A">
                  <w:pPr>
                    <w:pStyle w:val="11"/>
                    <w:snapToGrid w:val="0"/>
                    <w:jc w:val="center"/>
                    <w:rPr>
                      <w:rFonts w:ascii="Times New Roman" w:hAnsi="Times New Roman" w:cs="Courier New"/>
                      <w:lang w:val="en-US"/>
                    </w:rPr>
                  </w:pPr>
                  <w:r>
                    <w:rPr>
                      <w:rFonts w:ascii="Times New Roman" w:hAnsi="Times New Roman" w:eastAsia="等线"/>
                      <w:lang w:val="en-US"/>
                    </w:rPr>
                    <w:t>0.0005</w:t>
                  </w:r>
                </w:p>
              </w:tc>
              <w:tc>
                <w:tcPr>
                  <w:tcW w:w="436" w:type="pct"/>
                  <w:vAlign w:val="center"/>
                </w:tcPr>
                <w:p w14:paraId="4A929174">
                  <w:pPr>
                    <w:pStyle w:val="11"/>
                    <w:snapToGrid w:val="0"/>
                    <w:jc w:val="center"/>
                    <w:rPr>
                      <w:rFonts w:ascii="Times New Roman" w:hAnsi="Times New Roman" w:cs="Courier New"/>
                      <w:lang w:val="en-US"/>
                    </w:rPr>
                  </w:pPr>
                  <w:r>
                    <w:rPr>
                      <w:rFonts w:ascii="Times New Roman" w:hAnsi="Times New Roman" w:eastAsia="等线"/>
                      <w:lang w:val="en-US"/>
                    </w:rPr>
                    <w:t>0.00045</w:t>
                  </w:r>
                </w:p>
              </w:tc>
              <w:tc>
                <w:tcPr>
                  <w:tcW w:w="610" w:type="pct"/>
                  <w:vAlign w:val="center"/>
                </w:tcPr>
                <w:p w14:paraId="73E2DB6A">
                  <w:pPr>
                    <w:pStyle w:val="11"/>
                    <w:snapToGrid w:val="0"/>
                    <w:jc w:val="center"/>
                    <w:rPr>
                      <w:rFonts w:ascii="Times New Roman" w:hAnsi="Times New Roman" w:cs="Courier New"/>
                      <w:lang w:val="en-US"/>
                    </w:rPr>
                  </w:pPr>
                  <w:r>
                    <w:rPr>
                      <w:rFonts w:ascii="Times New Roman" w:hAnsi="Times New Roman" w:eastAsia="等线"/>
                      <w:lang w:val="en-US"/>
                    </w:rPr>
                    <w:t>0.0002</w:t>
                  </w:r>
                </w:p>
              </w:tc>
              <w:tc>
                <w:tcPr>
                  <w:tcW w:w="610" w:type="pct"/>
                  <w:vAlign w:val="center"/>
                </w:tcPr>
                <w:p w14:paraId="61086E43">
                  <w:pPr>
                    <w:pStyle w:val="11"/>
                    <w:snapToGrid w:val="0"/>
                    <w:jc w:val="center"/>
                    <w:rPr>
                      <w:rFonts w:ascii="Times New Roman" w:hAnsi="Times New Roman" w:cs="Courier New"/>
                      <w:lang w:val="en-US"/>
                    </w:rPr>
                  </w:pPr>
                  <w:r>
                    <w:rPr>
                      <w:rFonts w:ascii="Times New Roman" w:hAnsi="Times New Roman" w:eastAsia="等线"/>
                      <w:lang w:val="en-US"/>
                    </w:rPr>
                    <w:t>0.4</w:t>
                  </w:r>
                </w:p>
              </w:tc>
              <w:tc>
                <w:tcPr>
                  <w:tcW w:w="523" w:type="pct"/>
                  <w:vMerge w:val="continue"/>
                  <w:vAlign w:val="center"/>
                </w:tcPr>
                <w:p w14:paraId="1B7AEAD1">
                  <w:pPr>
                    <w:pStyle w:val="11"/>
                    <w:snapToGrid w:val="0"/>
                    <w:jc w:val="center"/>
                    <w:rPr>
                      <w:rFonts w:ascii="Times New Roman" w:hAnsi="Times New Roman" w:cs="Courier New"/>
                      <w:lang w:val="en-US"/>
                    </w:rPr>
                  </w:pPr>
                </w:p>
              </w:tc>
              <w:tc>
                <w:tcPr>
                  <w:tcW w:w="522" w:type="pct"/>
                  <w:vAlign w:val="center"/>
                </w:tcPr>
                <w:p w14:paraId="558F0BAC">
                  <w:pPr>
                    <w:pStyle w:val="11"/>
                    <w:snapToGrid w:val="0"/>
                    <w:jc w:val="center"/>
                    <w:rPr>
                      <w:rFonts w:ascii="Times New Roman" w:hAnsi="Times New Roman" w:cs="Courier New"/>
                      <w:lang w:val="en-US"/>
                    </w:rPr>
                  </w:pPr>
                  <w:r>
                    <w:rPr>
                      <w:rFonts w:ascii="Times New Roman" w:hAnsi="Times New Roman" w:eastAsia="等线"/>
                      <w:lang w:val="en-US"/>
                    </w:rPr>
                    <w:t>0.00001</w:t>
                  </w:r>
                </w:p>
              </w:tc>
              <w:tc>
                <w:tcPr>
                  <w:tcW w:w="610" w:type="pct"/>
                  <w:vAlign w:val="center"/>
                </w:tcPr>
                <w:p w14:paraId="6BBFA4B7">
                  <w:pPr>
                    <w:pStyle w:val="11"/>
                    <w:snapToGrid w:val="0"/>
                    <w:jc w:val="center"/>
                    <w:rPr>
                      <w:rFonts w:ascii="Times New Roman" w:hAnsi="Times New Roman" w:cs="Courier New"/>
                      <w:lang w:val="en-US"/>
                    </w:rPr>
                  </w:pPr>
                  <w:r>
                    <w:rPr>
                      <w:rFonts w:ascii="Times New Roman" w:hAnsi="Times New Roman" w:eastAsia="等线"/>
                      <w:lang w:val="en-US"/>
                    </w:rPr>
                    <w:t>0.00004</w:t>
                  </w:r>
                </w:p>
              </w:tc>
              <w:tc>
                <w:tcPr>
                  <w:tcW w:w="616" w:type="pct"/>
                  <w:vAlign w:val="center"/>
                </w:tcPr>
                <w:p w14:paraId="321EFB84">
                  <w:pPr>
                    <w:pStyle w:val="11"/>
                    <w:snapToGrid w:val="0"/>
                    <w:jc w:val="center"/>
                    <w:rPr>
                      <w:rFonts w:ascii="Times New Roman" w:hAnsi="Times New Roman" w:cs="Courier New"/>
                      <w:lang w:val="en-US"/>
                    </w:rPr>
                  </w:pPr>
                  <w:r>
                    <w:rPr>
                      <w:rFonts w:ascii="Times New Roman" w:hAnsi="Times New Roman" w:eastAsia="等线"/>
                      <w:lang w:val="en-US"/>
                    </w:rPr>
                    <w:t>0.1</w:t>
                  </w:r>
                </w:p>
              </w:tc>
            </w:tr>
            <w:tr w14:paraId="64FE4C0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46" w:type="pct"/>
                  <w:vAlign w:val="center"/>
                </w:tcPr>
                <w:p w14:paraId="472E73AB">
                  <w:pPr>
                    <w:ind w:firstLine="35" w:firstLineChars="17"/>
                    <w:jc w:val="center"/>
                    <w:rPr>
                      <w:szCs w:val="21"/>
                      <w:lang w:val="pt-BR"/>
                    </w:rPr>
                  </w:pPr>
                  <w:r>
                    <w:rPr>
                      <w:rFonts w:hint="eastAsia"/>
                      <w:szCs w:val="21"/>
                    </w:rPr>
                    <w:t>SO</w:t>
                  </w:r>
                  <w:r>
                    <w:rPr>
                      <w:rFonts w:hint="eastAsia"/>
                      <w:szCs w:val="21"/>
                      <w:vertAlign w:val="subscript"/>
                    </w:rPr>
                    <w:t>2</w:t>
                  </w:r>
                </w:p>
              </w:tc>
              <w:tc>
                <w:tcPr>
                  <w:tcW w:w="527" w:type="pct"/>
                  <w:vAlign w:val="center"/>
                </w:tcPr>
                <w:p w14:paraId="5C183040">
                  <w:pPr>
                    <w:pStyle w:val="11"/>
                    <w:snapToGrid w:val="0"/>
                    <w:jc w:val="center"/>
                    <w:rPr>
                      <w:rFonts w:ascii="Times New Roman" w:hAnsi="Times New Roman" w:cs="Courier New"/>
                      <w:lang w:val="en-US"/>
                    </w:rPr>
                  </w:pPr>
                  <w:r>
                    <w:rPr>
                      <w:rFonts w:ascii="Times New Roman" w:hAnsi="Times New Roman" w:eastAsia="等线"/>
                      <w:lang w:val="en-US"/>
                    </w:rPr>
                    <w:t>/</w:t>
                  </w:r>
                </w:p>
              </w:tc>
              <w:tc>
                <w:tcPr>
                  <w:tcW w:w="436" w:type="pct"/>
                  <w:vAlign w:val="center"/>
                </w:tcPr>
                <w:p w14:paraId="26FFEBE1">
                  <w:pPr>
                    <w:pStyle w:val="11"/>
                    <w:snapToGrid w:val="0"/>
                    <w:jc w:val="center"/>
                    <w:rPr>
                      <w:rFonts w:ascii="Times New Roman" w:hAnsi="Times New Roman" w:cs="Courier New"/>
                      <w:lang w:val="en-US"/>
                    </w:rPr>
                  </w:pPr>
                  <w:r>
                    <w:rPr>
                      <w:rFonts w:ascii="Times New Roman" w:hAnsi="Times New Roman" w:eastAsia="等线"/>
                      <w:lang w:val="en-US"/>
                    </w:rPr>
                    <w:t>/</w:t>
                  </w:r>
                </w:p>
              </w:tc>
              <w:tc>
                <w:tcPr>
                  <w:tcW w:w="610" w:type="pct"/>
                  <w:vAlign w:val="center"/>
                </w:tcPr>
                <w:p w14:paraId="4308EE68">
                  <w:pPr>
                    <w:pStyle w:val="11"/>
                    <w:snapToGrid w:val="0"/>
                    <w:jc w:val="center"/>
                    <w:rPr>
                      <w:rFonts w:ascii="Times New Roman" w:hAnsi="Times New Roman" w:cs="Courier New"/>
                      <w:lang w:val="en-US"/>
                    </w:rPr>
                  </w:pPr>
                  <w:r>
                    <w:rPr>
                      <w:rFonts w:ascii="Times New Roman" w:hAnsi="Times New Roman" w:eastAsia="等线"/>
                      <w:lang w:val="en-US"/>
                    </w:rPr>
                    <w:t>/</w:t>
                  </w:r>
                </w:p>
              </w:tc>
              <w:tc>
                <w:tcPr>
                  <w:tcW w:w="610" w:type="pct"/>
                  <w:vAlign w:val="center"/>
                </w:tcPr>
                <w:p w14:paraId="48AED330">
                  <w:pPr>
                    <w:pStyle w:val="11"/>
                    <w:snapToGrid w:val="0"/>
                    <w:jc w:val="center"/>
                    <w:rPr>
                      <w:rFonts w:ascii="Times New Roman" w:hAnsi="Times New Roman" w:cs="Courier New"/>
                      <w:lang w:val="en-US"/>
                    </w:rPr>
                  </w:pPr>
                  <w:r>
                    <w:rPr>
                      <w:rFonts w:ascii="Times New Roman" w:hAnsi="Times New Roman" w:eastAsia="等线"/>
                      <w:lang w:val="en-US"/>
                    </w:rPr>
                    <w:t>/</w:t>
                  </w:r>
                </w:p>
              </w:tc>
              <w:tc>
                <w:tcPr>
                  <w:tcW w:w="523" w:type="pct"/>
                  <w:vMerge w:val="continue"/>
                  <w:vAlign w:val="center"/>
                </w:tcPr>
                <w:p w14:paraId="75E8B63F">
                  <w:pPr>
                    <w:pStyle w:val="11"/>
                    <w:snapToGrid w:val="0"/>
                    <w:jc w:val="center"/>
                    <w:rPr>
                      <w:rFonts w:ascii="Times New Roman" w:hAnsi="Times New Roman" w:cs="Courier New"/>
                      <w:lang w:val="en-US"/>
                    </w:rPr>
                  </w:pPr>
                </w:p>
              </w:tc>
              <w:tc>
                <w:tcPr>
                  <w:tcW w:w="522" w:type="pct"/>
                  <w:vAlign w:val="center"/>
                </w:tcPr>
                <w:p w14:paraId="7BA4789B">
                  <w:pPr>
                    <w:pStyle w:val="11"/>
                    <w:snapToGrid w:val="0"/>
                    <w:jc w:val="center"/>
                    <w:rPr>
                      <w:rFonts w:ascii="Times New Roman" w:hAnsi="Times New Roman" w:cs="Courier New"/>
                      <w:lang w:val="en-US"/>
                    </w:rPr>
                  </w:pPr>
                  <w:r>
                    <w:rPr>
                      <w:rFonts w:ascii="Times New Roman" w:hAnsi="Times New Roman" w:eastAsia="等线"/>
                      <w:lang w:val="en-US"/>
                    </w:rPr>
                    <w:t>0.0009</w:t>
                  </w:r>
                </w:p>
              </w:tc>
              <w:tc>
                <w:tcPr>
                  <w:tcW w:w="610" w:type="pct"/>
                  <w:vAlign w:val="center"/>
                </w:tcPr>
                <w:p w14:paraId="6FB3DDE6">
                  <w:pPr>
                    <w:pStyle w:val="11"/>
                    <w:snapToGrid w:val="0"/>
                    <w:jc w:val="center"/>
                    <w:rPr>
                      <w:rFonts w:ascii="Times New Roman" w:hAnsi="Times New Roman" w:cs="Courier New"/>
                      <w:lang w:val="en-US"/>
                    </w:rPr>
                  </w:pPr>
                  <w:r>
                    <w:rPr>
                      <w:rFonts w:ascii="Times New Roman" w:hAnsi="Times New Roman" w:eastAsia="等线"/>
                      <w:lang w:val="en-US"/>
                    </w:rPr>
                    <w:t>0.0036</w:t>
                  </w:r>
                </w:p>
              </w:tc>
              <w:tc>
                <w:tcPr>
                  <w:tcW w:w="616" w:type="pct"/>
                  <w:vAlign w:val="center"/>
                </w:tcPr>
                <w:p w14:paraId="6254A9AD">
                  <w:pPr>
                    <w:pStyle w:val="11"/>
                    <w:snapToGrid w:val="0"/>
                    <w:jc w:val="center"/>
                    <w:rPr>
                      <w:rFonts w:ascii="Times New Roman" w:hAnsi="Times New Roman" w:cs="Courier New"/>
                      <w:lang w:val="en-US"/>
                    </w:rPr>
                  </w:pPr>
                  <w:r>
                    <w:rPr>
                      <w:rFonts w:ascii="Times New Roman" w:hAnsi="Times New Roman" w:eastAsia="等线"/>
                      <w:lang w:val="en-US"/>
                    </w:rPr>
                    <w:t>7.2</w:t>
                  </w:r>
                </w:p>
              </w:tc>
            </w:tr>
          </w:tbl>
          <w:p w14:paraId="3184AA78">
            <w:pPr>
              <w:adjustRightInd w:val="0"/>
              <w:snapToGrid w:val="0"/>
              <w:ind w:firstLine="420" w:firstLineChars="200"/>
              <w:rPr>
                <w:rFonts w:eastAsia="黑体"/>
                <w:szCs w:val="21"/>
              </w:rPr>
            </w:pPr>
            <w:r>
              <w:rPr>
                <w:rFonts w:eastAsia="黑体"/>
                <w:szCs w:val="21"/>
              </w:rPr>
              <w:t>注：本项目废气收集时间约为</w:t>
            </w:r>
            <w:r>
              <w:rPr>
                <w:rFonts w:hint="eastAsia" w:eastAsia="黑体"/>
                <w:szCs w:val="21"/>
              </w:rPr>
              <w:t>250</w:t>
            </w:r>
            <w:r>
              <w:rPr>
                <w:rFonts w:eastAsia="黑体"/>
                <w:szCs w:val="21"/>
              </w:rPr>
              <w:t>h。</w:t>
            </w:r>
          </w:p>
          <w:p w14:paraId="1AF59041">
            <w:pPr>
              <w:adjustRightInd w:val="0"/>
              <w:snapToGrid w:val="0"/>
              <w:spacing w:line="460" w:lineRule="exact"/>
              <w:ind w:firstLine="480" w:firstLineChars="200"/>
              <w:rPr>
                <w:sz w:val="24"/>
              </w:rPr>
            </w:pPr>
            <w:r>
              <w:rPr>
                <w:rFonts w:hint="eastAsia"/>
                <w:sz w:val="24"/>
              </w:rPr>
              <w:t>本项目建成后排气筒DA025排放情况见下表。</w:t>
            </w:r>
          </w:p>
          <w:p w14:paraId="59ABCEE0">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61</w:t>
            </w:r>
            <w:r>
              <w:rPr>
                <w:rFonts w:eastAsia="黑体"/>
                <w:sz w:val="24"/>
              </w:rPr>
              <w:t xml:space="preserve">  </w:t>
            </w:r>
            <w:r>
              <w:rPr>
                <w:rFonts w:hint="eastAsia" w:eastAsia="黑体"/>
                <w:sz w:val="24"/>
              </w:rPr>
              <w:t xml:space="preserve"> </w:t>
            </w:r>
            <w:r>
              <w:rPr>
                <w:rFonts w:eastAsia="黑体"/>
                <w:sz w:val="24"/>
              </w:rPr>
              <w:t>本项目</w:t>
            </w:r>
            <w:r>
              <w:rPr>
                <w:rFonts w:hint="eastAsia" w:eastAsia="黑体"/>
                <w:sz w:val="24"/>
              </w:rPr>
              <w:t>建成后排气筒DA025</w:t>
            </w:r>
            <w:r>
              <w:rPr>
                <w:rFonts w:eastAsia="黑体"/>
                <w:sz w:val="24"/>
              </w:rPr>
              <w:t>污染物产</w:t>
            </w:r>
            <w:r>
              <w:rPr>
                <w:rFonts w:hint="eastAsia" w:eastAsia="黑体"/>
                <w:sz w:val="24"/>
              </w:rPr>
              <w:t>排</w:t>
            </w:r>
            <w:r>
              <w:rPr>
                <w:rFonts w:eastAsia="黑体"/>
                <w:sz w:val="24"/>
              </w:rPr>
              <w:t>情况一览表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35"/>
              <w:gridCol w:w="1053"/>
              <w:gridCol w:w="851"/>
              <w:gridCol w:w="851"/>
              <w:gridCol w:w="992"/>
              <w:gridCol w:w="1069"/>
              <w:gridCol w:w="724"/>
              <w:gridCol w:w="1017"/>
              <w:gridCol w:w="1043"/>
            </w:tblGrid>
            <w:tr w14:paraId="255FBB9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29" w:type="pct"/>
                  <w:vAlign w:val="center"/>
                </w:tcPr>
                <w:p w14:paraId="4BFCEB03">
                  <w:pPr>
                    <w:widowControl/>
                    <w:jc w:val="center"/>
                    <w:rPr>
                      <w:b/>
                      <w:kern w:val="0"/>
                      <w:szCs w:val="21"/>
                    </w:rPr>
                  </w:pPr>
                  <w:r>
                    <w:rPr>
                      <w:b/>
                      <w:szCs w:val="21"/>
                    </w:rPr>
                    <w:t>污染因子</w:t>
                  </w:r>
                </w:p>
              </w:tc>
              <w:tc>
                <w:tcPr>
                  <w:tcW w:w="647" w:type="pct"/>
                  <w:vAlign w:val="center"/>
                </w:tcPr>
                <w:p w14:paraId="40D0A3B0">
                  <w:pPr>
                    <w:widowControl/>
                    <w:jc w:val="center"/>
                    <w:rPr>
                      <w:b/>
                      <w:kern w:val="0"/>
                      <w:szCs w:val="21"/>
                    </w:rPr>
                  </w:pPr>
                  <w:r>
                    <w:rPr>
                      <w:rFonts w:hint="eastAsia"/>
                      <w:b/>
                      <w:szCs w:val="21"/>
                    </w:rPr>
                    <w:t>项目</w:t>
                  </w:r>
                </w:p>
              </w:tc>
              <w:tc>
                <w:tcPr>
                  <w:tcW w:w="523" w:type="pct"/>
                  <w:vAlign w:val="center"/>
                </w:tcPr>
                <w:p w14:paraId="1F24695C">
                  <w:pPr>
                    <w:widowControl/>
                    <w:jc w:val="center"/>
                    <w:rPr>
                      <w:b/>
                      <w:szCs w:val="21"/>
                    </w:rPr>
                  </w:pPr>
                  <w:r>
                    <w:rPr>
                      <w:b/>
                      <w:szCs w:val="21"/>
                    </w:rPr>
                    <w:t>产生量(t/a)</w:t>
                  </w:r>
                </w:p>
              </w:tc>
              <w:tc>
                <w:tcPr>
                  <w:tcW w:w="523" w:type="pct"/>
                  <w:vAlign w:val="center"/>
                </w:tcPr>
                <w:p w14:paraId="52EAC0C4">
                  <w:pPr>
                    <w:widowControl/>
                    <w:jc w:val="center"/>
                    <w:rPr>
                      <w:b/>
                      <w:szCs w:val="21"/>
                    </w:rPr>
                  </w:pPr>
                  <w:r>
                    <w:rPr>
                      <w:b/>
                      <w:szCs w:val="21"/>
                    </w:rPr>
                    <w:t>收集量(t/a)</w:t>
                  </w:r>
                </w:p>
              </w:tc>
              <w:tc>
                <w:tcPr>
                  <w:tcW w:w="610" w:type="pct"/>
                  <w:vAlign w:val="center"/>
                </w:tcPr>
                <w:p w14:paraId="12F210F3">
                  <w:pPr>
                    <w:widowControl/>
                    <w:jc w:val="center"/>
                    <w:rPr>
                      <w:b/>
                      <w:szCs w:val="21"/>
                    </w:rPr>
                  </w:pPr>
                  <w:r>
                    <w:rPr>
                      <w:b/>
                      <w:szCs w:val="21"/>
                    </w:rPr>
                    <w:t>产生速率(kg/h)</w:t>
                  </w:r>
                </w:p>
              </w:tc>
              <w:tc>
                <w:tcPr>
                  <w:tcW w:w="657" w:type="pct"/>
                  <w:vAlign w:val="center"/>
                </w:tcPr>
                <w:p w14:paraId="4AA128A2">
                  <w:pPr>
                    <w:widowControl/>
                    <w:jc w:val="center"/>
                    <w:rPr>
                      <w:b/>
                      <w:szCs w:val="21"/>
                    </w:rPr>
                  </w:pPr>
                  <w:r>
                    <w:rPr>
                      <w:b/>
                      <w:szCs w:val="21"/>
                    </w:rPr>
                    <w:t>产生浓度(mg/m</w:t>
                  </w:r>
                  <w:r>
                    <w:rPr>
                      <w:b/>
                      <w:szCs w:val="21"/>
                      <w:vertAlign w:val="superscript"/>
                    </w:rPr>
                    <w:t>3</w:t>
                  </w:r>
                  <w:r>
                    <w:rPr>
                      <w:b/>
                      <w:szCs w:val="21"/>
                    </w:rPr>
                    <w:t>)</w:t>
                  </w:r>
                </w:p>
              </w:tc>
              <w:tc>
                <w:tcPr>
                  <w:tcW w:w="445" w:type="pct"/>
                  <w:vAlign w:val="center"/>
                </w:tcPr>
                <w:p w14:paraId="23A0A180">
                  <w:pPr>
                    <w:widowControl/>
                    <w:jc w:val="center"/>
                    <w:rPr>
                      <w:b/>
                      <w:szCs w:val="21"/>
                    </w:rPr>
                  </w:pPr>
                  <w:r>
                    <w:rPr>
                      <w:rFonts w:hint="eastAsia"/>
                      <w:b/>
                      <w:szCs w:val="21"/>
                    </w:rPr>
                    <w:t>排放</w:t>
                  </w:r>
                  <w:r>
                    <w:rPr>
                      <w:b/>
                      <w:szCs w:val="21"/>
                    </w:rPr>
                    <w:t>量(t/a)</w:t>
                  </w:r>
                </w:p>
              </w:tc>
              <w:tc>
                <w:tcPr>
                  <w:tcW w:w="625" w:type="pct"/>
                  <w:vAlign w:val="center"/>
                </w:tcPr>
                <w:p w14:paraId="64606C63">
                  <w:pPr>
                    <w:widowControl/>
                    <w:jc w:val="center"/>
                    <w:rPr>
                      <w:b/>
                      <w:szCs w:val="21"/>
                    </w:rPr>
                  </w:pPr>
                  <w:r>
                    <w:rPr>
                      <w:rFonts w:hint="eastAsia"/>
                      <w:b/>
                      <w:szCs w:val="21"/>
                    </w:rPr>
                    <w:t>排放</w:t>
                  </w:r>
                  <w:r>
                    <w:rPr>
                      <w:b/>
                      <w:szCs w:val="21"/>
                    </w:rPr>
                    <w:t>速率(kg/h)</w:t>
                  </w:r>
                </w:p>
              </w:tc>
              <w:tc>
                <w:tcPr>
                  <w:tcW w:w="641" w:type="pct"/>
                  <w:vAlign w:val="center"/>
                </w:tcPr>
                <w:p w14:paraId="622AF757">
                  <w:pPr>
                    <w:widowControl/>
                    <w:jc w:val="center"/>
                    <w:rPr>
                      <w:b/>
                      <w:szCs w:val="21"/>
                    </w:rPr>
                  </w:pPr>
                  <w:r>
                    <w:rPr>
                      <w:rFonts w:hint="eastAsia"/>
                      <w:b/>
                      <w:szCs w:val="21"/>
                    </w:rPr>
                    <w:t>排放</w:t>
                  </w:r>
                  <w:r>
                    <w:rPr>
                      <w:b/>
                      <w:szCs w:val="21"/>
                    </w:rPr>
                    <w:t>浓度(mg/m</w:t>
                  </w:r>
                  <w:r>
                    <w:rPr>
                      <w:b/>
                      <w:szCs w:val="21"/>
                      <w:vertAlign w:val="superscript"/>
                    </w:rPr>
                    <w:t>3</w:t>
                  </w:r>
                  <w:r>
                    <w:rPr>
                      <w:b/>
                      <w:szCs w:val="21"/>
                    </w:rPr>
                    <w:t>)</w:t>
                  </w:r>
                </w:p>
              </w:tc>
            </w:tr>
            <w:tr w14:paraId="3919E03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29" w:type="pct"/>
                  <w:vMerge w:val="restart"/>
                  <w:vAlign w:val="center"/>
                </w:tcPr>
                <w:p w14:paraId="64AC7AC7">
                  <w:pPr>
                    <w:ind w:firstLine="35" w:firstLineChars="17"/>
                    <w:jc w:val="center"/>
                    <w:rPr>
                      <w:szCs w:val="21"/>
                      <w:lang w:val="pt-BR"/>
                    </w:rPr>
                  </w:pPr>
                  <w:r>
                    <w:rPr>
                      <w:rFonts w:hint="eastAsia"/>
                      <w:szCs w:val="21"/>
                      <w:lang w:val="pt-BR"/>
                    </w:rPr>
                    <w:t>非甲烷总烃</w:t>
                  </w:r>
                </w:p>
              </w:tc>
              <w:tc>
                <w:tcPr>
                  <w:tcW w:w="647" w:type="pct"/>
                  <w:vAlign w:val="center"/>
                </w:tcPr>
                <w:p w14:paraId="47EF05D9">
                  <w:pPr>
                    <w:ind w:firstLine="35" w:firstLineChars="17"/>
                    <w:jc w:val="center"/>
                    <w:rPr>
                      <w:szCs w:val="21"/>
                      <w:lang w:val="pt-BR"/>
                    </w:rPr>
                  </w:pPr>
                  <w:r>
                    <w:rPr>
                      <w:rFonts w:hint="eastAsia"/>
                      <w:szCs w:val="21"/>
                      <w:lang w:val="pt-BR"/>
                    </w:rPr>
                    <w:t>本项目</w:t>
                  </w:r>
                </w:p>
              </w:tc>
              <w:tc>
                <w:tcPr>
                  <w:tcW w:w="523" w:type="pct"/>
                  <w:vAlign w:val="center"/>
                </w:tcPr>
                <w:p w14:paraId="37C042B4">
                  <w:pPr>
                    <w:pStyle w:val="11"/>
                    <w:snapToGrid w:val="0"/>
                    <w:jc w:val="center"/>
                    <w:rPr>
                      <w:rFonts w:ascii="Times New Roman" w:hAnsi="Times New Roman" w:cs="Courier New"/>
                      <w:lang w:val="en-US"/>
                    </w:rPr>
                  </w:pPr>
                  <w:r>
                    <w:rPr>
                      <w:rFonts w:ascii="Times New Roman" w:hAnsi="Times New Roman" w:eastAsia="等线"/>
                    </w:rPr>
                    <w:t>0.001</w:t>
                  </w:r>
                </w:p>
              </w:tc>
              <w:tc>
                <w:tcPr>
                  <w:tcW w:w="523" w:type="pct"/>
                  <w:vAlign w:val="center"/>
                </w:tcPr>
                <w:p w14:paraId="65CBCA4E">
                  <w:pPr>
                    <w:pStyle w:val="11"/>
                    <w:snapToGrid w:val="0"/>
                    <w:jc w:val="center"/>
                    <w:rPr>
                      <w:rFonts w:ascii="Times New Roman" w:hAnsi="Times New Roman" w:cs="Courier New"/>
                      <w:lang w:val="en-US"/>
                    </w:rPr>
                  </w:pPr>
                  <w:r>
                    <w:rPr>
                      <w:rFonts w:ascii="Times New Roman" w:hAnsi="Times New Roman" w:eastAsia="等线"/>
                    </w:rPr>
                    <w:t>0.0009</w:t>
                  </w:r>
                </w:p>
              </w:tc>
              <w:tc>
                <w:tcPr>
                  <w:tcW w:w="610" w:type="pct"/>
                  <w:vAlign w:val="center"/>
                </w:tcPr>
                <w:p w14:paraId="561D0726">
                  <w:pPr>
                    <w:pStyle w:val="11"/>
                    <w:snapToGrid w:val="0"/>
                    <w:jc w:val="center"/>
                    <w:rPr>
                      <w:rFonts w:ascii="Times New Roman" w:hAnsi="Times New Roman" w:cs="Courier New"/>
                      <w:lang w:val="en-US"/>
                    </w:rPr>
                  </w:pPr>
                  <w:r>
                    <w:rPr>
                      <w:rFonts w:ascii="Times New Roman" w:hAnsi="Times New Roman" w:eastAsia="等线"/>
                    </w:rPr>
                    <w:t>0.0036</w:t>
                  </w:r>
                </w:p>
              </w:tc>
              <w:tc>
                <w:tcPr>
                  <w:tcW w:w="657" w:type="pct"/>
                  <w:vAlign w:val="center"/>
                </w:tcPr>
                <w:p w14:paraId="767F1DD7">
                  <w:pPr>
                    <w:pStyle w:val="11"/>
                    <w:snapToGrid w:val="0"/>
                    <w:jc w:val="center"/>
                    <w:rPr>
                      <w:rFonts w:ascii="Times New Roman" w:hAnsi="Times New Roman" w:cs="Courier New"/>
                      <w:lang w:val="en-US"/>
                    </w:rPr>
                  </w:pPr>
                  <w:r>
                    <w:rPr>
                      <w:rFonts w:ascii="Times New Roman" w:hAnsi="Times New Roman" w:eastAsia="等线"/>
                    </w:rPr>
                    <w:t>0.24</w:t>
                  </w:r>
                </w:p>
              </w:tc>
              <w:tc>
                <w:tcPr>
                  <w:tcW w:w="445" w:type="pct"/>
                  <w:vMerge w:val="restart"/>
                  <w:vAlign w:val="center"/>
                </w:tcPr>
                <w:p w14:paraId="05A8C97B">
                  <w:pPr>
                    <w:pStyle w:val="11"/>
                    <w:snapToGrid w:val="0"/>
                    <w:jc w:val="center"/>
                    <w:rPr>
                      <w:rFonts w:ascii="Times New Roman" w:hAnsi="Times New Roman" w:cs="Courier New"/>
                      <w:lang w:val="en-US"/>
                    </w:rPr>
                  </w:pPr>
                  <w:r>
                    <w:rPr>
                      <w:rFonts w:hint="eastAsia" w:ascii="Times New Roman" w:hAnsi="Times New Roman" w:cs="Courier New"/>
                      <w:lang w:val="en-US"/>
                    </w:rPr>
                    <w:t>0.0031</w:t>
                  </w:r>
                </w:p>
              </w:tc>
              <w:tc>
                <w:tcPr>
                  <w:tcW w:w="625" w:type="pct"/>
                  <w:vMerge w:val="restart"/>
                  <w:vAlign w:val="center"/>
                </w:tcPr>
                <w:p w14:paraId="37461747">
                  <w:pPr>
                    <w:pStyle w:val="11"/>
                    <w:snapToGrid w:val="0"/>
                    <w:jc w:val="center"/>
                    <w:rPr>
                      <w:rFonts w:ascii="Times New Roman" w:hAnsi="Times New Roman" w:cs="Courier New"/>
                      <w:lang w:val="en-US"/>
                    </w:rPr>
                  </w:pPr>
                  <w:r>
                    <w:rPr>
                      <w:rFonts w:hint="eastAsia" w:ascii="Times New Roman" w:hAnsi="Times New Roman" w:cs="Courier New"/>
                      <w:lang w:val="en-US"/>
                    </w:rPr>
                    <w:t>0.0124</w:t>
                  </w:r>
                </w:p>
              </w:tc>
              <w:tc>
                <w:tcPr>
                  <w:tcW w:w="641" w:type="pct"/>
                  <w:vMerge w:val="restart"/>
                  <w:vAlign w:val="center"/>
                </w:tcPr>
                <w:p w14:paraId="16F7BCFC">
                  <w:pPr>
                    <w:pStyle w:val="11"/>
                    <w:snapToGrid w:val="0"/>
                    <w:jc w:val="center"/>
                    <w:rPr>
                      <w:rFonts w:ascii="Times New Roman" w:hAnsi="Times New Roman" w:cs="Courier New"/>
                      <w:lang w:val="en-US"/>
                    </w:rPr>
                  </w:pPr>
                  <w:r>
                    <w:rPr>
                      <w:rFonts w:hint="eastAsia" w:ascii="Times New Roman" w:hAnsi="Times New Roman" w:cs="Courier New"/>
                      <w:lang w:val="en-US"/>
                    </w:rPr>
                    <w:t>0.84</w:t>
                  </w:r>
                </w:p>
              </w:tc>
            </w:tr>
            <w:tr w14:paraId="48C7228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29" w:type="pct"/>
                  <w:vMerge w:val="continue"/>
                  <w:vAlign w:val="center"/>
                </w:tcPr>
                <w:p w14:paraId="30BC9C6A">
                  <w:pPr>
                    <w:ind w:firstLine="35" w:firstLineChars="17"/>
                    <w:jc w:val="center"/>
                    <w:rPr>
                      <w:szCs w:val="21"/>
                      <w:lang w:val="pt-BR"/>
                    </w:rPr>
                  </w:pPr>
                </w:p>
              </w:tc>
              <w:tc>
                <w:tcPr>
                  <w:tcW w:w="647" w:type="pct"/>
                  <w:vAlign w:val="center"/>
                </w:tcPr>
                <w:p w14:paraId="203EE9CC">
                  <w:pPr>
                    <w:ind w:firstLine="35" w:firstLineChars="17"/>
                    <w:jc w:val="center"/>
                    <w:rPr>
                      <w:szCs w:val="21"/>
                      <w:lang w:val="pt-BR"/>
                    </w:rPr>
                  </w:pPr>
                  <w:r>
                    <w:rPr>
                      <w:rFonts w:hint="eastAsia"/>
                      <w:szCs w:val="21"/>
                      <w:lang w:val="pt-BR"/>
                    </w:rPr>
                    <w:t>现有项目</w:t>
                  </w:r>
                </w:p>
              </w:tc>
              <w:tc>
                <w:tcPr>
                  <w:tcW w:w="523" w:type="pct"/>
                  <w:vAlign w:val="center"/>
                </w:tcPr>
                <w:p w14:paraId="289C0A82">
                  <w:pPr>
                    <w:pStyle w:val="11"/>
                    <w:snapToGrid w:val="0"/>
                    <w:jc w:val="center"/>
                    <w:rPr>
                      <w:rFonts w:ascii="Times New Roman" w:hAnsi="Times New Roman" w:cs="Courier New"/>
                      <w:lang w:val="en-US"/>
                    </w:rPr>
                  </w:pPr>
                  <w:r>
                    <w:rPr>
                      <w:rFonts w:ascii="Times New Roman" w:hAnsi="Times New Roman" w:eastAsia="等线"/>
                    </w:rPr>
                    <w:t>0.0372</w:t>
                  </w:r>
                </w:p>
              </w:tc>
              <w:tc>
                <w:tcPr>
                  <w:tcW w:w="523" w:type="pct"/>
                  <w:vAlign w:val="center"/>
                </w:tcPr>
                <w:p w14:paraId="054BD713">
                  <w:pPr>
                    <w:pStyle w:val="11"/>
                    <w:snapToGrid w:val="0"/>
                    <w:jc w:val="center"/>
                    <w:rPr>
                      <w:rFonts w:ascii="Times New Roman" w:hAnsi="Times New Roman" w:cs="Courier New"/>
                      <w:lang w:val="en-US"/>
                    </w:rPr>
                  </w:pPr>
                  <w:r>
                    <w:rPr>
                      <w:rFonts w:ascii="Times New Roman" w:hAnsi="Times New Roman" w:eastAsia="等线"/>
                    </w:rPr>
                    <w:t>0.0335</w:t>
                  </w:r>
                </w:p>
              </w:tc>
              <w:tc>
                <w:tcPr>
                  <w:tcW w:w="610" w:type="pct"/>
                  <w:vAlign w:val="center"/>
                </w:tcPr>
                <w:p w14:paraId="4986B012">
                  <w:pPr>
                    <w:pStyle w:val="11"/>
                    <w:snapToGrid w:val="0"/>
                    <w:jc w:val="center"/>
                    <w:rPr>
                      <w:rFonts w:ascii="Times New Roman" w:hAnsi="Times New Roman" w:cs="Courier New"/>
                      <w:lang w:val="en-US"/>
                    </w:rPr>
                  </w:pPr>
                  <w:r>
                    <w:rPr>
                      <w:rFonts w:ascii="Times New Roman" w:hAnsi="Times New Roman" w:eastAsia="等线"/>
                    </w:rPr>
                    <w:t>0.134</w:t>
                  </w:r>
                </w:p>
              </w:tc>
              <w:tc>
                <w:tcPr>
                  <w:tcW w:w="657" w:type="pct"/>
                  <w:vAlign w:val="center"/>
                </w:tcPr>
                <w:p w14:paraId="3867905A">
                  <w:pPr>
                    <w:pStyle w:val="11"/>
                    <w:snapToGrid w:val="0"/>
                    <w:jc w:val="center"/>
                    <w:rPr>
                      <w:rFonts w:ascii="Times New Roman" w:hAnsi="Times New Roman" w:cs="Courier New"/>
                      <w:lang w:val="en-US"/>
                    </w:rPr>
                  </w:pPr>
                  <w:r>
                    <w:rPr>
                      <w:rFonts w:ascii="Times New Roman" w:hAnsi="Times New Roman" w:eastAsia="等线"/>
                    </w:rPr>
                    <w:t>9.1</w:t>
                  </w:r>
                </w:p>
              </w:tc>
              <w:tc>
                <w:tcPr>
                  <w:tcW w:w="445" w:type="pct"/>
                  <w:vMerge w:val="continue"/>
                  <w:vAlign w:val="center"/>
                </w:tcPr>
                <w:p w14:paraId="7819A003">
                  <w:pPr>
                    <w:pStyle w:val="11"/>
                    <w:snapToGrid w:val="0"/>
                    <w:jc w:val="center"/>
                    <w:rPr>
                      <w:rFonts w:ascii="Times New Roman" w:hAnsi="Times New Roman" w:cs="Courier New"/>
                      <w:lang w:val="en-US"/>
                    </w:rPr>
                  </w:pPr>
                </w:p>
              </w:tc>
              <w:tc>
                <w:tcPr>
                  <w:tcW w:w="625" w:type="pct"/>
                  <w:vMerge w:val="continue"/>
                  <w:vAlign w:val="center"/>
                </w:tcPr>
                <w:p w14:paraId="0A1C92B2">
                  <w:pPr>
                    <w:pStyle w:val="11"/>
                    <w:snapToGrid w:val="0"/>
                    <w:jc w:val="center"/>
                    <w:rPr>
                      <w:rFonts w:ascii="Times New Roman" w:hAnsi="Times New Roman" w:cs="Courier New"/>
                      <w:lang w:val="en-US"/>
                    </w:rPr>
                  </w:pPr>
                </w:p>
              </w:tc>
              <w:tc>
                <w:tcPr>
                  <w:tcW w:w="641" w:type="pct"/>
                  <w:vMerge w:val="continue"/>
                  <w:vAlign w:val="center"/>
                </w:tcPr>
                <w:p w14:paraId="05347708">
                  <w:pPr>
                    <w:pStyle w:val="11"/>
                    <w:snapToGrid w:val="0"/>
                    <w:jc w:val="center"/>
                    <w:rPr>
                      <w:rFonts w:ascii="Times New Roman" w:hAnsi="Times New Roman" w:cs="Courier New"/>
                      <w:lang w:val="en-US"/>
                    </w:rPr>
                  </w:pPr>
                </w:p>
              </w:tc>
            </w:tr>
            <w:tr w14:paraId="70ECB43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329" w:type="pct"/>
                  <w:vMerge w:val="restart"/>
                  <w:vAlign w:val="center"/>
                </w:tcPr>
                <w:p w14:paraId="1EA454B8">
                  <w:pPr>
                    <w:ind w:firstLine="35" w:firstLineChars="17"/>
                    <w:jc w:val="center"/>
                    <w:rPr>
                      <w:szCs w:val="21"/>
                      <w:lang w:val="pt-BR"/>
                    </w:rPr>
                  </w:pPr>
                  <w:r>
                    <w:rPr>
                      <w:rFonts w:hint="eastAsia"/>
                      <w:szCs w:val="21"/>
                      <w:lang w:val="pt-BR"/>
                    </w:rPr>
                    <w:t>硫化氢</w:t>
                  </w:r>
                </w:p>
              </w:tc>
              <w:tc>
                <w:tcPr>
                  <w:tcW w:w="647" w:type="pct"/>
                  <w:vAlign w:val="center"/>
                </w:tcPr>
                <w:p w14:paraId="2152D88F">
                  <w:pPr>
                    <w:ind w:firstLine="35" w:firstLineChars="17"/>
                    <w:jc w:val="center"/>
                    <w:rPr>
                      <w:szCs w:val="21"/>
                      <w:lang w:val="pt-BR"/>
                    </w:rPr>
                  </w:pPr>
                  <w:r>
                    <w:rPr>
                      <w:rFonts w:hint="eastAsia"/>
                      <w:szCs w:val="21"/>
                      <w:lang w:val="pt-BR"/>
                    </w:rPr>
                    <w:t>本项目</w:t>
                  </w:r>
                </w:p>
              </w:tc>
              <w:tc>
                <w:tcPr>
                  <w:tcW w:w="523" w:type="pct"/>
                  <w:vAlign w:val="center"/>
                </w:tcPr>
                <w:p w14:paraId="024AA4E5">
                  <w:pPr>
                    <w:pStyle w:val="11"/>
                    <w:snapToGrid w:val="0"/>
                    <w:jc w:val="center"/>
                    <w:rPr>
                      <w:rFonts w:ascii="Times New Roman" w:hAnsi="Times New Roman" w:cs="Courier New"/>
                      <w:lang w:val="en-US"/>
                    </w:rPr>
                  </w:pPr>
                  <w:r>
                    <w:rPr>
                      <w:rFonts w:ascii="Times New Roman" w:hAnsi="Times New Roman" w:eastAsia="等线"/>
                    </w:rPr>
                    <w:t>0.0005</w:t>
                  </w:r>
                </w:p>
              </w:tc>
              <w:tc>
                <w:tcPr>
                  <w:tcW w:w="523" w:type="pct"/>
                  <w:vAlign w:val="center"/>
                </w:tcPr>
                <w:p w14:paraId="04A4887D">
                  <w:pPr>
                    <w:pStyle w:val="11"/>
                    <w:snapToGrid w:val="0"/>
                    <w:jc w:val="center"/>
                    <w:rPr>
                      <w:rFonts w:ascii="Times New Roman" w:hAnsi="Times New Roman" w:cs="Courier New"/>
                      <w:lang w:val="en-US"/>
                    </w:rPr>
                  </w:pPr>
                  <w:r>
                    <w:rPr>
                      <w:rFonts w:ascii="Times New Roman" w:hAnsi="Times New Roman" w:eastAsia="等线"/>
                    </w:rPr>
                    <w:t>0.00045</w:t>
                  </w:r>
                </w:p>
              </w:tc>
              <w:tc>
                <w:tcPr>
                  <w:tcW w:w="610" w:type="pct"/>
                  <w:vAlign w:val="center"/>
                </w:tcPr>
                <w:p w14:paraId="3714C5BB">
                  <w:pPr>
                    <w:pStyle w:val="11"/>
                    <w:snapToGrid w:val="0"/>
                    <w:jc w:val="center"/>
                    <w:rPr>
                      <w:rFonts w:ascii="Times New Roman" w:hAnsi="Times New Roman" w:cs="Courier New"/>
                      <w:lang w:val="en-US"/>
                    </w:rPr>
                  </w:pPr>
                  <w:r>
                    <w:rPr>
                      <w:rFonts w:ascii="Times New Roman" w:hAnsi="Times New Roman" w:eastAsia="等线"/>
                    </w:rPr>
                    <w:t>0.0002</w:t>
                  </w:r>
                </w:p>
              </w:tc>
              <w:tc>
                <w:tcPr>
                  <w:tcW w:w="657" w:type="pct"/>
                  <w:vAlign w:val="center"/>
                </w:tcPr>
                <w:p w14:paraId="18A93F6E">
                  <w:pPr>
                    <w:pStyle w:val="11"/>
                    <w:snapToGrid w:val="0"/>
                    <w:jc w:val="center"/>
                    <w:rPr>
                      <w:rFonts w:ascii="Times New Roman" w:hAnsi="Times New Roman" w:cs="Courier New"/>
                      <w:lang w:val="en-US"/>
                    </w:rPr>
                  </w:pPr>
                  <w:r>
                    <w:rPr>
                      <w:rFonts w:ascii="Times New Roman" w:hAnsi="Times New Roman" w:eastAsia="等线"/>
                    </w:rPr>
                    <w:t>0.01</w:t>
                  </w:r>
                </w:p>
              </w:tc>
              <w:tc>
                <w:tcPr>
                  <w:tcW w:w="445" w:type="pct"/>
                  <w:vMerge w:val="restart"/>
                  <w:vAlign w:val="center"/>
                </w:tcPr>
                <w:p w14:paraId="2FF322D9">
                  <w:pPr>
                    <w:pStyle w:val="11"/>
                    <w:snapToGrid w:val="0"/>
                    <w:jc w:val="center"/>
                    <w:rPr>
                      <w:rFonts w:ascii="Times New Roman" w:hAnsi="Times New Roman" w:cs="Courier New"/>
                      <w:lang w:val="en-US"/>
                    </w:rPr>
                  </w:pPr>
                  <w:r>
                    <w:rPr>
                      <w:rFonts w:hint="eastAsia" w:ascii="Times New Roman" w:hAnsi="Times New Roman" w:cs="Courier New"/>
                      <w:lang w:val="en-US"/>
                    </w:rPr>
                    <w:t>0.0005</w:t>
                  </w:r>
                </w:p>
              </w:tc>
              <w:tc>
                <w:tcPr>
                  <w:tcW w:w="625" w:type="pct"/>
                  <w:vMerge w:val="restart"/>
                  <w:vAlign w:val="center"/>
                </w:tcPr>
                <w:p w14:paraId="1D8CA80A">
                  <w:pPr>
                    <w:pStyle w:val="11"/>
                    <w:snapToGrid w:val="0"/>
                    <w:jc w:val="center"/>
                    <w:rPr>
                      <w:rFonts w:ascii="Times New Roman" w:hAnsi="Times New Roman" w:cs="Courier New"/>
                      <w:lang w:val="en-US"/>
                    </w:rPr>
                  </w:pPr>
                  <w:r>
                    <w:rPr>
                      <w:rFonts w:hint="eastAsia" w:ascii="Times New Roman" w:hAnsi="Times New Roman" w:cs="Courier New"/>
                      <w:lang w:val="en-US"/>
                    </w:rPr>
                    <w:t>0.002</w:t>
                  </w:r>
                </w:p>
              </w:tc>
              <w:tc>
                <w:tcPr>
                  <w:tcW w:w="641" w:type="pct"/>
                  <w:vMerge w:val="restart"/>
                  <w:vAlign w:val="center"/>
                </w:tcPr>
                <w:p w14:paraId="38174CDE">
                  <w:pPr>
                    <w:pStyle w:val="11"/>
                    <w:snapToGrid w:val="0"/>
                    <w:jc w:val="center"/>
                    <w:rPr>
                      <w:rFonts w:ascii="Times New Roman" w:hAnsi="Times New Roman" w:cs="Courier New"/>
                      <w:lang w:val="en-US"/>
                    </w:rPr>
                  </w:pPr>
                  <w:r>
                    <w:rPr>
                      <w:rFonts w:hint="eastAsia" w:ascii="Times New Roman" w:hAnsi="Times New Roman" w:cs="Courier New"/>
                      <w:lang w:val="en-US"/>
                    </w:rPr>
                    <w:t>0.14</w:t>
                  </w:r>
                </w:p>
              </w:tc>
            </w:tr>
            <w:tr w14:paraId="0C60B9B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29" w:type="pct"/>
                  <w:vMerge w:val="continue"/>
                  <w:vAlign w:val="center"/>
                </w:tcPr>
                <w:p w14:paraId="5AE3E8DF">
                  <w:pPr>
                    <w:ind w:firstLine="35" w:firstLineChars="17"/>
                    <w:jc w:val="center"/>
                    <w:rPr>
                      <w:szCs w:val="21"/>
                      <w:lang w:val="pt-BR"/>
                    </w:rPr>
                  </w:pPr>
                </w:p>
              </w:tc>
              <w:tc>
                <w:tcPr>
                  <w:tcW w:w="647" w:type="pct"/>
                  <w:vAlign w:val="center"/>
                </w:tcPr>
                <w:p w14:paraId="746993F7">
                  <w:pPr>
                    <w:ind w:firstLine="35" w:firstLineChars="17"/>
                    <w:jc w:val="center"/>
                    <w:rPr>
                      <w:szCs w:val="21"/>
                      <w:lang w:val="pt-BR"/>
                    </w:rPr>
                  </w:pPr>
                  <w:r>
                    <w:rPr>
                      <w:rFonts w:hint="eastAsia"/>
                      <w:szCs w:val="21"/>
                      <w:lang w:val="pt-BR"/>
                    </w:rPr>
                    <w:t>现有项目</w:t>
                  </w:r>
                </w:p>
              </w:tc>
              <w:tc>
                <w:tcPr>
                  <w:tcW w:w="523" w:type="pct"/>
                  <w:vAlign w:val="center"/>
                </w:tcPr>
                <w:p w14:paraId="115E6C96">
                  <w:pPr>
                    <w:pStyle w:val="11"/>
                    <w:snapToGrid w:val="0"/>
                    <w:jc w:val="center"/>
                    <w:rPr>
                      <w:rFonts w:ascii="Times New Roman" w:hAnsi="Times New Roman" w:cs="Courier New"/>
                      <w:lang w:val="en-US"/>
                    </w:rPr>
                  </w:pPr>
                  <w:r>
                    <w:rPr>
                      <w:rFonts w:ascii="Times New Roman" w:hAnsi="Times New Roman" w:eastAsia="等线"/>
                    </w:rPr>
                    <w:t>0.0208</w:t>
                  </w:r>
                </w:p>
              </w:tc>
              <w:tc>
                <w:tcPr>
                  <w:tcW w:w="523" w:type="pct"/>
                  <w:vAlign w:val="center"/>
                </w:tcPr>
                <w:p w14:paraId="6E7861B9">
                  <w:pPr>
                    <w:pStyle w:val="11"/>
                    <w:snapToGrid w:val="0"/>
                    <w:jc w:val="center"/>
                    <w:rPr>
                      <w:rFonts w:ascii="Times New Roman" w:hAnsi="Times New Roman" w:cs="Courier New"/>
                      <w:lang w:val="en-US"/>
                    </w:rPr>
                  </w:pPr>
                  <w:r>
                    <w:rPr>
                      <w:rFonts w:ascii="Times New Roman" w:hAnsi="Times New Roman" w:eastAsia="等线"/>
                    </w:rPr>
                    <w:t>0.01872</w:t>
                  </w:r>
                </w:p>
              </w:tc>
              <w:tc>
                <w:tcPr>
                  <w:tcW w:w="610" w:type="pct"/>
                  <w:vAlign w:val="center"/>
                </w:tcPr>
                <w:p w14:paraId="1B49EEFE">
                  <w:pPr>
                    <w:pStyle w:val="11"/>
                    <w:snapToGrid w:val="0"/>
                    <w:jc w:val="center"/>
                    <w:rPr>
                      <w:rFonts w:ascii="Times New Roman" w:hAnsi="Times New Roman" w:cs="Courier New"/>
                      <w:lang w:val="en-US"/>
                    </w:rPr>
                  </w:pPr>
                  <w:r>
                    <w:rPr>
                      <w:rFonts w:ascii="Times New Roman" w:hAnsi="Times New Roman" w:eastAsia="等线"/>
                    </w:rPr>
                    <w:t>0.0767</w:t>
                  </w:r>
                </w:p>
              </w:tc>
              <w:tc>
                <w:tcPr>
                  <w:tcW w:w="657" w:type="pct"/>
                  <w:vAlign w:val="center"/>
                </w:tcPr>
                <w:p w14:paraId="1DEE9724">
                  <w:pPr>
                    <w:pStyle w:val="11"/>
                    <w:snapToGrid w:val="0"/>
                    <w:jc w:val="center"/>
                    <w:rPr>
                      <w:rFonts w:ascii="Times New Roman" w:hAnsi="Times New Roman" w:cs="Courier New"/>
                      <w:lang w:val="en-US"/>
                    </w:rPr>
                  </w:pPr>
                  <w:r>
                    <w:rPr>
                      <w:rFonts w:ascii="Times New Roman" w:hAnsi="Times New Roman" w:eastAsia="等线"/>
                    </w:rPr>
                    <w:t>5.2</w:t>
                  </w:r>
                </w:p>
              </w:tc>
              <w:tc>
                <w:tcPr>
                  <w:tcW w:w="445" w:type="pct"/>
                  <w:vMerge w:val="continue"/>
                  <w:vAlign w:val="center"/>
                </w:tcPr>
                <w:p w14:paraId="65290FBA">
                  <w:pPr>
                    <w:pStyle w:val="11"/>
                    <w:snapToGrid w:val="0"/>
                    <w:jc w:val="center"/>
                    <w:rPr>
                      <w:rFonts w:ascii="Times New Roman" w:hAnsi="Times New Roman" w:cs="Courier New"/>
                      <w:lang w:val="en-US"/>
                    </w:rPr>
                  </w:pPr>
                </w:p>
              </w:tc>
              <w:tc>
                <w:tcPr>
                  <w:tcW w:w="625" w:type="pct"/>
                  <w:vMerge w:val="continue"/>
                  <w:vAlign w:val="center"/>
                </w:tcPr>
                <w:p w14:paraId="734D2FA1">
                  <w:pPr>
                    <w:pStyle w:val="11"/>
                    <w:snapToGrid w:val="0"/>
                    <w:jc w:val="center"/>
                    <w:rPr>
                      <w:rFonts w:ascii="Times New Roman" w:hAnsi="Times New Roman" w:cs="Courier New"/>
                      <w:lang w:val="en-US"/>
                    </w:rPr>
                  </w:pPr>
                </w:p>
              </w:tc>
              <w:tc>
                <w:tcPr>
                  <w:tcW w:w="641" w:type="pct"/>
                  <w:vMerge w:val="continue"/>
                  <w:vAlign w:val="center"/>
                </w:tcPr>
                <w:p w14:paraId="73292441">
                  <w:pPr>
                    <w:pStyle w:val="11"/>
                    <w:snapToGrid w:val="0"/>
                    <w:jc w:val="center"/>
                    <w:rPr>
                      <w:rFonts w:ascii="Times New Roman" w:hAnsi="Times New Roman" w:cs="Courier New"/>
                      <w:lang w:val="en-US"/>
                    </w:rPr>
                  </w:pPr>
                </w:p>
              </w:tc>
            </w:tr>
            <w:tr w14:paraId="787768A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29" w:type="pct"/>
                  <w:vMerge w:val="restart"/>
                  <w:vAlign w:val="center"/>
                </w:tcPr>
                <w:p w14:paraId="7F8ACB5B">
                  <w:pPr>
                    <w:ind w:firstLine="35" w:firstLineChars="17"/>
                    <w:jc w:val="center"/>
                    <w:rPr>
                      <w:szCs w:val="21"/>
                      <w:lang w:val="pt-BR"/>
                    </w:rPr>
                  </w:pPr>
                  <w:r>
                    <w:rPr>
                      <w:rFonts w:hint="eastAsia"/>
                      <w:szCs w:val="21"/>
                    </w:rPr>
                    <w:t>SO</w:t>
                  </w:r>
                  <w:r>
                    <w:rPr>
                      <w:rFonts w:hint="eastAsia"/>
                      <w:szCs w:val="21"/>
                      <w:vertAlign w:val="subscript"/>
                    </w:rPr>
                    <w:t>2</w:t>
                  </w:r>
                </w:p>
              </w:tc>
              <w:tc>
                <w:tcPr>
                  <w:tcW w:w="647" w:type="pct"/>
                  <w:vAlign w:val="center"/>
                </w:tcPr>
                <w:p w14:paraId="0AA86D21">
                  <w:pPr>
                    <w:ind w:firstLine="35" w:firstLineChars="17"/>
                    <w:jc w:val="center"/>
                    <w:rPr>
                      <w:szCs w:val="21"/>
                      <w:lang w:val="pt-BR"/>
                    </w:rPr>
                  </w:pPr>
                  <w:r>
                    <w:rPr>
                      <w:rFonts w:hint="eastAsia"/>
                      <w:szCs w:val="21"/>
                      <w:lang w:val="pt-BR"/>
                    </w:rPr>
                    <w:t>本项目</w:t>
                  </w:r>
                </w:p>
              </w:tc>
              <w:tc>
                <w:tcPr>
                  <w:tcW w:w="523" w:type="pct"/>
                  <w:vAlign w:val="center"/>
                </w:tcPr>
                <w:p w14:paraId="7A6F4342">
                  <w:pPr>
                    <w:pStyle w:val="11"/>
                    <w:snapToGrid w:val="0"/>
                    <w:jc w:val="center"/>
                    <w:rPr>
                      <w:rFonts w:ascii="Times New Roman" w:hAnsi="Times New Roman" w:cs="Courier New"/>
                      <w:lang w:val="en-US"/>
                    </w:rPr>
                  </w:pPr>
                  <w:r>
                    <w:rPr>
                      <w:rFonts w:hint="eastAsia" w:ascii="Times New Roman" w:hAnsi="Times New Roman" w:cs="Courier New"/>
                      <w:lang w:val="en-US"/>
                    </w:rPr>
                    <w:t>/</w:t>
                  </w:r>
                </w:p>
              </w:tc>
              <w:tc>
                <w:tcPr>
                  <w:tcW w:w="523" w:type="pct"/>
                  <w:vAlign w:val="center"/>
                </w:tcPr>
                <w:p w14:paraId="197424A1">
                  <w:pPr>
                    <w:pStyle w:val="11"/>
                    <w:snapToGrid w:val="0"/>
                    <w:jc w:val="center"/>
                    <w:rPr>
                      <w:rFonts w:ascii="Times New Roman" w:hAnsi="Times New Roman" w:cs="Courier New"/>
                      <w:lang w:val="en-US"/>
                    </w:rPr>
                  </w:pPr>
                  <w:r>
                    <w:rPr>
                      <w:rFonts w:hint="eastAsia" w:ascii="Times New Roman" w:hAnsi="Times New Roman" w:cs="Courier New"/>
                      <w:lang w:val="en-US"/>
                    </w:rPr>
                    <w:t>/</w:t>
                  </w:r>
                </w:p>
              </w:tc>
              <w:tc>
                <w:tcPr>
                  <w:tcW w:w="610" w:type="pct"/>
                  <w:vAlign w:val="center"/>
                </w:tcPr>
                <w:p w14:paraId="17ADEC76">
                  <w:pPr>
                    <w:pStyle w:val="11"/>
                    <w:snapToGrid w:val="0"/>
                    <w:jc w:val="center"/>
                    <w:rPr>
                      <w:rFonts w:ascii="Times New Roman" w:hAnsi="Times New Roman" w:cs="Courier New"/>
                      <w:lang w:val="en-US"/>
                    </w:rPr>
                  </w:pPr>
                  <w:r>
                    <w:rPr>
                      <w:rFonts w:hint="eastAsia" w:ascii="Times New Roman" w:hAnsi="Times New Roman" w:cs="Courier New"/>
                      <w:lang w:val="en-US"/>
                    </w:rPr>
                    <w:t>/</w:t>
                  </w:r>
                </w:p>
              </w:tc>
              <w:tc>
                <w:tcPr>
                  <w:tcW w:w="657" w:type="pct"/>
                  <w:vAlign w:val="center"/>
                </w:tcPr>
                <w:p w14:paraId="0E6ADA40">
                  <w:pPr>
                    <w:pStyle w:val="11"/>
                    <w:snapToGrid w:val="0"/>
                    <w:jc w:val="center"/>
                    <w:rPr>
                      <w:rFonts w:ascii="Times New Roman" w:hAnsi="Times New Roman" w:cs="Courier New"/>
                      <w:lang w:val="en-US"/>
                    </w:rPr>
                  </w:pPr>
                  <w:r>
                    <w:rPr>
                      <w:rFonts w:hint="eastAsia" w:ascii="Times New Roman" w:hAnsi="Times New Roman" w:cs="Courier New"/>
                      <w:lang w:val="en-US"/>
                    </w:rPr>
                    <w:t>/</w:t>
                  </w:r>
                </w:p>
              </w:tc>
              <w:tc>
                <w:tcPr>
                  <w:tcW w:w="445" w:type="pct"/>
                  <w:vMerge w:val="restart"/>
                  <w:vAlign w:val="center"/>
                </w:tcPr>
                <w:p w14:paraId="34438797">
                  <w:pPr>
                    <w:pStyle w:val="11"/>
                    <w:snapToGrid w:val="0"/>
                    <w:jc w:val="center"/>
                    <w:rPr>
                      <w:rFonts w:ascii="Times New Roman" w:hAnsi="Times New Roman" w:cs="Courier New"/>
                      <w:lang w:val="en-US"/>
                    </w:rPr>
                  </w:pPr>
                  <w:r>
                    <w:rPr>
                      <w:rFonts w:hint="eastAsia" w:ascii="Times New Roman" w:hAnsi="Times New Roman" w:cs="Courier New"/>
                      <w:lang w:val="en-US"/>
                    </w:rPr>
                    <w:t>0.0351</w:t>
                  </w:r>
                </w:p>
              </w:tc>
              <w:tc>
                <w:tcPr>
                  <w:tcW w:w="625" w:type="pct"/>
                  <w:vMerge w:val="restart"/>
                  <w:vAlign w:val="center"/>
                </w:tcPr>
                <w:p w14:paraId="1DB58A7E">
                  <w:pPr>
                    <w:pStyle w:val="11"/>
                    <w:snapToGrid w:val="0"/>
                    <w:jc w:val="center"/>
                    <w:rPr>
                      <w:rFonts w:ascii="Times New Roman" w:hAnsi="Times New Roman" w:cs="Courier New"/>
                      <w:lang w:val="en-US"/>
                    </w:rPr>
                  </w:pPr>
                  <w:r>
                    <w:rPr>
                      <w:rFonts w:hint="eastAsia" w:ascii="Times New Roman" w:hAnsi="Times New Roman" w:cs="Courier New"/>
                      <w:lang w:val="en-US"/>
                    </w:rPr>
                    <w:t>0.1404</w:t>
                  </w:r>
                </w:p>
              </w:tc>
              <w:tc>
                <w:tcPr>
                  <w:tcW w:w="641" w:type="pct"/>
                  <w:vMerge w:val="restart"/>
                  <w:vAlign w:val="center"/>
                </w:tcPr>
                <w:p w14:paraId="588EC70F">
                  <w:pPr>
                    <w:pStyle w:val="11"/>
                    <w:snapToGrid w:val="0"/>
                    <w:jc w:val="center"/>
                    <w:rPr>
                      <w:rFonts w:ascii="Times New Roman" w:hAnsi="Times New Roman" w:cs="Courier New"/>
                      <w:lang w:val="en-US"/>
                    </w:rPr>
                  </w:pPr>
                  <w:r>
                    <w:rPr>
                      <w:rFonts w:hint="eastAsia" w:ascii="Times New Roman" w:hAnsi="Times New Roman" w:cs="Courier New"/>
                      <w:lang w:val="en-US"/>
                    </w:rPr>
                    <w:t>9.5</w:t>
                  </w:r>
                </w:p>
              </w:tc>
            </w:tr>
            <w:tr w14:paraId="1400B7E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29" w:type="pct"/>
                  <w:vMerge w:val="continue"/>
                  <w:vAlign w:val="center"/>
                </w:tcPr>
                <w:p w14:paraId="1730F3D2">
                  <w:pPr>
                    <w:ind w:firstLine="35" w:firstLineChars="17"/>
                    <w:jc w:val="center"/>
                    <w:rPr>
                      <w:szCs w:val="21"/>
                      <w:lang w:val="pt-BR"/>
                    </w:rPr>
                  </w:pPr>
                </w:p>
              </w:tc>
              <w:tc>
                <w:tcPr>
                  <w:tcW w:w="647" w:type="pct"/>
                  <w:vAlign w:val="center"/>
                </w:tcPr>
                <w:p w14:paraId="4C067443">
                  <w:pPr>
                    <w:ind w:firstLine="35" w:firstLineChars="17"/>
                    <w:jc w:val="center"/>
                    <w:rPr>
                      <w:szCs w:val="21"/>
                      <w:lang w:val="pt-BR"/>
                    </w:rPr>
                  </w:pPr>
                  <w:r>
                    <w:rPr>
                      <w:rFonts w:hint="eastAsia"/>
                      <w:szCs w:val="21"/>
                      <w:lang w:val="pt-BR"/>
                    </w:rPr>
                    <w:t>现有项目</w:t>
                  </w:r>
                </w:p>
              </w:tc>
              <w:tc>
                <w:tcPr>
                  <w:tcW w:w="523" w:type="pct"/>
                  <w:vAlign w:val="center"/>
                </w:tcPr>
                <w:p w14:paraId="2EA7184A">
                  <w:pPr>
                    <w:pStyle w:val="11"/>
                    <w:snapToGrid w:val="0"/>
                    <w:jc w:val="center"/>
                    <w:rPr>
                      <w:rFonts w:ascii="Times New Roman" w:hAnsi="Times New Roman" w:cs="Courier New"/>
                      <w:lang w:val="en-US"/>
                    </w:rPr>
                  </w:pPr>
                  <w:r>
                    <w:rPr>
                      <w:rFonts w:hint="eastAsia" w:ascii="Times New Roman" w:hAnsi="Times New Roman" w:cs="Courier New"/>
                      <w:lang w:val="en-US"/>
                    </w:rPr>
                    <w:t>/</w:t>
                  </w:r>
                </w:p>
              </w:tc>
              <w:tc>
                <w:tcPr>
                  <w:tcW w:w="523" w:type="pct"/>
                  <w:vAlign w:val="center"/>
                </w:tcPr>
                <w:p w14:paraId="5B5BA294">
                  <w:pPr>
                    <w:pStyle w:val="11"/>
                    <w:snapToGrid w:val="0"/>
                    <w:jc w:val="center"/>
                    <w:rPr>
                      <w:rFonts w:ascii="Times New Roman" w:hAnsi="Times New Roman" w:cs="Courier New"/>
                      <w:lang w:val="en-US"/>
                    </w:rPr>
                  </w:pPr>
                  <w:r>
                    <w:rPr>
                      <w:rFonts w:hint="eastAsia" w:ascii="Times New Roman" w:hAnsi="Times New Roman" w:cs="Courier New"/>
                      <w:lang w:val="en-US"/>
                    </w:rPr>
                    <w:t>/</w:t>
                  </w:r>
                </w:p>
              </w:tc>
              <w:tc>
                <w:tcPr>
                  <w:tcW w:w="610" w:type="pct"/>
                  <w:vAlign w:val="center"/>
                </w:tcPr>
                <w:p w14:paraId="6578DD7B">
                  <w:pPr>
                    <w:pStyle w:val="11"/>
                    <w:snapToGrid w:val="0"/>
                    <w:jc w:val="center"/>
                    <w:rPr>
                      <w:rFonts w:ascii="Times New Roman" w:hAnsi="Times New Roman" w:cs="Courier New"/>
                      <w:lang w:val="en-US"/>
                    </w:rPr>
                  </w:pPr>
                  <w:r>
                    <w:rPr>
                      <w:rFonts w:hint="eastAsia" w:ascii="Times New Roman" w:hAnsi="Times New Roman" w:cs="Courier New"/>
                      <w:lang w:val="en-US"/>
                    </w:rPr>
                    <w:t>/</w:t>
                  </w:r>
                </w:p>
              </w:tc>
              <w:tc>
                <w:tcPr>
                  <w:tcW w:w="657" w:type="pct"/>
                  <w:vAlign w:val="center"/>
                </w:tcPr>
                <w:p w14:paraId="68D15E96">
                  <w:pPr>
                    <w:pStyle w:val="11"/>
                    <w:snapToGrid w:val="0"/>
                    <w:jc w:val="center"/>
                    <w:rPr>
                      <w:rFonts w:ascii="Times New Roman" w:hAnsi="Times New Roman" w:cs="Courier New"/>
                      <w:lang w:val="en-US"/>
                    </w:rPr>
                  </w:pPr>
                  <w:r>
                    <w:rPr>
                      <w:rFonts w:hint="eastAsia" w:ascii="Times New Roman" w:hAnsi="Times New Roman" w:cs="Courier New"/>
                      <w:lang w:val="en-US"/>
                    </w:rPr>
                    <w:t>/</w:t>
                  </w:r>
                </w:p>
              </w:tc>
              <w:tc>
                <w:tcPr>
                  <w:tcW w:w="445" w:type="pct"/>
                  <w:vMerge w:val="continue"/>
                  <w:vAlign w:val="center"/>
                </w:tcPr>
                <w:p w14:paraId="4326807A">
                  <w:pPr>
                    <w:pStyle w:val="11"/>
                    <w:snapToGrid w:val="0"/>
                    <w:jc w:val="center"/>
                    <w:rPr>
                      <w:rFonts w:ascii="Times New Roman" w:hAnsi="Times New Roman" w:cs="Courier New"/>
                      <w:lang w:val="en-US"/>
                    </w:rPr>
                  </w:pPr>
                </w:p>
              </w:tc>
              <w:tc>
                <w:tcPr>
                  <w:tcW w:w="625" w:type="pct"/>
                  <w:vMerge w:val="continue"/>
                  <w:vAlign w:val="center"/>
                </w:tcPr>
                <w:p w14:paraId="371B95F2">
                  <w:pPr>
                    <w:pStyle w:val="11"/>
                    <w:snapToGrid w:val="0"/>
                    <w:jc w:val="center"/>
                    <w:rPr>
                      <w:rFonts w:ascii="Times New Roman" w:hAnsi="Times New Roman" w:cs="Courier New"/>
                      <w:lang w:val="en-US"/>
                    </w:rPr>
                  </w:pPr>
                </w:p>
              </w:tc>
              <w:tc>
                <w:tcPr>
                  <w:tcW w:w="641" w:type="pct"/>
                  <w:vMerge w:val="continue"/>
                  <w:vAlign w:val="center"/>
                </w:tcPr>
                <w:p w14:paraId="385445A6">
                  <w:pPr>
                    <w:pStyle w:val="11"/>
                    <w:snapToGrid w:val="0"/>
                    <w:jc w:val="center"/>
                    <w:rPr>
                      <w:rFonts w:ascii="Times New Roman" w:hAnsi="Times New Roman" w:cs="Courier New"/>
                      <w:lang w:val="en-US"/>
                    </w:rPr>
                  </w:pPr>
                </w:p>
              </w:tc>
            </w:tr>
            <w:tr w14:paraId="444A429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5000" w:type="pct"/>
                  <w:gridSpan w:val="9"/>
                  <w:vAlign w:val="center"/>
                </w:tcPr>
                <w:p w14:paraId="4DBC1A50">
                  <w:pPr>
                    <w:pStyle w:val="11"/>
                    <w:snapToGrid w:val="0"/>
                    <w:jc w:val="center"/>
                    <w:rPr>
                      <w:rFonts w:ascii="Times New Roman" w:hAnsi="Times New Roman"/>
                      <w:bCs/>
                      <w:lang w:val="en-US"/>
                    </w:rPr>
                  </w:pPr>
                  <w:r>
                    <w:rPr>
                      <w:rFonts w:ascii="Times New Roman" w:hAnsi="Times New Roman"/>
                      <w:bCs/>
                    </w:rPr>
                    <w:t>风量：</w:t>
                  </w:r>
                  <w:r>
                    <w:rPr>
                      <w:rFonts w:hint="eastAsia" w:ascii="Times New Roman" w:hAnsi="Times New Roman"/>
                      <w:bCs/>
                    </w:rPr>
                    <w:t>14760</w:t>
                  </w:r>
                  <w:r>
                    <w:rPr>
                      <w:rFonts w:ascii="Times New Roman" w:hAnsi="Times New Roman"/>
                      <w:bCs/>
                    </w:rPr>
                    <w:t>m</w:t>
                  </w:r>
                  <w:r>
                    <w:rPr>
                      <w:rFonts w:ascii="Times New Roman" w:hAnsi="Times New Roman"/>
                      <w:bCs/>
                      <w:vertAlign w:val="superscript"/>
                    </w:rPr>
                    <w:t>3</w:t>
                  </w:r>
                  <w:r>
                    <w:rPr>
                      <w:rFonts w:ascii="Times New Roman" w:hAnsi="Times New Roman"/>
                      <w:bCs/>
                    </w:rPr>
                    <w:t>/h</w:t>
                  </w:r>
                </w:p>
              </w:tc>
            </w:tr>
          </w:tbl>
          <w:p w14:paraId="2BE60EB9">
            <w:pPr>
              <w:adjustRightInd w:val="0"/>
              <w:snapToGrid w:val="0"/>
              <w:ind w:firstLine="420" w:firstLineChars="200"/>
              <w:rPr>
                <w:sz w:val="24"/>
              </w:rPr>
            </w:pPr>
            <w:r>
              <w:rPr>
                <w:rFonts w:eastAsia="黑体"/>
                <w:szCs w:val="21"/>
              </w:rPr>
              <w:t>注：本项目建成后全厂硫化废气收集时间为</w:t>
            </w:r>
            <w:r>
              <w:rPr>
                <w:rFonts w:hint="eastAsia" w:eastAsia="黑体"/>
                <w:szCs w:val="21"/>
              </w:rPr>
              <w:t>250</w:t>
            </w:r>
            <w:r>
              <w:rPr>
                <w:rFonts w:eastAsia="黑体"/>
                <w:szCs w:val="21"/>
              </w:rPr>
              <w:t>h</w:t>
            </w:r>
            <w:r>
              <w:rPr>
                <w:rFonts w:hint="eastAsia" w:eastAsia="黑体"/>
                <w:szCs w:val="21"/>
              </w:rPr>
              <w:t>/a</w:t>
            </w:r>
            <w:r>
              <w:rPr>
                <w:rFonts w:eastAsia="黑体"/>
                <w:szCs w:val="21"/>
              </w:rPr>
              <w:t>。</w:t>
            </w:r>
          </w:p>
          <w:p w14:paraId="58A71724">
            <w:pPr>
              <w:adjustRightInd w:val="0"/>
              <w:snapToGrid w:val="0"/>
              <w:spacing w:line="460" w:lineRule="exact"/>
              <w:ind w:firstLine="480" w:firstLineChars="200"/>
              <w:rPr>
                <w:bCs/>
                <w:sz w:val="24"/>
              </w:rPr>
            </w:pPr>
            <w:r>
              <w:rPr>
                <w:rFonts w:hint="eastAsia"/>
                <w:sz w:val="24"/>
              </w:rPr>
              <w:t>因本项目硫化与现有工程硫化废气一起处理排放，故对本项目建成后全厂硫化废气进行达标分析。根据上列表，本项目建成后全厂硫化废气排放口DA025排放的非甲烷总烃能够满足《橡胶制品工业污染物排放标准》（GB27632-2011）中非甲烷总烃10</w:t>
            </w:r>
            <w:r>
              <w:rPr>
                <w:sz w:val="24"/>
              </w:rPr>
              <w:t>mg/m</w:t>
            </w:r>
            <w:r>
              <w:rPr>
                <w:sz w:val="24"/>
                <w:vertAlign w:val="superscript"/>
              </w:rPr>
              <w:t>3</w:t>
            </w:r>
            <w:r>
              <w:rPr>
                <w:rFonts w:hint="eastAsia"/>
                <w:sz w:val="24"/>
              </w:rPr>
              <w:t>的标准限值要求</w:t>
            </w:r>
            <w:r>
              <w:rPr>
                <w:rFonts w:hint="eastAsia"/>
                <w:bCs/>
                <w:sz w:val="24"/>
              </w:rPr>
              <w:t>，同时满足</w:t>
            </w:r>
            <w:r>
              <w:rPr>
                <w:bCs/>
                <w:sz w:val="24"/>
              </w:rPr>
              <w:t>《</w:t>
            </w:r>
            <w:r>
              <w:rPr>
                <w:rFonts w:hint="eastAsia"/>
                <w:bCs/>
                <w:sz w:val="24"/>
              </w:rPr>
              <w:t>重污染天气重点行业应急减排措施制度技术指南</w:t>
            </w:r>
            <w:r>
              <w:rPr>
                <w:bCs/>
                <w:sz w:val="24"/>
              </w:rPr>
              <w:t>》</w:t>
            </w:r>
            <w:r>
              <w:rPr>
                <w:rFonts w:hint="eastAsia"/>
                <w:bCs/>
                <w:sz w:val="24"/>
              </w:rPr>
              <w:t>（2020</w:t>
            </w:r>
            <w:r>
              <w:rPr>
                <w:bCs/>
                <w:sz w:val="24"/>
              </w:rPr>
              <w:t>年修订版</w:t>
            </w:r>
            <w:r>
              <w:rPr>
                <w:rFonts w:hint="eastAsia"/>
                <w:bCs/>
                <w:sz w:val="24"/>
              </w:rPr>
              <w:t>）中橡胶制品行业</w:t>
            </w:r>
            <w:r>
              <w:rPr>
                <w:rFonts w:hint="eastAsia"/>
                <w:sz w:val="24"/>
              </w:rPr>
              <w:t>10</w:t>
            </w:r>
            <w:r>
              <w:rPr>
                <w:sz w:val="24"/>
              </w:rPr>
              <w:t>mg/m</w:t>
            </w:r>
            <w:r>
              <w:rPr>
                <w:sz w:val="24"/>
                <w:vertAlign w:val="superscript"/>
              </w:rPr>
              <w:t>3</w:t>
            </w:r>
            <w:r>
              <w:rPr>
                <w:rFonts w:hint="eastAsia"/>
                <w:bCs/>
                <w:sz w:val="24"/>
              </w:rPr>
              <w:t>的限值要求和《关于全省开展工业企业挥发性有机物专项治理工作中排放建议值的通知》（豫环攻坚办[2017]162号）其他行业</w:t>
            </w:r>
            <w:r>
              <w:rPr>
                <w:rFonts w:hint="eastAsia"/>
                <w:sz w:val="24"/>
              </w:rPr>
              <w:t>80</w:t>
            </w:r>
            <w:r>
              <w:rPr>
                <w:sz w:val="24"/>
              </w:rPr>
              <w:t>mg/m</w:t>
            </w:r>
            <w:r>
              <w:rPr>
                <w:sz w:val="24"/>
                <w:vertAlign w:val="superscript"/>
              </w:rPr>
              <w:t>3</w:t>
            </w:r>
            <w:r>
              <w:rPr>
                <w:rFonts w:hint="eastAsia"/>
                <w:sz w:val="24"/>
              </w:rPr>
              <w:t>（去除效率70%）的标准限值要求</w:t>
            </w:r>
            <w:r>
              <w:rPr>
                <w:rFonts w:hint="eastAsia"/>
                <w:bCs/>
                <w:sz w:val="24"/>
              </w:rPr>
              <w:t>。硫化氢排放能够满足《恶臭污染物排放标准》（GB 14554-93）表2 0.33kg/h的限值要求。SO</w:t>
            </w:r>
            <w:r>
              <w:rPr>
                <w:rFonts w:hint="eastAsia"/>
                <w:bCs/>
                <w:sz w:val="24"/>
                <w:vertAlign w:val="subscript"/>
              </w:rPr>
              <w:t>2</w:t>
            </w:r>
            <w:r>
              <w:rPr>
                <w:rFonts w:hint="eastAsia"/>
                <w:bCs/>
                <w:sz w:val="24"/>
              </w:rPr>
              <w:t>能够满足</w:t>
            </w:r>
            <w:r>
              <w:rPr>
                <w:rFonts w:hint="eastAsia"/>
                <w:sz w:val="24"/>
              </w:rPr>
              <w:t>《大气污染物综合排放标准》（GB16297-1996）表2二级</w:t>
            </w:r>
            <w:r>
              <w:rPr>
                <w:rFonts w:hint="eastAsia"/>
                <w:bCs/>
                <w:sz w:val="24"/>
              </w:rPr>
              <w:t>SO</w:t>
            </w:r>
            <w:r>
              <w:rPr>
                <w:rFonts w:hint="eastAsia"/>
                <w:bCs/>
                <w:sz w:val="24"/>
                <w:vertAlign w:val="subscript"/>
              </w:rPr>
              <w:t>2</w:t>
            </w:r>
            <w:r>
              <w:rPr>
                <w:rFonts w:hint="eastAsia"/>
                <w:bCs/>
                <w:sz w:val="24"/>
              </w:rPr>
              <w:t xml:space="preserve"> 55</w:t>
            </w:r>
            <w:r>
              <w:rPr>
                <w:rFonts w:hint="eastAsia"/>
                <w:sz w:val="24"/>
              </w:rPr>
              <w:t>0</w:t>
            </w:r>
            <w:r>
              <w:rPr>
                <w:sz w:val="24"/>
              </w:rPr>
              <w:t>mg/m</w:t>
            </w:r>
            <w:r>
              <w:rPr>
                <w:sz w:val="24"/>
                <w:vertAlign w:val="superscript"/>
              </w:rPr>
              <w:t>3</w:t>
            </w:r>
            <w:r>
              <w:rPr>
                <w:rFonts w:hint="eastAsia"/>
                <w:sz w:val="24"/>
              </w:rPr>
              <w:t>的标准限值要求，同时</w:t>
            </w:r>
            <w:r>
              <w:rPr>
                <w:bCs/>
                <w:sz w:val="24"/>
              </w:rPr>
              <w:t>能够</w:t>
            </w:r>
            <w:r>
              <w:rPr>
                <w:rFonts w:hint="eastAsia"/>
                <w:bCs/>
                <w:sz w:val="24"/>
              </w:rPr>
              <w:t>满足《新乡市环境污染防治攻坚指挥部办公室关于规范焚烧炉正常运行的环保管理意见》废气焚烧炉（SO</w:t>
            </w:r>
            <w:r>
              <w:rPr>
                <w:rFonts w:hint="eastAsia"/>
                <w:bCs/>
                <w:sz w:val="24"/>
                <w:vertAlign w:val="subscript"/>
              </w:rPr>
              <w:t>2</w:t>
            </w:r>
            <w:r>
              <w:rPr>
                <w:rFonts w:hint="eastAsia"/>
                <w:bCs/>
                <w:sz w:val="24"/>
              </w:rPr>
              <w:t xml:space="preserve"> 20mg/m</w:t>
            </w:r>
            <w:r>
              <w:rPr>
                <w:rFonts w:hint="eastAsia"/>
                <w:bCs/>
                <w:sz w:val="24"/>
                <w:vertAlign w:val="superscript"/>
              </w:rPr>
              <w:t>3</w:t>
            </w:r>
            <w:r>
              <w:rPr>
                <w:rFonts w:hint="eastAsia"/>
                <w:bCs/>
                <w:sz w:val="24"/>
              </w:rPr>
              <w:t>）的限值要求。</w:t>
            </w:r>
          </w:p>
          <w:p w14:paraId="11EBF631">
            <w:pPr>
              <w:spacing w:line="460" w:lineRule="exact"/>
              <w:ind w:firstLine="480" w:firstLineChars="200"/>
              <w:rPr>
                <w:bCs/>
                <w:sz w:val="24"/>
              </w:rPr>
            </w:pPr>
            <w:r>
              <w:rPr>
                <w:bCs/>
                <w:sz w:val="24"/>
              </w:rPr>
              <w:t>根据《橡胶制品工业污染物排放标准》</w:t>
            </w:r>
            <w:r>
              <w:rPr>
                <w:rFonts w:hint="eastAsia"/>
                <w:bCs/>
                <w:sz w:val="24"/>
              </w:rPr>
              <w:t>（GB27632-2011）</w:t>
            </w:r>
            <w:r>
              <w:rPr>
                <w:bCs/>
                <w:sz w:val="24"/>
              </w:rPr>
              <w:t>要求</w:t>
            </w:r>
            <w:r>
              <w:rPr>
                <w:rFonts w:hint="eastAsia"/>
                <w:bCs/>
                <w:sz w:val="24"/>
              </w:rPr>
              <w:t>：轮胎企业及其他制品企业炼胶、硫化装置非甲烷总烃</w:t>
            </w:r>
            <w:r>
              <w:rPr>
                <w:bCs/>
                <w:sz w:val="24"/>
              </w:rPr>
              <w:t>基准排气量为2000m</w:t>
            </w:r>
            <w:r>
              <w:rPr>
                <w:bCs/>
                <w:sz w:val="24"/>
                <w:vertAlign w:val="superscript"/>
              </w:rPr>
              <w:t>3</w:t>
            </w:r>
            <w:r>
              <w:rPr>
                <w:bCs/>
                <w:sz w:val="24"/>
              </w:rPr>
              <w:t>/t-胶</w:t>
            </w:r>
            <w:r>
              <w:rPr>
                <w:rFonts w:hint="eastAsia"/>
                <w:bCs/>
                <w:sz w:val="24"/>
              </w:rPr>
              <w:t>。根据中华人民共和国环境保护部《关于橡胶（轮胎）行业执行标准问题的复函》（环函[2014]244号）：“二、基准排气量可以将计算炼胶次数后的总胶量作为企业用胶量进行核算；三、炼胶和硫化装置分别考核基准排气量”，因全厂热炼需要炼10次，硫化、二次硫化均为1次，且三个工序废气经一套废气治理设施进行处理，本项目建成后</w:t>
            </w:r>
            <w:r>
              <w:rPr>
                <w:rFonts w:hint="eastAsia"/>
                <w:sz w:val="24"/>
              </w:rPr>
              <w:t>全厂混炼胶原料用量14.6吨，故核算基准排放量时</w:t>
            </w:r>
            <w:r>
              <w:rPr>
                <w:rFonts w:hint="eastAsia"/>
                <w:bCs/>
                <w:sz w:val="24"/>
              </w:rPr>
              <w:t>总胶量以175.2吨，</w:t>
            </w:r>
            <w:r>
              <w:rPr>
                <w:rFonts w:hint="eastAsia"/>
                <w:sz w:val="24"/>
              </w:rPr>
              <w:t>则</w:t>
            </w:r>
            <w:r>
              <w:rPr>
                <w:rFonts w:hint="eastAsia"/>
                <w:bCs/>
                <w:sz w:val="24"/>
              </w:rPr>
              <w:t>因此单位胶量基准排气量为25274</w:t>
            </w:r>
            <w:r>
              <w:rPr>
                <w:bCs/>
                <w:sz w:val="24"/>
              </w:rPr>
              <w:t>m</w:t>
            </w:r>
            <w:r>
              <w:rPr>
                <w:bCs/>
                <w:sz w:val="24"/>
                <w:vertAlign w:val="superscript"/>
              </w:rPr>
              <w:t>3</w:t>
            </w:r>
            <w:r>
              <w:rPr>
                <w:bCs/>
                <w:sz w:val="24"/>
              </w:rPr>
              <w:t>/t-胶</w:t>
            </w:r>
            <w:r>
              <w:rPr>
                <w:rFonts w:hint="eastAsia"/>
                <w:bCs/>
                <w:sz w:val="24"/>
              </w:rPr>
              <w:t>。则DA025非甲烷总烃排放浓度换算成基准排气量排放浓度为：</w:t>
            </w:r>
          </w:p>
          <w:p w14:paraId="686D30FA">
            <w:pPr>
              <w:spacing w:line="460" w:lineRule="exact"/>
              <w:ind w:firstLine="480" w:firstLineChars="200"/>
              <w:rPr>
                <w:sz w:val="24"/>
              </w:rPr>
            </w:pPr>
            <w:r>
              <w:rPr>
                <w:rFonts w:hint="eastAsia"/>
                <w:bCs/>
                <w:sz w:val="24"/>
              </w:rPr>
              <w:t>基准排气量排放浓度=14760m</w:t>
            </w:r>
            <w:r>
              <w:rPr>
                <w:rFonts w:hint="eastAsia"/>
                <w:bCs/>
                <w:sz w:val="24"/>
                <w:vertAlign w:val="superscript"/>
              </w:rPr>
              <w:t>3</w:t>
            </w:r>
            <w:r>
              <w:rPr>
                <w:rFonts w:hint="eastAsia"/>
                <w:bCs/>
                <w:sz w:val="24"/>
              </w:rPr>
              <w:t>/h×250h/a÷（2000</w:t>
            </w:r>
            <w:r>
              <w:rPr>
                <w:bCs/>
                <w:sz w:val="24"/>
              </w:rPr>
              <w:t>m</w:t>
            </w:r>
            <w:r>
              <w:rPr>
                <w:bCs/>
                <w:sz w:val="24"/>
                <w:vertAlign w:val="superscript"/>
              </w:rPr>
              <w:t>3</w:t>
            </w:r>
            <w:r>
              <w:rPr>
                <w:bCs/>
                <w:sz w:val="24"/>
              </w:rPr>
              <w:t>/t-胶</w:t>
            </w:r>
            <w:r>
              <w:rPr>
                <w:rFonts w:hint="eastAsia"/>
                <w:bCs/>
                <w:sz w:val="24"/>
              </w:rPr>
              <w:t>×175.2t-胶/a）×0.84mg/m</w:t>
            </w:r>
            <w:r>
              <w:rPr>
                <w:rFonts w:hint="eastAsia"/>
                <w:bCs/>
                <w:sz w:val="24"/>
                <w:vertAlign w:val="superscript"/>
              </w:rPr>
              <w:t>3</w:t>
            </w:r>
            <w:r>
              <w:rPr>
                <w:rFonts w:hint="eastAsia"/>
                <w:bCs/>
                <w:sz w:val="24"/>
              </w:rPr>
              <w:t>=8.8mg/m</w:t>
            </w:r>
            <w:r>
              <w:rPr>
                <w:rFonts w:hint="eastAsia"/>
                <w:bCs/>
                <w:sz w:val="24"/>
                <w:vertAlign w:val="superscript"/>
              </w:rPr>
              <w:t>3</w:t>
            </w:r>
            <w:r>
              <w:rPr>
                <w:rFonts w:hint="eastAsia"/>
                <w:bCs/>
                <w:sz w:val="24"/>
              </w:rPr>
              <w:t>，DA025排放的非甲烷总烃浓度为8.8mg/m</w:t>
            </w:r>
            <w:r>
              <w:rPr>
                <w:rFonts w:hint="eastAsia"/>
                <w:bCs/>
                <w:sz w:val="24"/>
                <w:vertAlign w:val="superscript"/>
              </w:rPr>
              <w:t>3</w:t>
            </w:r>
            <w:r>
              <w:rPr>
                <w:rFonts w:hint="eastAsia"/>
                <w:bCs/>
                <w:sz w:val="24"/>
              </w:rPr>
              <w:t>，能够满足《橡胶制品工业污染物排放标准》（GB27632-2011）基准排气量条件下非甲烷总烃有组织排放浓度10mg/m</w:t>
            </w:r>
            <w:r>
              <w:rPr>
                <w:rFonts w:hint="eastAsia"/>
                <w:bCs/>
                <w:sz w:val="24"/>
                <w:vertAlign w:val="superscript"/>
              </w:rPr>
              <w:t>3</w:t>
            </w:r>
            <w:r>
              <w:rPr>
                <w:rFonts w:hint="eastAsia"/>
                <w:bCs/>
                <w:sz w:val="24"/>
              </w:rPr>
              <w:t>的限值要求。</w:t>
            </w:r>
          </w:p>
          <w:p w14:paraId="520AC6A5">
            <w:pPr>
              <w:adjustRightInd w:val="0"/>
              <w:spacing w:line="460" w:lineRule="exact"/>
              <w:ind w:firstLine="482" w:firstLineChars="200"/>
              <w:rPr>
                <w:b/>
                <w:sz w:val="24"/>
              </w:rPr>
            </w:pPr>
            <w:r>
              <w:rPr>
                <w:rFonts w:hint="eastAsia"/>
                <w:b/>
                <w:sz w:val="24"/>
              </w:rPr>
              <w:t>2、无组织废气</w:t>
            </w:r>
          </w:p>
          <w:p w14:paraId="28E4000D">
            <w:pPr>
              <w:adjustRightInd w:val="0"/>
              <w:snapToGrid w:val="0"/>
              <w:spacing w:line="460" w:lineRule="exact"/>
              <w:ind w:firstLine="480" w:firstLineChars="200"/>
              <w:rPr>
                <w:bCs/>
                <w:sz w:val="24"/>
              </w:rPr>
            </w:pPr>
            <w:r>
              <w:rPr>
                <w:rFonts w:hint="eastAsia"/>
                <w:bCs/>
                <w:sz w:val="24"/>
              </w:rPr>
              <w:t>（1）建设路厂区</w:t>
            </w:r>
          </w:p>
          <w:p w14:paraId="1FA1DE1D">
            <w:pPr>
              <w:adjustRightInd w:val="0"/>
              <w:snapToGrid w:val="0"/>
              <w:spacing w:line="460" w:lineRule="exact"/>
              <w:ind w:firstLine="480" w:firstLineChars="200"/>
              <w:rPr>
                <w:bCs/>
                <w:sz w:val="24"/>
              </w:rPr>
            </w:pPr>
            <w:r>
              <w:rPr>
                <w:bCs/>
                <w:sz w:val="24"/>
              </w:rPr>
              <w:t>根据上述分析可知，本项目</w:t>
            </w:r>
            <w:r>
              <w:rPr>
                <w:rFonts w:hint="eastAsia"/>
                <w:sz w:val="24"/>
              </w:rPr>
              <w:t>1205#厂房、101#厂房油类试验废</w:t>
            </w:r>
            <w:r>
              <w:rPr>
                <w:bCs/>
                <w:sz w:val="24"/>
              </w:rPr>
              <w:t>气</w:t>
            </w:r>
            <w:r>
              <w:rPr>
                <w:rFonts w:hint="eastAsia"/>
                <w:bCs/>
                <w:sz w:val="24"/>
              </w:rPr>
              <w:t>和1206</w:t>
            </w:r>
            <w:r>
              <w:rPr>
                <w:rFonts w:hint="eastAsia"/>
                <w:sz w:val="24"/>
              </w:rPr>
              <w:t>#</w:t>
            </w:r>
            <w:r>
              <w:rPr>
                <w:rFonts w:hint="eastAsia"/>
                <w:bCs/>
                <w:sz w:val="24"/>
              </w:rPr>
              <w:t>厂房冷却系统试验废气</w:t>
            </w:r>
            <w:r>
              <w:rPr>
                <w:bCs/>
                <w:sz w:val="24"/>
              </w:rPr>
              <w:t>污染物</w:t>
            </w:r>
            <w:r>
              <w:rPr>
                <w:rFonts w:hint="eastAsia"/>
                <w:bCs/>
                <w:sz w:val="24"/>
              </w:rPr>
              <w:t>非甲烷总烃</w:t>
            </w:r>
            <w:r>
              <w:rPr>
                <w:bCs/>
                <w:sz w:val="24"/>
              </w:rPr>
              <w:t>收集效率</w:t>
            </w:r>
            <w:r>
              <w:rPr>
                <w:rFonts w:hint="eastAsia"/>
                <w:bCs/>
                <w:sz w:val="24"/>
              </w:rPr>
              <w:t>均</w:t>
            </w:r>
            <w:r>
              <w:rPr>
                <w:bCs/>
                <w:sz w:val="24"/>
              </w:rPr>
              <w:t>为</w:t>
            </w:r>
            <w:r>
              <w:rPr>
                <w:rFonts w:hint="eastAsia"/>
                <w:bCs/>
                <w:sz w:val="24"/>
              </w:rPr>
              <w:t>95</w:t>
            </w:r>
            <w:r>
              <w:rPr>
                <w:bCs/>
                <w:sz w:val="24"/>
              </w:rPr>
              <w:t>%，未被收集的</w:t>
            </w:r>
            <w:r>
              <w:rPr>
                <w:rFonts w:hint="eastAsia"/>
                <w:bCs/>
                <w:sz w:val="24"/>
              </w:rPr>
              <w:t>5</w:t>
            </w:r>
            <w:r>
              <w:rPr>
                <w:bCs/>
                <w:sz w:val="24"/>
              </w:rPr>
              <w:t>%的废气以无组织的形式散失，无组织废气排放</w:t>
            </w:r>
            <w:r>
              <w:rPr>
                <w:rFonts w:hint="eastAsia"/>
                <w:bCs/>
                <w:sz w:val="24"/>
              </w:rPr>
              <w:t>总</w:t>
            </w:r>
            <w:r>
              <w:rPr>
                <w:bCs/>
                <w:sz w:val="24"/>
              </w:rPr>
              <w:t>量为</w:t>
            </w:r>
            <w:r>
              <w:rPr>
                <w:rFonts w:hint="eastAsia"/>
                <w:bCs/>
                <w:sz w:val="24"/>
              </w:rPr>
              <w:t>1205</w:t>
            </w:r>
            <w:r>
              <w:rPr>
                <w:rFonts w:hint="eastAsia"/>
                <w:sz w:val="24"/>
              </w:rPr>
              <w:t>#</w:t>
            </w:r>
            <w:r>
              <w:rPr>
                <w:rFonts w:hint="eastAsia"/>
                <w:bCs/>
                <w:sz w:val="24"/>
              </w:rPr>
              <w:t>厂房非甲烷总烃0.0</w:t>
            </w:r>
            <w:r>
              <w:rPr>
                <w:bCs/>
                <w:sz w:val="24"/>
              </w:rPr>
              <w:t>0</w:t>
            </w:r>
            <w:r>
              <w:rPr>
                <w:rFonts w:hint="eastAsia"/>
                <w:bCs/>
                <w:sz w:val="24"/>
              </w:rPr>
              <w:t>12</w:t>
            </w:r>
            <w:r>
              <w:rPr>
                <w:bCs/>
                <w:sz w:val="24"/>
              </w:rPr>
              <w:t>t/a</w:t>
            </w:r>
            <w:r>
              <w:rPr>
                <w:rFonts w:hint="eastAsia"/>
                <w:bCs/>
                <w:sz w:val="24"/>
              </w:rPr>
              <w:t>、101#厂房非甲烷总烃0.0002t/a、1206</w:t>
            </w:r>
            <w:r>
              <w:rPr>
                <w:rFonts w:hint="eastAsia"/>
                <w:sz w:val="24"/>
              </w:rPr>
              <w:t>#</w:t>
            </w:r>
            <w:r>
              <w:rPr>
                <w:rFonts w:hint="eastAsia"/>
                <w:bCs/>
                <w:sz w:val="24"/>
              </w:rPr>
              <w:t>厂房非甲烷总烃0.0001t/a</w:t>
            </w:r>
            <w:r>
              <w:rPr>
                <w:bCs/>
                <w:sz w:val="24"/>
              </w:rPr>
              <w:t>，排放速率为</w:t>
            </w:r>
            <w:r>
              <w:rPr>
                <w:rFonts w:hint="eastAsia"/>
                <w:bCs/>
                <w:sz w:val="24"/>
              </w:rPr>
              <w:t>1205</w:t>
            </w:r>
            <w:r>
              <w:rPr>
                <w:rFonts w:hint="eastAsia"/>
                <w:sz w:val="24"/>
              </w:rPr>
              <w:t>#</w:t>
            </w:r>
            <w:r>
              <w:rPr>
                <w:rFonts w:hint="eastAsia"/>
                <w:bCs/>
                <w:sz w:val="24"/>
              </w:rPr>
              <w:t>厂房0.0</w:t>
            </w:r>
            <w:r>
              <w:rPr>
                <w:bCs/>
                <w:sz w:val="24"/>
              </w:rPr>
              <w:t>0</w:t>
            </w:r>
            <w:r>
              <w:rPr>
                <w:rFonts w:hint="eastAsia"/>
                <w:bCs/>
                <w:sz w:val="24"/>
              </w:rPr>
              <w:t>12</w:t>
            </w:r>
            <w:r>
              <w:rPr>
                <w:bCs/>
                <w:sz w:val="24"/>
              </w:rPr>
              <w:t>kg/h</w:t>
            </w:r>
            <w:r>
              <w:rPr>
                <w:rFonts w:hint="eastAsia"/>
                <w:bCs/>
                <w:sz w:val="24"/>
              </w:rPr>
              <w:t>、101</w:t>
            </w:r>
            <w:r>
              <w:rPr>
                <w:rFonts w:hint="eastAsia"/>
                <w:sz w:val="24"/>
              </w:rPr>
              <w:t>#</w:t>
            </w:r>
            <w:r>
              <w:rPr>
                <w:rFonts w:hint="eastAsia"/>
                <w:bCs/>
                <w:sz w:val="24"/>
              </w:rPr>
              <w:t>厂房0.0002kg/h、1206</w:t>
            </w:r>
            <w:r>
              <w:rPr>
                <w:rFonts w:hint="eastAsia"/>
                <w:sz w:val="24"/>
              </w:rPr>
              <w:t>#</w:t>
            </w:r>
            <w:r>
              <w:rPr>
                <w:rFonts w:hint="eastAsia"/>
                <w:bCs/>
                <w:sz w:val="24"/>
              </w:rPr>
              <w:t>厂房0.0001kg/h</w:t>
            </w:r>
            <w:r>
              <w:rPr>
                <w:bCs/>
                <w:sz w:val="24"/>
              </w:rPr>
              <w:t>。</w:t>
            </w:r>
          </w:p>
          <w:p w14:paraId="1622DD98">
            <w:pPr>
              <w:adjustRightInd w:val="0"/>
              <w:snapToGrid w:val="0"/>
              <w:spacing w:line="460" w:lineRule="exact"/>
              <w:ind w:firstLine="480" w:firstLineChars="200"/>
              <w:textAlignment w:val="baseline"/>
              <w:rPr>
                <w:bCs/>
                <w:sz w:val="24"/>
              </w:rPr>
            </w:pPr>
            <w:r>
              <w:rPr>
                <w:rFonts w:hint="eastAsia"/>
                <w:bCs/>
                <w:kern w:val="0"/>
                <w:sz w:val="24"/>
                <w:szCs w:val="20"/>
              </w:rPr>
              <w:t>评价要求企业加强设备密闭，保证废气收集效率，尽量减少无组织排放，保证</w:t>
            </w:r>
            <w:r>
              <w:rPr>
                <w:rFonts w:hint="eastAsia"/>
                <w:kern w:val="0"/>
                <w:sz w:val="24"/>
                <w:szCs w:val="20"/>
              </w:rPr>
              <w:t>厂区内无组织非甲烷总烃排放浓度满足《挥发性有机物无组织排放控制标准》（GB37822-2019）在厂房外设置监控点处1h平均浓度值6</w:t>
            </w:r>
            <w:r>
              <w:rPr>
                <w:kern w:val="0"/>
                <w:sz w:val="24"/>
                <w:szCs w:val="20"/>
              </w:rPr>
              <w:t>mg/m</w:t>
            </w:r>
            <w:r>
              <w:rPr>
                <w:kern w:val="0"/>
                <w:sz w:val="24"/>
                <w:szCs w:val="20"/>
                <w:vertAlign w:val="superscript"/>
              </w:rPr>
              <w:t>3</w:t>
            </w:r>
            <w:r>
              <w:rPr>
                <w:rFonts w:hint="eastAsia"/>
                <w:kern w:val="0"/>
                <w:sz w:val="24"/>
                <w:szCs w:val="20"/>
              </w:rPr>
              <w:t>、任意一次浓度值20</w:t>
            </w:r>
            <w:r>
              <w:rPr>
                <w:kern w:val="0"/>
                <w:sz w:val="24"/>
                <w:szCs w:val="20"/>
              </w:rPr>
              <w:t>mg/m</w:t>
            </w:r>
            <w:r>
              <w:rPr>
                <w:kern w:val="0"/>
                <w:sz w:val="24"/>
                <w:szCs w:val="20"/>
                <w:vertAlign w:val="superscript"/>
              </w:rPr>
              <w:t>3</w:t>
            </w:r>
            <w:r>
              <w:rPr>
                <w:rFonts w:hint="eastAsia"/>
                <w:kern w:val="0"/>
                <w:sz w:val="24"/>
                <w:szCs w:val="20"/>
              </w:rPr>
              <w:t>的限值要求；厂界外非甲烷总烃排放浓度满足</w:t>
            </w:r>
            <w:r>
              <w:rPr>
                <w:rFonts w:hint="eastAsia"/>
                <w:sz w:val="24"/>
              </w:rPr>
              <w:t>《大气污染物综合排放标准》（GB16297-1996）表2二级</w:t>
            </w:r>
            <w:r>
              <w:rPr>
                <w:rFonts w:hint="eastAsia"/>
                <w:bCs/>
                <w:sz w:val="24"/>
              </w:rPr>
              <w:t>非甲烷总烃无组织4</w:t>
            </w:r>
            <w:r>
              <w:rPr>
                <w:bCs/>
                <w:sz w:val="24"/>
              </w:rPr>
              <w:t>mg/m</w:t>
            </w:r>
            <w:r>
              <w:rPr>
                <w:bCs/>
                <w:sz w:val="24"/>
                <w:vertAlign w:val="superscript"/>
              </w:rPr>
              <w:t>3</w:t>
            </w:r>
            <w:r>
              <w:rPr>
                <w:rFonts w:hint="eastAsia"/>
                <w:sz w:val="24"/>
              </w:rPr>
              <w:t>的限值要求、同时满足</w:t>
            </w:r>
            <w:r>
              <w:rPr>
                <w:rFonts w:hint="eastAsia"/>
                <w:kern w:val="0"/>
                <w:sz w:val="24"/>
                <w:szCs w:val="20"/>
              </w:rPr>
              <w:t>《</w:t>
            </w:r>
            <w:r>
              <w:rPr>
                <w:kern w:val="0"/>
                <w:sz w:val="24"/>
                <w:szCs w:val="20"/>
              </w:rPr>
              <w:t>关于全省开展工业企业挥发性有机物专项治理工作中排放建议值的通知》（豫环攻坚办（2017）162号）</w:t>
            </w:r>
            <w:r>
              <w:rPr>
                <w:rFonts w:hint="eastAsia"/>
                <w:kern w:val="0"/>
                <w:sz w:val="24"/>
                <w:szCs w:val="20"/>
              </w:rPr>
              <w:t>附件2-其他企业边界2</w:t>
            </w:r>
            <w:r>
              <w:rPr>
                <w:bCs/>
                <w:kern w:val="0"/>
                <w:sz w:val="24"/>
                <w:szCs w:val="20"/>
              </w:rPr>
              <w:t>mg/m</w:t>
            </w:r>
            <w:r>
              <w:rPr>
                <w:bCs/>
                <w:kern w:val="0"/>
                <w:sz w:val="24"/>
                <w:szCs w:val="20"/>
                <w:vertAlign w:val="superscript"/>
              </w:rPr>
              <w:t>3</w:t>
            </w:r>
            <w:r>
              <w:rPr>
                <w:bCs/>
                <w:kern w:val="0"/>
                <w:sz w:val="24"/>
                <w:szCs w:val="20"/>
              </w:rPr>
              <w:t>的限值要求</w:t>
            </w:r>
            <w:r>
              <w:rPr>
                <w:rFonts w:hint="eastAsia"/>
                <w:bCs/>
                <w:kern w:val="0"/>
                <w:sz w:val="24"/>
                <w:szCs w:val="20"/>
              </w:rPr>
              <w:t>。</w:t>
            </w:r>
          </w:p>
          <w:p w14:paraId="568731C4">
            <w:pPr>
              <w:adjustRightInd w:val="0"/>
              <w:snapToGrid w:val="0"/>
              <w:spacing w:line="460" w:lineRule="exact"/>
              <w:ind w:firstLine="480" w:firstLineChars="200"/>
              <w:rPr>
                <w:bCs/>
                <w:sz w:val="24"/>
              </w:rPr>
            </w:pPr>
            <w:r>
              <w:rPr>
                <w:rFonts w:hint="eastAsia"/>
                <w:bCs/>
                <w:sz w:val="24"/>
              </w:rPr>
              <w:t>（2）解放路厂区</w:t>
            </w:r>
          </w:p>
          <w:p w14:paraId="71D129AD">
            <w:pPr>
              <w:adjustRightInd w:val="0"/>
              <w:snapToGrid w:val="0"/>
              <w:spacing w:line="460" w:lineRule="exact"/>
              <w:ind w:firstLine="480" w:firstLineChars="200"/>
              <w:rPr>
                <w:sz w:val="24"/>
              </w:rPr>
            </w:pPr>
            <w:r>
              <w:rPr>
                <w:bCs/>
                <w:sz w:val="24"/>
              </w:rPr>
              <w:t>根据上述分析可知，本项目</w:t>
            </w:r>
            <w:r>
              <w:rPr>
                <w:rFonts w:hint="eastAsia"/>
                <w:bCs/>
                <w:sz w:val="24"/>
              </w:rPr>
              <w:t>2207厂房硫化废气收集效率为90%，</w:t>
            </w:r>
            <w:r>
              <w:rPr>
                <w:bCs/>
                <w:sz w:val="24"/>
              </w:rPr>
              <w:t>未被收集的</w:t>
            </w:r>
            <w:r>
              <w:rPr>
                <w:rFonts w:hint="eastAsia"/>
                <w:bCs/>
                <w:sz w:val="24"/>
              </w:rPr>
              <w:t>10</w:t>
            </w:r>
            <w:r>
              <w:rPr>
                <w:bCs/>
                <w:sz w:val="24"/>
              </w:rPr>
              <w:t>%的废气以无组织的形式散失</w:t>
            </w:r>
            <w:r>
              <w:rPr>
                <w:rFonts w:hint="eastAsia"/>
                <w:bCs/>
                <w:sz w:val="24"/>
              </w:rPr>
              <w:t>，无组织废气排放总量为非甲烷总烃0.0001t/a、硫化氢0.00005t/a，排放速率为非甲烷总烃0.0004kg/h、硫化氢0.0002kg/h。</w:t>
            </w:r>
          </w:p>
          <w:p w14:paraId="520AC6A7">
            <w:pPr>
              <w:adjustRightInd w:val="0"/>
              <w:snapToGrid w:val="0"/>
              <w:spacing w:line="460" w:lineRule="exact"/>
              <w:ind w:firstLine="480" w:firstLineChars="200"/>
              <w:textAlignment w:val="baseline"/>
              <w:rPr>
                <w:bCs/>
                <w:kern w:val="0"/>
                <w:sz w:val="24"/>
                <w:szCs w:val="20"/>
              </w:rPr>
            </w:pPr>
            <w:r>
              <w:rPr>
                <w:rFonts w:hint="eastAsia"/>
                <w:bCs/>
                <w:kern w:val="0"/>
                <w:sz w:val="24"/>
                <w:szCs w:val="20"/>
              </w:rPr>
              <w:t>评价要求企业加强设备密闭，保证废气收集效率，尽量减少无组织排放，保证</w:t>
            </w:r>
            <w:r>
              <w:rPr>
                <w:rFonts w:hint="eastAsia"/>
                <w:kern w:val="0"/>
                <w:sz w:val="24"/>
                <w:szCs w:val="20"/>
              </w:rPr>
              <w:t>厂区内无组织非甲烷总烃排放浓度满足《挥发性有机物无组织排放控制标准》（GB37822-2019）在厂房外设置监控点处1h平均浓度值6</w:t>
            </w:r>
            <w:r>
              <w:rPr>
                <w:kern w:val="0"/>
                <w:sz w:val="24"/>
                <w:szCs w:val="20"/>
              </w:rPr>
              <w:t>mg/m</w:t>
            </w:r>
            <w:r>
              <w:rPr>
                <w:kern w:val="0"/>
                <w:sz w:val="24"/>
                <w:szCs w:val="20"/>
                <w:vertAlign w:val="superscript"/>
              </w:rPr>
              <w:t>3</w:t>
            </w:r>
            <w:r>
              <w:rPr>
                <w:rFonts w:hint="eastAsia"/>
                <w:kern w:val="0"/>
                <w:sz w:val="24"/>
                <w:szCs w:val="20"/>
              </w:rPr>
              <w:t>、任意一次浓度值20</w:t>
            </w:r>
            <w:r>
              <w:rPr>
                <w:kern w:val="0"/>
                <w:sz w:val="24"/>
                <w:szCs w:val="20"/>
              </w:rPr>
              <w:t>mg/m</w:t>
            </w:r>
            <w:r>
              <w:rPr>
                <w:kern w:val="0"/>
                <w:sz w:val="24"/>
                <w:szCs w:val="20"/>
                <w:vertAlign w:val="superscript"/>
              </w:rPr>
              <w:t>3</w:t>
            </w:r>
            <w:r>
              <w:rPr>
                <w:rFonts w:hint="eastAsia"/>
                <w:kern w:val="0"/>
                <w:sz w:val="24"/>
                <w:szCs w:val="20"/>
              </w:rPr>
              <w:t>的限值要求；厂界外非甲烷总烃排放浓度满足</w:t>
            </w:r>
            <w:r>
              <w:rPr>
                <w:rFonts w:hint="eastAsia"/>
                <w:sz w:val="24"/>
              </w:rPr>
              <w:t>《橡胶制品工业污染物排放标准》（GB27632-2011）中</w:t>
            </w:r>
            <w:r>
              <w:rPr>
                <w:rFonts w:hint="eastAsia"/>
                <w:bCs/>
                <w:sz w:val="24"/>
              </w:rPr>
              <w:t>非甲烷总烃无组织4</w:t>
            </w:r>
            <w:r>
              <w:rPr>
                <w:bCs/>
                <w:sz w:val="24"/>
              </w:rPr>
              <w:t>mg/m</w:t>
            </w:r>
            <w:r>
              <w:rPr>
                <w:bCs/>
                <w:sz w:val="24"/>
                <w:vertAlign w:val="superscript"/>
              </w:rPr>
              <w:t>3</w:t>
            </w:r>
            <w:r>
              <w:rPr>
                <w:rFonts w:hint="eastAsia"/>
                <w:sz w:val="24"/>
              </w:rPr>
              <w:t>的限值要求、同时满足</w:t>
            </w:r>
            <w:r>
              <w:rPr>
                <w:rFonts w:hint="eastAsia"/>
                <w:kern w:val="0"/>
                <w:sz w:val="24"/>
                <w:szCs w:val="20"/>
              </w:rPr>
              <w:t>《</w:t>
            </w:r>
            <w:r>
              <w:rPr>
                <w:kern w:val="0"/>
                <w:sz w:val="24"/>
                <w:szCs w:val="20"/>
              </w:rPr>
              <w:t>关于全省开展工业企业挥发性有机物专项治理工作中排放建议值的通知》（豫环攻坚办（2017）162号）</w:t>
            </w:r>
            <w:r>
              <w:rPr>
                <w:rFonts w:hint="eastAsia"/>
                <w:kern w:val="0"/>
                <w:sz w:val="24"/>
                <w:szCs w:val="20"/>
              </w:rPr>
              <w:t>附件2-其他企业边界2</w:t>
            </w:r>
            <w:r>
              <w:rPr>
                <w:bCs/>
                <w:kern w:val="0"/>
                <w:sz w:val="24"/>
                <w:szCs w:val="20"/>
              </w:rPr>
              <w:t>mg/m</w:t>
            </w:r>
            <w:r>
              <w:rPr>
                <w:bCs/>
                <w:kern w:val="0"/>
                <w:sz w:val="24"/>
                <w:szCs w:val="20"/>
                <w:vertAlign w:val="superscript"/>
              </w:rPr>
              <w:t>3</w:t>
            </w:r>
            <w:r>
              <w:rPr>
                <w:bCs/>
                <w:kern w:val="0"/>
                <w:sz w:val="24"/>
                <w:szCs w:val="20"/>
              </w:rPr>
              <w:t>的限值要求</w:t>
            </w:r>
            <w:r>
              <w:rPr>
                <w:rFonts w:hint="eastAsia"/>
                <w:bCs/>
                <w:kern w:val="0"/>
                <w:sz w:val="24"/>
                <w:szCs w:val="20"/>
              </w:rPr>
              <w:t>。硫化氢、臭气浓度</w:t>
            </w:r>
            <w:r>
              <w:rPr>
                <w:rFonts w:hint="eastAsia"/>
                <w:kern w:val="0"/>
                <w:sz w:val="24"/>
                <w:szCs w:val="20"/>
              </w:rPr>
              <w:t>排放浓度满足</w:t>
            </w:r>
            <w:r>
              <w:rPr>
                <w:rFonts w:hint="eastAsia"/>
                <w:bCs/>
                <w:kern w:val="0"/>
                <w:sz w:val="24"/>
                <w:szCs w:val="20"/>
              </w:rPr>
              <w:t>《恶臭污染物排放标准》（GB 14554-93）表1中硫化氢0.06</w:t>
            </w:r>
            <w:r>
              <w:rPr>
                <w:bCs/>
                <w:sz w:val="24"/>
              </w:rPr>
              <w:t>mg/m</w:t>
            </w:r>
            <w:r>
              <w:rPr>
                <w:bCs/>
                <w:sz w:val="24"/>
                <w:vertAlign w:val="superscript"/>
              </w:rPr>
              <w:t>3</w:t>
            </w:r>
            <w:r>
              <w:rPr>
                <w:rFonts w:hint="eastAsia"/>
                <w:bCs/>
                <w:sz w:val="24"/>
              </w:rPr>
              <w:t>、臭气浓度20（无量纲）</w:t>
            </w:r>
            <w:r>
              <w:rPr>
                <w:rFonts w:hint="eastAsia"/>
                <w:sz w:val="24"/>
              </w:rPr>
              <w:t>的限值要求。</w:t>
            </w:r>
          </w:p>
          <w:p w14:paraId="520AC6A8">
            <w:pPr>
              <w:spacing w:line="460" w:lineRule="exact"/>
              <w:ind w:firstLine="482" w:firstLineChars="200"/>
              <w:jc w:val="left"/>
              <w:rPr>
                <w:b/>
                <w:bCs/>
                <w:sz w:val="24"/>
              </w:rPr>
            </w:pPr>
            <w:r>
              <w:rPr>
                <w:rFonts w:hint="eastAsia"/>
                <w:b/>
                <w:bCs/>
                <w:sz w:val="24"/>
              </w:rPr>
              <w:t>3、非正常排放分析</w:t>
            </w:r>
          </w:p>
          <w:p w14:paraId="520AC6A9">
            <w:pPr>
              <w:adjustRightInd w:val="0"/>
              <w:snapToGrid w:val="0"/>
              <w:spacing w:line="460" w:lineRule="exact"/>
              <w:ind w:firstLine="480" w:firstLineChars="200"/>
              <w:rPr>
                <w:bCs/>
                <w:sz w:val="24"/>
              </w:rPr>
            </w:pPr>
            <w:r>
              <w:rPr>
                <w:rFonts w:hint="eastAsia"/>
                <w:bCs/>
                <w:sz w:val="24"/>
              </w:rPr>
              <w:t>项目产生的非正常排放主要是污染物排放控制措施达不到应有效率时引起的污染物超标排放，评价以最不利原则按照污染物治理措施处理效率为10%时的情况进行分析。本项目非正常工况</w:t>
            </w:r>
            <w:r>
              <w:rPr>
                <w:rFonts w:hint="eastAsia"/>
                <w:kern w:val="0"/>
                <w:sz w:val="24"/>
                <w:szCs w:val="20"/>
              </w:rPr>
              <w:t>为：建设路厂区：（1）</w:t>
            </w:r>
            <w:r>
              <w:rPr>
                <w:rFonts w:hint="eastAsia"/>
                <w:bCs/>
                <w:kern w:val="0"/>
                <w:sz w:val="24"/>
                <w:szCs w:val="20"/>
              </w:rPr>
              <w:t>袋式除尘器+水喷淋TA019</w:t>
            </w:r>
            <w:r>
              <w:rPr>
                <w:rFonts w:hint="eastAsia"/>
                <w:bCs/>
                <w:sz w:val="24"/>
              </w:rPr>
              <w:t>故障时：项目非正常排放废气源强为非甲烷总烃0.3548kg/h；</w:t>
            </w:r>
            <w:r>
              <w:rPr>
                <w:rFonts w:hint="eastAsia"/>
                <w:kern w:val="0"/>
                <w:sz w:val="24"/>
                <w:szCs w:val="20"/>
              </w:rPr>
              <w:t>（2）</w:t>
            </w:r>
            <w:r>
              <w:rPr>
                <w:rFonts w:hint="eastAsia"/>
                <w:sz w:val="24"/>
              </w:rPr>
              <w:t>活性炭吸附/脱附-催化燃烧装置TA0</w:t>
            </w:r>
            <w:r>
              <w:rPr>
                <w:sz w:val="24"/>
              </w:rPr>
              <w:t>3</w:t>
            </w:r>
            <w:r>
              <w:rPr>
                <w:rFonts w:hint="eastAsia"/>
                <w:sz w:val="24"/>
              </w:rPr>
              <w:t>0</w:t>
            </w:r>
            <w:r>
              <w:rPr>
                <w:rFonts w:hint="eastAsia"/>
                <w:bCs/>
                <w:sz w:val="24"/>
              </w:rPr>
              <w:t>故障时：项目非正常排放废气源强为非甲烷总烃0.0214kg/h；（3）</w:t>
            </w:r>
            <w:r>
              <w:rPr>
                <w:rFonts w:hint="eastAsia"/>
                <w:sz w:val="24"/>
              </w:rPr>
              <w:t>干式过滤+活性炭吸脱附-催化燃烧装置T</w:t>
            </w:r>
            <w:r>
              <w:rPr>
                <w:sz w:val="24"/>
              </w:rPr>
              <w:t>A0</w:t>
            </w:r>
            <w:r>
              <w:rPr>
                <w:rFonts w:hint="eastAsia"/>
                <w:sz w:val="24"/>
              </w:rPr>
              <w:t>2</w:t>
            </w:r>
            <w:r>
              <w:rPr>
                <w:sz w:val="24"/>
              </w:rPr>
              <w:t>5</w:t>
            </w:r>
            <w:r>
              <w:rPr>
                <w:rFonts w:hint="eastAsia"/>
                <w:sz w:val="24"/>
              </w:rPr>
              <w:t>故障时：</w:t>
            </w:r>
            <w:r>
              <w:rPr>
                <w:rFonts w:hint="eastAsia"/>
                <w:bCs/>
                <w:sz w:val="24"/>
              </w:rPr>
              <w:t>项目非正常排放废气源强为非甲烷总烃0.0034kg/h；（4）</w:t>
            </w:r>
            <w:r>
              <w:rPr>
                <w:rFonts w:hint="eastAsia"/>
                <w:sz w:val="24"/>
              </w:rPr>
              <w:t>干式过滤+活性炭吸脱附-催化燃烧装置T</w:t>
            </w:r>
            <w:r>
              <w:rPr>
                <w:sz w:val="24"/>
              </w:rPr>
              <w:t>A0</w:t>
            </w:r>
            <w:r>
              <w:rPr>
                <w:rFonts w:hint="eastAsia"/>
                <w:sz w:val="24"/>
              </w:rPr>
              <w:t>26故障时：</w:t>
            </w:r>
            <w:r>
              <w:rPr>
                <w:rFonts w:hint="eastAsia"/>
                <w:bCs/>
                <w:sz w:val="24"/>
              </w:rPr>
              <w:t>项目非正常排放废气源强为非甲烷总烃0.001kg/h</w:t>
            </w:r>
            <w:r>
              <w:rPr>
                <w:rFonts w:hint="eastAsia"/>
                <w:sz w:val="24"/>
              </w:rPr>
              <w:t>。解放路厂区：活性炭吸脱附-催化燃烧装置故障时：</w:t>
            </w:r>
            <w:r>
              <w:rPr>
                <w:rFonts w:hint="eastAsia"/>
                <w:bCs/>
                <w:sz w:val="24"/>
              </w:rPr>
              <w:t>项目非正常排放废气源强为非甲烷总烃0.0032kg/h、硫化氢0.00018kg/h、SO</w:t>
            </w:r>
            <w:r>
              <w:rPr>
                <w:rFonts w:hint="eastAsia"/>
                <w:bCs/>
                <w:sz w:val="24"/>
                <w:vertAlign w:val="subscript"/>
              </w:rPr>
              <w:t>2</w:t>
            </w:r>
            <w:r>
              <w:rPr>
                <w:rFonts w:hint="eastAsia"/>
                <w:bCs/>
                <w:sz w:val="24"/>
              </w:rPr>
              <w:t xml:space="preserve"> 0.00004kg/h</w:t>
            </w:r>
            <w:r>
              <w:rPr>
                <w:rFonts w:hint="eastAsia"/>
                <w:sz w:val="24"/>
              </w:rPr>
              <w:t>。</w:t>
            </w:r>
            <w:r>
              <w:rPr>
                <w:rFonts w:hint="eastAsia"/>
                <w:bCs/>
                <w:sz w:val="24"/>
              </w:rPr>
              <w:t>事故排放时间最大为15分钟。非正常排放具体参数见下表。</w:t>
            </w:r>
          </w:p>
          <w:p w14:paraId="520AC6AA">
            <w:pPr>
              <w:adjustRightInd w:val="0"/>
              <w:snapToGrid w:val="0"/>
              <w:spacing w:line="520" w:lineRule="exact"/>
              <w:ind w:firstLine="480" w:firstLineChars="200"/>
              <w:rPr>
                <w:rFonts w:eastAsia="黑体"/>
                <w:sz w:val="24"/>
                <w:szCs w:val="22"/>
              </w:rPr>
            </w:pPr>
            <w:r>
              <w:rPr>
                <w:rFonts w:eastAsia="黑体"/>
                <w:sz w:val="24"/>
                <w:szCs w:val="22"/>
              </w:rPr>
              <w:t>表</w:t>
            </w:r>
            <w:r>
              <w:rPr>
                <w:rFonts w:hint="eastAsia" w:eastAsia="黑体"/>
                <w:sz w:val="24"/>
                <w:szCs w:val="22"/>
              </w:rPr>
              <w:t>62</w:t>
            </w:r>
            <w:r>
              <w:rPr>
                <w:rFonts w:eastAsia="黑体"/>
                <w:sz w:val="24"/>
                <w:szCs w:val="22"/>
              </w:rPr>
              <w:t xml:space="preserve">       非正常工况时</w:t>
            </w:r>
            <w:r>
              <w:rPr>
                <w:rFonts w:hint="eastAsia" w:eastAsia="黑体"/>
                <w:sz w:val="24"/>
                <w:szCs w:val="22"/>
              </w:rPr>
              <w:t>排气筒</w:t>
            </w:r>
            <w:r>
              <w:rPr>
                <w:rFonts w:eastAsia="黑体"/>
                <w:sz w:val="24"/>
                <w:szCs w:val="22"/>
              </w:rPr>
              <w:t>污染物排放情况一览表</w:t>
            </w:r>
          </w:p>
          <w:tbl>
            <w:tblPr>
              <w:tblStyle w:val="18"/>
              <w:tblW w:w="5000" w:type="pct"/>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451"/>
              <w:gridCol w:w="993"/>
              <w:gridCol w:w="850"/>
              <w:gridCol w:w="1276"/>
              <w:gridCol w:w="992"/>
              <w:gridCol w:w="851"/>
              <w:gridCol w:w="1134"/>
              <w:gridCol w:w="588"/>
            </w:tblGrid>
            <w:tr w14:paraId="520AC6B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51" w:type="dxa"/>
                  <w:vAlign w:val="center"/>
                </w:tcPr>
                <w:p w14:paraId="520AC6AB">
                  <w:pPr>
                    <w:jc w:val="center"/>
                    <w:rPr>
                      <w:b/>
                      <w:szCs w:val="21"/>
                    </w:rPr>
                  </w:pPr>
                  <w:r>
                    <w:rPr>
                      <w:rFonts w:hint="eastAsia"/>
                      <w:b/>
                      <w:szCs w:val="21"/>
                    </w:rPr>
                    <w:t>非正常排放源</w:t>
                  </w:r>
                </w:p>
              </w:tc>
              <w:tc>
                <w:tcPr>
                  <w:tcW w:w="993" w:type="dxa"/>
                  <w:vAlign w:val="center"/>
                </w:tcPr>
                <w:p w14:paraId="520AC6AC">
                  <w:pPr>
                    <w:jc w:val="center"/>
                    <w:rPr>
                      <w:b/>
                      <w:szCs w:val="21"/>
                    </w:rPr>
                  </w:pPr>
                  <w:r>
                    <w:rPr>
                      <w:rFonts w:hint="eastAsia"/>
                      <w:b/>
                      <w:szCs w:val="21"/>
                    </w:rPr>
                    <w:t>非正常排放原因</w:t>
                  </w:r>
                </w:p>
              </w:tc>
              <w:tc>
                <w:tcPr>
                  <w:tcW w:w="850" w:type="dxa"/>
                  <w:vAlign w:val="center"/>
                </w:tcPr>
                <w:p w14:paraId="520AC6AD">
                  <w:pPr>
                    <w:jc w:val="center"/>
                    <w:rPr>
                      <w:b/>
                      <w:szCs w:val="21"/>
                    </w:rPr>
                  </w:pPr>
                  <w:r>
                    <w:rPr>
                      <w:rFonts w:hint="eastAsia"/>
                      <w:b/>
                      <w:szCs w:val="21"/>
                    </w:rPr>
                    <w:t>污染物</w:t>
                  </w:r>
                </w:p>
              </w:tc>
              <w:tc>
                <w:tcPr>
                  <w:tcW w:w="1276" w:type="dxa"/>
                  <w:vAlign w:val="center"/>
                </w:tcPr>
                <w:p w14:paraId="520AC6AE">
                  <w:pPr>
                    <w:jc w:val="center"/>
                    <w:rPr>
                      <w:b/>
                      <w:szCs w:val="21"/>
                    </w:rPr>
                  </w:pPr>
                  <w:r>
                    <w:rPr>
                      <w:rFonts w:hint="eastAsia"/>
                      <w:b/>
                      <w:szCs w:val="21"/>
                    </w:rPr>
                    <w:t>非正常排放速率/(kg/h)</w:t>
                  </w:r>
                </w:p>
              </w:tc>
              <w:tc>
                <w:tcPr>
                  <w:tcW w:w="992" w:type="dxa"/>
                  <w:vAlign w:val="center"/>
                </w:tcPr>
                <w:p w14:paraId="520AC6AF">
                  <w:pPr>
                    <w:jc w:val="center"/>
                    <w:rPr>
                      <w:b/>
                      <w:szCs w:val="21"/>
                    </w:rPr>
                  </w:pPr>
                  <w:r>
                    <w:rPr>
                      <w:rFonts w:hint="eastAsia"/>
                      <w:b/>
                      <w:szCs w:val="21"/>
                    </w:rPr>
                    <w:t>单次持续时间/h</w:t>
                  </w:r>
                </w:p>
              </w:tc>
              <w:tc>
                <w:tcPr>
                  <w:tcW w:w="851" w:type="dxa"/>
                  <w:vAlign w:val="center"/>
                </w:tcPr>
                <w:p w14:paraId="520AC6B0">
                  <w:pPr>
                    <w:jc w:val="center"/>
                    <w:rPr>
                      <w:b/>
                      <w:szCs w:val="21"/>
                    </w:rPr>
                  </w:pPr>
                  <w:r>
                    <w:rPr>
                      <w:rFonts w:hint="eastAsia"/>
                      <w:b/>
                      <w:szCs w:val="21"/>
                    </w:rPr>
                    <w:t>年发生频次/次</w:t>
                  </w:r>
                </w:p>
              </w:tc>
              <w:tc>
                <w:tcPr>
                  <w:tcW w:w="1134" w:type="dxa"/>
                  <w:vAlign w:val="center"/>
                </w:tcPr>
                <w:p w14:paraId="520AC6B1">
                  <w:pPr>
                    <w:jc w:val="center"/>
                    <w:rPr>
                      <w:b/>
                      <w:szCs w:val="21"/>
                    </w:rPr>
                  </w:pPr>
                  <w:r>
                    <w:rPr>
                      <w:rFonts w:hint="eastAsia"/>
                      <w:b/>
                      <w:szCs w:val="21"/>
                    </w:rPr>
                    <w:t>非正常排放量/(kg/a)</w:t>
                  </w:r>
                </w:p>
              </w:tc>
              <w:tc>
                <w:tcPr>
                  <w:tcW w:w="588" w:type="dxa"/>
                  <w:vAlign w:val="center"/>
                </w:tcPr>
                <w:p w14:paraId="520AC6B2">
                  <w:pPr>
                    <w:jc w:val="center"/>
                    <w:rPr>
                      <w:b/>
                      <w:szCs w:val="21"/>
                    </w:rPr>
                  </w:pPr>
                  <w:r>
                    <w:rPr>
                      <w:rFonts w:hint="eastAsia"/>
                      <w:b/>
                      <w:szCs w:val="21"/>
                    </w:rPr>
                    <w:t>采取措施</w:t>
                  </w:r>
                </w:p>
              </w:tc>
            </w:tr>
            <w:tr w14:paraId="18F1358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135" w:type="dxa"/>
                  <w:gridSpan w:val="8"/>
                  <w:vAlign w:val="center"/>
                </w:tcPr>
                <w:p w14:paraId="36A2A719">
                  <w:pPr>
                    <w:jc w:val="center"/>
                    <w:rPr>
                      <w:b/>
                      <w:szCs w:val="21"/>
                    </w:rPr>
                  </w:pPr>
                  <w:r>
                    <w:rPr>
                      <w:rFonts w:hint="eastAsia"/>
                      <w:b/>
                      <w:szCs w:val="21"/>
                    </w:rPr>
                    <w:t>建设路厂区</w:t>
                  </w:r>
                </w:p>
              </w:tc>
            </w:tr>
            <w:tr w14:paraId="0C2C654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51" w:type="dxa"/>
                  <w:vAlign w:val="center"/>
                </w:tcPr>
                <w:p w14:paraId="678EDF67">
                  <w:pPr>
                    <w:autoSpaceDE w:val="0"/>
                    <w:autoSpaceDN w:val="0"/>
                    <w:adjustRightInd w:val="0"/>
                    <w:snapToGrid w:val="0"/>
                    <w:jc w:val="center"/>
                    <w:rPr>
                      <w:bCs/>
                      <w:kern w:val="0"/>
                      <w:szCs w:val="21"/>
                    </w:rPr>
                  </w:pPr>
                  <w:r>
                    <w:rPr>
                      <w:rFonts w:hint="eastAsia"/>
                      <w:bCs/>
                      <w:kern w:val="0"/>
                      <w:szCs w:val="21"/>
                    </w:rPr>
                    <w:t>袋式除尘器+水喷淋TA019</w:t>
                  </w:r>
                </w:p>
              </w:tc>
              <w:tc>
                <w:tcPr>
                  <w:tcW w:w="993" w:type="dxa"/>
                  <w:vMerge w:val="restart"/>
                  <w:vAlign w:val="center"/>
                </w:tcPr>
                <w:p w14:paraId="6F1D5D43">
                  <w:pPr>
                    <w:jc w:val="center"/>
                    <w:rPr>
                      <w:szCs w:val="21"/>
                    </w:rPr>
                  </w:pPr>
                  <w:r>
                    <w:rPr>
                      <w:rFonts w:hint="eastAsia"/>
                      <w:szCs w:val="21"/>
                    </w:rPr>
                    <w:t>污染物排放控制措施达不到应有效率，处理效率为10%</w:t>
                  </w:r>
                </w:p>
              </w:tc>
              <w:tc>
                <w:tcPr>
                  <w:tcW w:w="850" w:type="dxa"/>
                  <w:vAlign w:val="center"/>
                </w:tcPr>
                <w:p w14:paraId="548FD44A">
                  <w:pPr>
                    <w:jc w:val="center"/>
                    <w:rPr>
                      <w:kern w:val="0"/>
                      <w:szCs w:val="21"/>
                    </w:rPr>
                  </w:pPr>
                  <w:r>
                    <w:rPr>
                      <w:rFonts w:hint="eastAsia"/>
                      <w:kern w:val="0"/>
                      <w:szCs w:val="21"/>
                    </w:rPr>
                    <w:t>颗粒物</w:t>
                  </w:r>
                </w:p>
              </w:tc>
              <w:tc>
                <w:tcPr>
                  <w:tcW w:w="1276" w:type="dxa"/>
                  <w:vAlign w:val="center"/>
                </w:tcPr>
                <w:p w14:paraId="2CD00BF3">
                  <w:pPr>
                    <w:jc w:val="center"/>
                    <w:rPr>
                      <w:szCs w:val="21"/>
                    </w:rPr>
                  </w:pPr>
                  <w:r>
                    <w:rPr>
                      <w:rFonts w:hint="eastAsia"/>
                      <w:szCs w:val="21"/>
                    </w:rPr>
                    <w:t>0.3548</w:t>
                  </w:r>
                </w:p>
              </w:tc>
              <w:tc>
                <w:tcPr>
                  <w:tcW w:w="992" w:type="dxa"/>
                  <w:vMerge w:val="restart"/>
                  <w:vAlign w:val="center"/>
                </w:tcPr>
                <w:p w14:paraId="446746CA">
                  <w:pPr>
                    <w:jc w:val="center"/>
                    <w:rPr>
                      <w:szCs w:val="21"/>
                    </w:rPr>
                  </w:pPr>
                  <w:r>
                    <w:rPr>
                      <w:rFonts w:hint="eastAsia"/>
                      <w:szCs w:val="21"/>
                    </w:rPr>
                    <w:t>0.25</w:t>
                  </w:r>
                </w:p>
              </w:tc>
              <w:tc>
                <w:tcPr>
                  <w:tcW w:w="851" w:type="dxa"/>
                  <w:vMerge w:val="restart"/>
                  <w:vAlign w:val="center"/>
                </w:tcPr>
                <w:p w14:paraId="4913813C">
                  <w:pPr>
                    <w:jc w:val="center"/>
                    <w:rPr>
                      <w:szCs w:val="21"/>
                    </w:rPr>
                  </w:pPr>
                  <w:r>
                    <w:rPr>
                      <w:rFonts w:hint="eastAsia"/>
                      <w:szCs w:val="21"/>
                    </w:rPr>
                    <w:t>1</w:t>
                  </w:r>
                </w:p>
              </w:tc>
              <w:tc>
                <w:tcPr>
                  <w:tcW w:w="1134" w:type="dxa"/>
                  <w:vAlign w:val="center"/>
                </w:tcPr>
                <w:p w14:paraId="0C51AA13">
                  <w:pPr>
                    <w:jc w:val="center"/>
                    <w:rPr>
                      <w:szCs w:val="21"/>
                    </w:rPr>
                  </w:pPr>
                  <w:r>
                    <w:rPr>
                      <w:rFonts w:hint="eastAsia"/>
                      <w:szCs w:val="21"/>
                    </w:rPr>
                    <w:t>0.0887</w:t>
                  </w:r>
                </w:p>
              </w:tc>
              <w:tc>
                <w:tcPr>
                  <w:tcW w:w="588" w:type="dxa"/>
                  <w:vMerge w:val="restart"/>
                  <w:vAlign w:val="center"/>
                </w:tcPr>
                <w:p w14:paraId="33F6551F">
                  <w:pPr>
                    <w:jc w:val="center"/>
                    <w:rPr>
                      <w:szCs w:val="21"/>
                    </w:rPr>
                  </w:pPr>
                  <w:r>
                    <w:rPr>
                      <w:rFonts w:hint="eastAsia"/>
                      <w:szCs w:val="21"/>
                    </w:rPr>
                    <w:t>产生废气的工序及时停止运行</w:t>
                  </w:r>
                </w:p>
              </w:tc>
            </w:tr>
            <w:tr w14:paraId="520AC6B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51" w:type="dxa"/>
                  <w:vAlign w:val="center"/>
                </w:tcPr>
                <w:p w14:paraId="520AC6B4">
                  <w:pPr>
                    <w:autoSpaceDE w:val="0"/>
                    <w:autoSpaceDN w:val="0"/>
                    <w:adjustRightInd w:val="0"/>
                    <w:snapToGrid w:val="0"/>
                    <w:jc w:val="center"/>
                    <w:rPr>
                      <w:bCs/>
                      <w:kern w:val="0"/>
                      <w:szCs w:val="21"/>
                      <w:highlight w:val="yellow"/>
                    </w:rPr>
                  </w:pPr>
                  <w:r>
                    <w:rPr>
                      <w:rFonts w:hint="eastAsia"/>
                      <w:bCs/>
                      <w:kern w:val="0"/>
                      <w:szCs w:val="21"/>
                    </w:rPr>
                    <w:t>干式过滤+活性炭吸脱附-催化燃烧装置TA025</w:t>
                  </w:r>
                </w:p>
              </w:tc>
              <w:tc>
                <w:tcPr>
                  <w:tcW w:w="993" w:type="dxa"/>
                  <w:vMerge w:val="continue"/>
                  <w:vAlign w:val="center"/>
                </w:tcPr>
                <w:p w14:paraId="520AC6B5">
                  <w:pPr>
                    <w:jc w:val="center"/>
                    <w:rPr>
                      <w:szCs w:val="21"/>
                      <w:highlight w:val="yellow"/>
                    </w:rPr>
                  </w:pPr>
                </w:p>
              </w:tc>
              <w:tc>
                <w:tcPr>
                  <w:tcW w:w="850" w:type="dxa"/>
                  <w:vMerge w:val="restart"/>
                  <w:vAlign w:val="center"/>
                </w:tcPr>
                <w:p w14:paraId="520AC6B6">
                  <w:pPr>
                    <w:jc w:val="center"/>
                    <w:rPr>
                      <w:kern w:val="0"/>
                      <w:szCs w:val="21"/>
                      <w:highlight w:val="yellow"/>
                    </w:rPr>
                  </w:pPr>
                  <w:r>
                    <w:rPr>
                      <w:kern w:val="0"/>
                      <w:szCs w:val="21"/>
                    </w:rPr>
                    <w:t>非甲烷总烃</w:t>
                  </w:r>
                </w:p>
              </w:tc>
              <w:tc>
                <w:tcPr>
                  <w:tcW w:w="1276" w:type="dxa"/>
                  <w:vAlign w:val="center"/>
                </w:tcPr>
                <w:p w14:paraId="520AC6B7">
                  <w:pPr>
                    <w:jc w:val="center"/>
                    <w:rPr>
                      <w:szCs w:val="21"/>
                      <w:highlight w:val="yellow"/>
                    </w:rPr>
                  </w:pPr>
                  <w:r>
                    <w:rPr>
                      <w:rFonts w:hint="eastAsia"/>
                      <w:szCs w:val="21"/>
                    </w:rPr>
                    <w:t>0.0034</w:t>
                  </w:r>
                </w:p>
              </w:tc>
              <w:tc>
                <w:tcPr>
                  <w:tcW w:w="992" w:type="dxa"/>
                  <w:vMerge w:val="continue"/>
                  <w:vAlign w:val="center"/>
                </w:tcPr>
                <w:p w14:paraId="520AC6B8">
                  <w:pPr>
                    <w:jc w:val="center"/>
                    <w:rPr>
                      <w:szCs w:val="21"/>
                      <w:highlight w:val="yellow"/>
                    </w:rPr>
                  </w:pPr>
                </w:p>
              </w:tc>
              <w:tc>
                <w:tcPr>
                  <w:tcW w:w="851" w:type="dxa"/>
                  <w:vMerge w:val="continue"/>
                  <w:vAlign w:val="center"/>
                </w:tcPr>
                <w:p w14:paraId="520AC6B9">
                  <w:pPr>
                    <w:jc w:val="center"/>
                    <w:rPr>
                      <w:szCs w:val="21"/>
                      <w:highlight w:val="yellow"/>
                    </w:rPr>
                  </w:pPr>
                </w:p>
              </w:tc>
              <w:tc>
                <w:tcPr>
                  <w:tcW w:w="1134" w:type="dxa"/>
                  <w:vAlign w:val="center"/>
                </w:tcPr>
                <w:p w14:paraId="520AC6BA">
                  <w:pPr>
                    <w:jc w:val="center"/>
                    <w:rPr>
                      <w:szCs w:val="21"/>
                      <w:highlight w:val="yellow"/>
                    </w:rPr>
                  </w:pPr>
                  <w:r>
                    <w:rPr>
                      <w:rFonts w:hint="eastAsia"/>
                      <w:szCs w:val="21"/>
                    </w:rPr>
                    <w:t>0.0009</w:t>
                  </w:r>
                </w:p>
              </w:tc>
              <w:tc>
                <w:tcPr>
                  <w:tcW w:w="588" w:type="dxa"/>
                  <w:vMerge w:val="continue"/>
                  <w:vAlign w:val="center"/>
                </w:tcPr>
                <w:p w14:paraId="520AC6BB">
                  <w:pPr>
                    <w:jc w:val="center"/>
                    <w:rPr>
                      <w:szCs w:val="21"/>
                      <w:highlight w:val="yellow"/>
                    </w:rPr>
                  </w:pPr>
                </w:p>
              </w:tc>
            </w:tr>
            <w:tr w14:paraId="520AC6C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51" w:type="dxa"/>
                  <w:vAlign w:val="center"/>
                </w:tcPr>
                <w:p w14:paraId="520AC6BD">
                  <w:pPr>
                    <w:autoSpaceDE w:val="0"/>
                    <w:autoSpaceDN w:val="0"/>
                    <w:adjustRightInd w:val="0"/>
                    <w:snapToGrid w:val="0"/>
                    <w:jc w:val="center"/>
                    <w:rPr>
                      <w:bCs/>
                      <w:kern w:val="0"/>
                      <w:szCs w:val="21"/>
                    </w:rPr>
                  </w:pPr>
                  <w:r>
                    <w:rPr>
                      <w:rFonts w:hint="eastAsia"/>
                      <w:bCs/>
                      <w:kern w:val="0"/>
                      <w:szCs w:val="21"/>
                    </w:rPr>
                    <w:t>干式过滤+活性炭吸脱附-催化燃烧装置TA026</w:t>
                  </w:r>
                </w:p>
              </w:tc>
              <w:tc>
                <w:tcPr>
                  <w:tcW w:w="993" w:type="dxa"/>
                  <w:vMerge w:val="continue"/>
                  <w:vAlign w:val="center"/>
                </w:tcPr>
                <w:p w14:paraId="520AC6BE">
                  <w:pPr>
                    <w:jc w:val="center"/>
                    <w:rPr>
                      <w:szCs w:val="21"/>
                    </w:rPr>
                  </w:pPr>
                </w:p>
              </w:tc>
              <w:tc>
                <w:tcPr>
                  <w:tcW w:w="850" w:type="dxa"/>
                  <w:vMerge w:val="continue"/>
                  <w:vAlign w:val="center"/>
                </w:tcPr>
                <w:p w14:paraId="520AC6BF">
                  <w:pPr>
                    <w:jc w:val="center"/>
                    <w:rPr>
                      <w:kern w:val="0"/>
                      <w:szCs w:val="21"/>
                    </w:rPr>
                  </w:pPr>
                </w:p>
              </w:tc>
              <w:tc>
                <w:tcPr>
                  <w:tcW w:w="1276" w:type="dxa"/>
                  <w:vAlign w:val="center"/>
                </w:tcPr>
                <w:p w14:paraId="520AC6C0">
                  <w:pPr>
                    <w:jc w:val="center"/>
                    <w:rPr>
                      <w:szCs w:val="21"/>
                    </w:rPr>
                  </w:pPr>
                  <w:r>
                    <w:rPr>
                      <w:rFonts w:hint="eastAsia"/>
                      <w:szCs w:val="21"/>
                    </w:rPr>
                    <w:t>0.001</w:t>
                  </w:r>
                </w:p>
              </w:tc>
              <w:tc>
                <w:tcPr>
                  <w:tcW w:w="992" w:type="dxa"/>
                  <w:vMerge w:val="continue"/>
                  <w:vAlign w:val="center"/>
                </w:tcPr>
                <w:p w14:paraId="520AC6C1">
                  <w:pPr>
                    <w:jc w:val="center"/>
                    <w:rPr>
                      <w:szCs w:val="21"/>
                    </w:rPr>
                  </w:pPr>
                </w:p>
              </w:tc>
              <w:tc>
                <w:tcPr>
                  <w:tcW w:w="851" w:type="dxa"/>
                  <w:vMerge w:val="continue"/>
                  <w:vAlign w:val="center"/>
                </w:tcPr>
                <w:p w14:paraId="520AC6C2">
                  <w:pPr>
                    <w:jc w:val="center"/>
                    <w:rPr>
                      <w:szCs w:val="21"/>
                    </w:rPr>
                  </w:pPr>
                </w:p>
              </w:tc>
              <w:tc>
                <w:tcPr>
                  <w:tcW w:w="1134" w:type="dxa"/>
                  <w:vAlign w:val="center"/>
                </w:tcPr>
                <w:p w14:paraId="520AC6C3">
                  <w:pPr>
                    <w:jc w:val="center"/>
                    <w:rPr>
                      <w:szCs w:val="21"/>
                    </w:rPr>
                  </w:pPr>
                  <w:r>
                    <w:rPr>
                      <w:rFonts w:hint="eastAsia"/>
                      <w:szCs w:val="21"/>
                    </w:rPr>
                    <w:t>0.0003</w:t>
                  </w:r>
                </w:p>
              </w:tc>
              <w:tc>
                <w:tcPr>
                  <w:tcW w:w="588" w:type="dxa"/>
                  <w:vMerge w:val="continue"/>
                  <w:vAlign w:val="center"/>
                </w:tcPr>
                <w:p w14:paraId="520AC6C4">
                  <w:pPr>
                    <w:jc w:val="center"/>
                    <w:rPr>
                      <w:szCs w:val="21"/>
                    </w:rPr>
                  </w:pPr>
                </w:p>
              </w:tc>
            </w:tr>
            <w:tr w14:paraId="520AC6C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51" w:type="dxa"/>
                  <w:vAlign w:val="center"/>
                </w:tcPr>
                <w:p w14:paraId="520AC6C6">
                  <w:pPr>
                    <w:autoSpaceDE w:val="0"/>
                    <w:autoSpaceDN w:val="0"/>
                    <w:adjustRightInd w:val="0"/>
                    <w:snapToGrid w:val="0"/>
                    <w:jc w:val="center"/>
                    <w:rPr>
                      <w:szCs w:val="21"/>
                    </w:rPr>
                  </w:pPr>
                  <w:r>
                    <w:rPr>
                      <w:rFonts w:hint="eastAsia"/>
                      <w:bCs/>
                      <w:kern w:val="0"/>
                      <w:szCs w:val="21"/>
                    </w:rPr>
                    <w:t>活性炭吸脱附-催化燃烧装置TA0</w:t>
                  </w:r>
                  <w:r>
                    <w:rPr>
                      <w:bCs/>
                      <w:kern w:val="0"/>
                      <w:szCs w:val="21"/>
                    </w:rPr>
                    <w:t>3</w:t>
                  </w:r>
                  <w:r>
                    <w:rPr>
                      <w:rFonts w:hint="eastAsia"/>
                      <w:bCs/>
                      <w:kern w:val="0"/>
                      <w:szCs w:val="21"/>
                    </w:rPr>
                    <w:t>0</w:t>
                  </w:r>
                </w:p>
              </w:tc>
              <w:tc>
                <w:tcPr>
                  <w:tcW w:w="993" w:type="dxa"/>
                  <w:vMerge w:val="continue"/>
                  <w:vAlign w:val="center"/>
                </w:tcPr>
                <w:p w14:paraId="520AC6C7">
                  <w:pPr>
                    <w:jc w:val="center"/>
                    <w:rPr>
                      <w:szCs w:val="21"/>
                    </w:rPr>
                  </w:pPr>
                </w:p>
              </w:tc>
              <w:tc>
                <w:tcPr>
                  <w:tcW w:w="850" w:type="dxa"/>
                  <w:vMerge w:val="continue"/>
                  <w:vAlign w:val="center"/>
                </w:tcPr>
                <w:p w14:paraId="520AC6C8">
                  <w:pPr>
                    <w:jc w:val="center"/>
                    <w:rPr>
                      <w:szCs w:val="21"/>
                      <w:lang w:val="pt-BR"/>
                    </w:rPr>
                  </w:pPr>
                </w:p>
              </w:tc>
              <w:tc>
                <w:tcPr>
                  <w:tcW w:w="1276" w:type="dxa"/>
                  <w:vAlign w:val="center"/>
                </w:tcPr>
                <w:p w14:paraId="520AC6C9">
                  <w:pPr>
                    <w:jc w:val="center"/>
                    <w:rPr>
                      <w:szCs w:val="21"/>
                      <w:lang w:val="pt-BR"/>
                    </w:rPr>
                  </w:pPr>
                  <w:r>
                    <w:rPr>
                      <w:szCs w:val="21"/>
                      <w:lang w:val="pt-BR"/>
                    </w:rPr>
                    <w:t>0.0</w:t>
                  </w:r>
                  <w:r>
                    <w:rPr>
                      <w:rFonts w:hint="eastAsia"/>
                      <w:szCs w:val="21"/>
                      <w:lang w:val="pt-BR"/>
                    </w:rPr>
                    <w:t>214</w:t>
                  </w:r>
                </w:p>
              </w:tc>
              <w:tc>
                <w:tcPr>
                  <w:tcW w:w="992" w:type="dxa"/>
                  <w:vMerge w:val="continue"/>
                  <w:vAlign w:val="center"/>
                </w:tcPr>
                <w:p w14:paraId="520AC6CA">
                  <w:pPr>
                    <w:jc w:val="center"/>
                    <w:rPr>
                      <w:szCs w:val="21"/>
                      <w:lang w:val="pt-BR"/>
                    </w:rPr>
                  </w:pPr>
                </w:p>
              </w:tc>
              <w:tc>
                <w:tcPr>
                  <w:tcW w:w="851" w:type="dxa"/>
                  <w:vMerge w:val="continue"/>
                  <w:vAlign w:val="center"/>
                </w:tcPr>
                <w:p w14:paraId="520AC6CB">
                  <w:pPr>
                    <w:jc w:val="center"/>
                    <w:rPr>
                      <w:szCs w:val="21"/>
                      <w:lang w:val="pt-BR"/>
                    </w:rPr>
                  </w:pPr>
                </w:p>
              </w:tc>
              <w:tc>
                <w:tcPr>
                  <w:tcW w:w="1134" w:type="dxa"/>
                  <w:vAlign w:val="center"/>
                </w:tcPr>
                <w:p w14:paraId="520AC6CC">
                  <w:pPr>
                    <w:jc w:val="center"/>
                    <w:rPr>
                      <w:szCs w:val="21"/>
                      <w:lang w:val="pt-BR"/>
                    </w:rPr>
                  </w:pPr>
                  <w:r>
                    <w:rPr>
                      <w:rFonts w:hint="eastAsia"/>
                      <w:szCs w:val="21"/>
                      <w:lang w:val="pt-BR"/>
                    </w:rPr>
                    <w:t>0.0054</w:t>
                  </w:r>
                </w:p>
              </w:tc>
              <w:tc>
                <w:tcPr>
                  <w:tcW w:w="588" w:type="dxa"/>
                  <w:vMerge w:val="continue"/>
                  <w:vAlign w:val="center"/>
                </w:tcPr>
                <w:p w14:paraId="520AC6CD">
                  <w:pPr>
                    <w:jc w:val="center"/>
                    <w:rPr>
                      <w:szCs w:val="21"/>
                      <w:lang w:val="pt-BR"/>
                    </w:rPr>
                  </w:pPr>
                </w:p>
              </w:tc>
            </w:tr>
            <w:tr w14:paraId="5EAF78B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135" w:type="dxa"/>
                  <w:gridSpan w:val="8"/>
                  <w:vAlign w:val="center"/>
                </w:tcPr>
                <w:p w14:paraId="0097E817">
                  <w:pPr>
                    <w:jc w:val="center"/>
                    <w:rPr>
                      <w:b/>
                      <w:bCs/>
                      <w:szCs w:val="21"/>
                      <w:lang w:val="pt-BR"/>
                    </w:rPr>
                  </w:pPr>
                  <w:r>
                    <w:rPr>
                      <w:rFonts w:hint="eastAsia"/>
                      <w:b/>
                      <w:bCs/>
                      <w:szCs w:val="21"/>
                      <w:lang w:val="pt-BR"/>
                    </w:rPr>
                    <w:t>解放路厂区</w:t>
                  </w:r>
                </w:p>
              </w:tc>
            </w:tr>
            <w:tr w14:paraId="78C542A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51" w:type="dxa"/>
                  <w:vMerge w:val="restart"/>
                  <w:vAlign w:val="center"/>
                </w:tcPr>
                <w:p w14:paraId="43C75797">
                  <w:pPr>
                    <w:autoSpaceDE w:val="0"/>
                    <w:autoSpaceDN w:val="0"/>
                    <w:adjustRightInd w:val="0"/>
                    <w:snapToGrid w:val="0"/>
                    <w:jc w:val="center"/>
                    <w:rPr>
                      <w:bCs/>
                      <w:kern w:val="0"/>
                      <w:szCs w:val="21"/>
                    </w:rPr>
                  </w:pPr>
                  <w:r>
                    <w:rPr>
                      <w:rFonts w:hint="eastAsia"/>
                      <w:bCs/>
                      <w:kern w:val="0"/>
                      <w:szCs w:val="21"/>
                    </w:rPr>
                    <w:t>活性炭吸脱附-催化燃烧装置</w:t>
                  </w:r>
                </w:p>
              </w:tc>
              <w:tc>
                <w:tcPr>
                  <w:tcW w:w="993" w:type="dxa"/>
                  <w:vMerge w:val="restart"/>
                  <w:vAlign w:val="center"/>
                </w:tcPr>
                <w:p w14:paraId="51781AF0">
                  <w:pPr>
                    <w:jc w:val="center"/>
                    <w:rPr>
                      <w:szCs w:val="21"/>
                    </w:rPr>
                  </w:pPr>
                  <w:r>
                    <w:rPr>
                      <w:rFonts w:hint="eastAsia"/>
                      <w:szCs w:val="21"/>
                    </w:rPr>
                    <w:t>污染物排放控制措施达不到应有效率，处理效率为10%</w:t>
                  </w:r>
                </w:p>
              </w:tc>
              <w:tc>
                <w:tcPr>
                  <w:tcW w:w="850" w:type="dxa"/>
                  <w:vAlign w:val="center"/>
                </w:tcPr>
                <w:p w14:paraId="07AE5649">
                  <w:pPr>
                    <w:jc w:val="center"/>
                    <w:rPr>
                      <w:szCs w:val="21"/>
                      <w:lang w:val="pt-BR"/>
                    </w:rPr>
                  </w:pPr>
                  <w:r>
                    <w:rPr>
                      <w:kern w:val="0"/>
                      <w:szCs w:val="21"/>
                    </w:rPr>
                    <w:t>非甲烷总烃</w:t>
                  </w:r>
                </w:p>
              </w:tc>
              <w:tc>
                <w:tcPr>
                  <w:tcW w:w="1276" w:type="dxa"/>
                  <w:vAlign w:val="center"/>
                </w:tcPr>
                <w:p w14:paraId="4630F3FA">
                  <w:pPr>
                    <w:jc w:val="center"/>
                    <w:rPr>
                      <w:szCs w:val="21"/>
                      <w:lang w:val="pt-BR"/>
                    </w:rPr>
                  </w:pPr>
                  <w:r>
                    <w:rPr>
                      <w:rFonts w:hint="eastAsia"/>
                      <w:szCs w:val="21"/>
                      <w:lang w:val="pt-BR"/>
                    </w:rPr>
                    <w:t>0.0032</w:t>
                  </w:r>
                </w:p>
              </w:tc>
              <w:tc>
                <w:tcPr>
                  <w:tcW w:w="992" w:type="dxa"/>
                  <w:vMerge w:val="restart"/>
                  <w:vAlign w:val="center"/>
                </w:tcPr>
                <w:p w14:paraId="5F0CA645">
                  <w:pPr>
                    <w:jc w:val="center"/>
                    <w:rPr>
                      <w:szCs w:val="21"/>
                      <w:lang w:val="pt-BR"/>
                    </w:rPr>
                  </w:pPr>
                  <w:r>
                    <w:rPr>
                      <w:rFonts w:hint="eastAsia"/>
                      <w:szCs w:val="21"/>
                      <w:lang w:val="pt-BR"/>
                    </w:rPr>
                    <w:t>0.25</w:t>
                  </w:r>
                </w:p>
              </w:tc>
              <w:tc>
                <w:tcPr>
                  <w:tcW w:w="851" w:type="dxa"/>
                  <w:vMerge w:val="restart"/>
                  <w:vAlign w:val="center"/>
                </w:tcPr>
                <w:p w14:paraId="035386DA">
                  <w:pPr>
                    <w:jc w:val="center"/>
                    <w:rPr>
                      <w:szCs w:val="21"/>
                      <w:lang w:val="pt-BR"/>
                    </w:rPr>
                  </w:pPr>
                  <w:r>
                    <w:rPr>
                      <w:rFonts w:hint="eastAsia"/>
                      <w:szCs w:val="21"/>
                      <w:lang w:val="pt-BR"/>
                    </w:rPr>
                    <w:t>1</w:t>
                  </w:r>
                </w:p>
              </w:tc>
              <w:tc>
                <w:tcPr>
                  <w:tcW w:w="1134" w:type="dxa"/>
                  <w:vAlign w:val="center"/>
                </w:tcPr>
                <w:p w14:paraId="36690E3F">
                  <w:pPr>
                    <w:jc w:val="center"/>
                    <w:rPr>
                      <w:szCs w:val="21"/>
                      <w:lang w:val="pt-BR"/>
                    </w:rPr>
                  </w:pPr>
                  <w:r>
                    <w:rPr>
                      <w:rFonts w:hint="eastAsia"/>
                      <w:szCs w:val="21"/>
                      <w:lang w:val="pt-BR"/>
                    </w:rPr>
                    <w:t>0.0008</w:t>
                  </w:r>
                </w:p>
              </w:tc>
              <w:tc>
                <w:tcPr>
                  <w:tcW w:w="588" w:type="dxa"/>
                  <w:vMerge w:val="restart"/>
                  <w:vAlign w:val="center"/>
                </w:tcPr>
                <w:p w14:paraId="77545171">
                  <w:pPr>
                    <w:jc w:val="center"/>
                    <w:rPr>
                      <w:szCs w:val="21"/>
                      <w:lang w:val="pt-BR"/>
                    </w:rPr>
                  </w:pPr>
                  <w:r>
                    <w:rPr>
                      <w:rFonts w:hint="eastAsia"/>
                      <w:szCs w:val="21"/>
                    </w:rPr>
                    <w:t>产生废气的工序及时停止运行</w:t>
                  </w:r>
                </w:p>
              </w:tc>
            </w:tr>
            <w:tr w14:paraId="10A8AF4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51" w:type="dxa"/>
                  <w:vMerge w:val="continue"/>
                  <w:vAlign w:val="center"/>
                </w:tcPr>
                <w:p w14:paraId="7B8A47DB">
                  <w:pPr>
                    <w:autoSpaceDE w:val="0"/>
                    <w:autoSpaceDN w:val="0"/>
                    <w:adjustRightInd w:val="0"/>
                    <w:snapToGrid w:val="0"/>
                    <w:jc w:val="center"/>
                    <w:rPr>
                      <w:bCs/>
                      <w:kern w:val="0"/>
                      <w:szCs w:val="21"/>
                    </w:rPr>
                  </w:pPr>
                </w:p>
              </w:tc>
              <w:tc>
                <w:tcPr>
                  <w:tcW w:w="993" w:type="dxa"/>
                  <w:vMerge w:val="continue"/>
                  <w:vAlign w:val="center"/>
                </w:tcPr>
                <w:p w14:paraId="02F38CBB">
                  <w:pPr>
                    <w:jc w:val="center"/>
                    <w:rPr>
                      <w:szCs w:val="21"/>
                    </w:rPr>
                  </w:pPr>
                </w:p>
              </w:tc>
              <w:tc>
                <w:tcPr>
                  <w:tcW w:w="850" w:type="dxa"/>
                  <w:vAlign w:val="center"/>
                </w:tcPr>
                <w:p w14:paraId="546A9243">
                  <w:pPr>
                    <w:jc w:val="center"/>
                    <w:rPr>
                      <w:szCs w:val="21"/>
                      <w:lang w:val="pt-BR"/>
                    </w:rPr>
                  </w:pPr>
                  <w:r>
                    <w:rPr>
                      <w:rFonts w:hint="eastAsia"/>
                      <w:szCs w:val="21"/>
                      <w:lang w:val="pt-BR"/>
                    </w:rPr>
                    <w:t>硫化氢</w:t>
                  </w:r>
                </w:p>
              </w:tc>
              <w:tc>
                <w:tcPr>
                  <w:tcW w:w="1276" w:type="dxa"/>
                  <w:vAlign w:val="center"/>
                </w:tcPr>
                <w:p w14:paraId="1779F441">
                  <w:pPr>
                    <w:jc w:val="center"/>
                    <w:rPr>
                      <w:szCs w:val="21"/>
                      <w:lang w:val="pt-BR"/>
                    </w:rPr>
                  </w:pPr>
                  <w:r>
                    <w:rPr>
                      <w:rFonts w:hint="eastAsia"/>
                      <w:szCs w:val="21"/>
                      <w:lang w:val="pt-BR"/>
                    </w:rPr>
                    <w:t>0.00018</w:t>
                  </w:r>
                </w:p>
              </w:tc>
              <w:tc>
                <w:tcPr>
                  <w:tcW w:w="992" w:type="dxa"/>
                  <w:vMerge w:val="continue"/>
                  <w:vAlign w:val="center"/>
                </w:tcPr>
                <w:p w14:paraId="3C9C18E9">
                  <w:pPr>
                    <w:jc w:val="center"/>
                    <w:rPr>
                      <w:szCs w:val="21"/>
                      <w:lang w:val="pt-BR"/>
                    </w:rPr>
                  </w:pPr>
                </w:p>
              </w:tc>
              <w:tc>
                <w:tcPr>
                  <w:tcW w:w="851" w:type="dxa"/>
                  <w:vMerge w:val="continue"/>
                  <w:vAlign w:val="center"/>
                </w:tcPr>
                <w:p w14:paraId="4B747E6E">
                  <w:pPr>
                    <w:jc w:val="center"/>
                    <w:rPr>
                      <w:szCs w:val="21"/>
                      <w:lang w:val="pt-BR"/>
                    </w:rPr>
                  </w:pPr>
                </w:p>
              </w:tc>
              <w:tc>
                <w:tcPr>
                  <w:tcW w:w="1134" w:type="dxa"/>
                  <w:vAlign w:val="center"/>
                </w:tcPr>
                <w:p w14:paraId="4F232F5B">
                  <w:pPr>
                    <w:jc w:val="center"/>
                    <w:rPr>
                      <w:szCs w:val="21"/>
                      <w:lang w:val="pt-BR"/>
                    </w:rPr>
                  </w:pPr>
                  <w:r>
                    <w:rPr>
                      <w:rFonts w:hint="eastAsia"/>
                      <w:szCs w:val="21"/>
                      <w:lang w:val="pt-BR"/>
                    </w:rPr>
                    <w:t>0.000045</w:t>
                  </w:r>
                </w:p>
              </w:tc>
              <w:tc>
                <w:tcPr>
                  <w:tcW w:w="588" w:type="dxa"/>
                  <w:vMerge w:val="continue"/>
                  <w:vAlign w:val="center"/>
                </w:tcPr>
                <w:p w14:paraId="13DC9765">
                  <w:pPr>
                    <w:jc w:val="center"/>
                    <w:rPr>
                      <w:szCs w:val="21"/>
                      <w:lang w:val="pt-BR"/>
                    </w:rPr>
                  </w:pPr>
                </w:p>
              </w:tc>
            </w:tr>
            <w:tr w14:paraId="081A428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451" w:type="dxa"/>
                  <w:vMerge w:val="continue"/>
                  <w:vAlign w:val="center"/>
                </w:tcPr>
                <w:p w14:paraId="095066CA">
                  <w:pPr>
                    <w:autoSpaceDE w:val="0"/>
                    <w:autoSpaceDN w:val="0"/>
                    <w:adjustRightInd w:val="0"/>
                    <w:snapToGrid w:val="0"/>
                    <w:jc w:val="center"/>
                    <w:rPr>
                      <w:bCs/>
                      <w:kern w:val="0"/>
                      <w:szCs w:val="21"/>
                    </w:rPr>
                  </w:pPr>
                </w:p>
              </w:tc>
              <w:tc>
                <w:tcPr>
                  <w:tcW w:w="993" w:type="dxa"/>
                  <w:vMerge w:val="continue"/>
                  <w:vAlign w:val="center"/>
                </w:tcPr>
                <w:p w14:paraId="6C841551">
                  <w:pPr>
                    <w:jc w:val="center"/>
                    <w:rPr>
                      <w:szCs w:val="21"/>
                    </w:rPr>
                  </w:pPr>
                </w:p>
              </w:tc>
              <w:tc>
                <w:tcPr>
                  <w:tcW w:w="850" w:type="dxa"/>
                  <w:vAlign w:val="center"/>
                </w:tcPr>
                <w:p w14:paraId="2232BEA3">
                  <w:pPr>
                    <w:jc w:val="center"/>
                    <w:rPr>
                      <w:szCs w:val="21"/>
                      <w:lang w:val="pt-BR"/>
                    </w:rPr>
                  </w:pPr>
                  <w:r>
                    <w:rPr>
                      <w:rFonts w:hint="eastAsia"/>
                      <w:szCs w:val="21"/>
                    </w:rPr>
                    <w:t>SO</w:t>
                  </w:r>
                  <w:r>
                    <w:rPr>
                      <w:rFonts w:hint="eastAsia"/>
                      <w:szCs w:val="21"/>
                      <w:vertAlign w:val="subscript"/>
                    </w:rPr>
                    <w:t>2</w:t>
                  </w:r>
                </w:p>
              </w:tc>
              <w:tc>
                <w:tcPr>
                  <w:tcW w:w="1276" w:type="dxa"/>
                  <w:vAlign w:val="center"/>
                </w:tcPr>
                <w:p w14:paraId="0FC83096">
                  <w:pPr>
                    <w:jc w:val="center"/>
                    <w:rPr>
                      <w:szCs w:val="21"/>
                      <w:lang w:val="pt-BR"/>
                    </w:rPr>
                  </w:pPr>
                  <w:r>
                    <w:rPr>
                      <w:rFonts w:hint="eastAsia"/>
                      <w:szCs w:val="21"/>
                      <w:lang w:val="pt-BR"/>
                    </w:rPr>
                    <w:t>0.00004</w:t>
                  </w:r>
                </w:p>
              </w:tc>
              <w:tc>
                <w:tcPr>
                  <w:tcW w:w="992" w:type="dxa"/>
                  <w:vMerge w:val="continue"/>
                  <w:vAlign w:val="center"/>
                </w:tcPr>
                <w:p w14:paraId="0DFC94E8">
                  <w:pPr>
                    <w:jc w:val="center"/>
                    <w:rPr>
                      <w:szCs w:val="21"/>
                      <w:lang w:val="pt-BR"/>
                    </w:rPr>
                  </w:pPr>
                </w:p>
              </w:tc>
              <w:tc>
                <w:tcPr>
                  <w:tcW w:w="851" w:type="dxa"/>
                  <w:vMerge w:val="continue"/>
                  <w:vAlign w:val="center"/>
                </w:tcPr>
                <w:p w14:paraId="2DE9346A">
                  <w:pPr>
                    <w:jc w:val="center"/>
                    <w:rPr>
                      <w:szCs w:val="21"/>
                      <w:lang w:val="pt-BR"/>
                    </w:rPr>
                  </w:pPr>
                </w:p>
              </w:tc>
              <w:tc>
                <w:tcPr>
                  <w:tcW w:w="1134" w:type="dxa"/>
                  <w:vAlign w:val="center"/>
                </w:tcPr>
                <w:p w14:paraId="668C9FD2">
                  <w:pPr>
                    <w:jc w:val="center"/>
                    <w:rPr>
                      <w:szCs w:val="21"/>
                      <w:lang w:val="pt-BR"/>
                    </w:rPr>
                  </w:pPr>
                  <w:r>
                    <w:rPr>
                      <w:rFonts w:hint="eastAsia"/>
                      <w:szCs w:val="21"/>
                      <w:lang w:val="pt-BR"/>
                    </w:rPr>
                    <w:t>0.00001</w:t>
                  </w:r>
                </w:p>
              </w:tc>
              <w:tc>
                <w:tcPr>
                  <w:tcW w:w="588" w:type="dxa"/>
                  <w:vMerge w:val="continue"/>
                  <w:vAlign w:val="center"/>
                </w:tcPr>
                <w:p w14:paraId="3BDC28E9">
                  <w:pPr>
                    <w:jc w:val="center"/>
                    <w:rPr>
                      <w:szCs w:val="21"/>
                      <w:lang w:val="pt-BR"/>
                    </w:rPr>
                  </w:pPr>
                </w:p>
              </w:tc>
            </w:tr>
          </w:tbl>
          <w:p w14:paraId="520AC6CF">
            <w:pPr>
              <w:spacing w:line="460" w:lineRule="exact"/>
              <w:ind w:firstLine="482" w:firstLineChars="200"/>
              <w:rPr>
                <w:b/>
                <w:sz w:val="24"/>
                <w:lang w:val="pt-BR"/>
              </w:rPr>
            </w:pPr>
            <w:r>
              <w:rPr>
                <w:rFonts w:hint="eastAsia"/>
                <w:b/>
                <w:sz w:val="24"/>
                <w:lang w:val="pt-BR"/>
              </w:rPr>
              <w:t>4</w:t>
            </w:r>
            <w:r>
              <w:rPr>
                <w:rFonts w:hint="eastAsia"/>
                <w:b/>
                <w:sz w:val="24"/>
              </w:rPr>
              <w:t>、大气污染防治措施分析</w:t>
            </w:r>
          </w:p>
          <w:p w14:paraId="520AC6D0">
            <w:pPr>
              <w:widowControl/>
              <w:spacing w:line="460" w:lineRule="exact"/>
              <w:ind w:firstLine="480" w:firstLineChars="200"/>
              <w:rPr>
                <w:bCs/>
                <w:sz w:val="24"/>
              </w:rPr>
            </w:pPr>
            <w:r>
              <w:rPr>
                <w:rFonts w:hint="eastAsia"/>
                <w:kern w:val="0"/>
                <w:sz w:val="24"/>
              </w:rPr>
              <w:t>（1）本项目建设路厂区废气主要为油类试验废气非甲烷总烃、抛丸废气颗粒物，</w:t>
            </w:r>
            <w:r>
              <w:rPr>
                <w:bCs/>
                <w:sz w:val="24"/>
              </w:rPr>
              <w:t>参照《</w:t>
            </w:r>
            <w:r>
              <w:rPr>
                <w:rFonts w:hint="eastAsia"/>
                <w:bCs/>
                <w:sz w:val="24"/>
              </w:rPr>
              <w:t>排污许可证申请与核发技术规范 储油库、加油站</w:t>
            </w:r>
            <w:r>
              <w:rPr>
                <w:bCs/>
                <w:sz w:val="24"/>
              </w:rPr>
              <w:t>》</w:t>
            </w:r>
            <w:r>
              <w:rPr>
                <w:rFonts w:hint="eastAsia"/>
                <w:bCs/>
                <w:sz w:val="24"/>
              </w:rPr>
              <w:t>（HJ 1118－2020）</w:t>
            </w:r>
            <w:r>
              <w:rPr>
                <w:bCs/>
                <w:sz w:val="24"/>
              </w:rPr>
              <w:t>附录</w:t>
            </w:r>
            <w:r>
              <w:rPr>
                <w:rFonts w:hint="eastAsia"/>
                <w:bCs/>
                <w:sz w:val="24"/>
              </w:rPr>
              <w:t>C表C.1储油库排污单位废气治理可行技术参考表</w:t>
            </w:r>
            <w:r>
              <w:rPr>
                <w:bCs/>
                <w:sz w:val="24"/>
              </w:rPr>
              <w:t>中</w:t>
            </w:r>
            <w:r>
              <w:rPr>
                <w:rFonts w:hint="eastAsia"/>
                <w:bCs/>
                <w:sz w:val="24"/>
              </w:rPr>
              <w:t>“油气回收装置排气筒挥发性有机物”</w:t>
            </w:r>
            <w:r>
              <w:rPr>
                <w:rFonts w:ascii="宋体" w:hAnsi="宋体"/>
                <w:bCs/>
                <w:sz w:val="24"/>
              </w:rPr>
              <w:t>推荐采取的可行技术为“</w:t>
            </w:r>
            <w:r>
              <w:rPr>
                <w:rFonts w:hint="eastAsia" w:ascii="宋体" w:hAnsi="宋体"/>
                <w:bCs/>
                <w:sz w:val="24"/>
              </w:rPr>
              <w:t>吸附、吸收、冷凝、膜分离、热力焚烧、催化燃烧或组合技术</w:t>
            </w:r>
            <w:r>
              <w:rPr>
                <w:rFonts w:ascii="宋体" w:hAnsi="宋体"/>
                <w:bCs/>
                <w:sz w:val="24"/>
              </w:rPr>
              <w:t>”</w:t>
            </w:r>
            <w:r>
              <w:rPr>
                <w:bCs/>
                <w:sz w:val="24"/>
              </w:rPr>
              <w:t>，本项目非甲烷总烃废气为</w:t>
            </w:r>
            <w:r>
              <w:rPr>
                <w:rFonts w:hint="eastAsia"/>
                <w:bCs/>
                <w:sz w:val="24"/>
              </w:rPr>
              <w:t>油类</w:t>
            </w:r>
            <w:r>
              <w:rPr>
                <w:bCs/>
                <w:sz w:val="24"/>
              </w:rPr>
              <w:t>试验时挥发的</w:t>
            </w:r>
            <w:r>
              <w:rPr>
                <w:rFonts w:hint="eastAsia"/>
                <w:bCs/>
                <w:sz w:val="24"/>
              </w:rPr>
              <w:t>有机</w:t>
            </w:r>
            <w:r>
              <w:rPr>
                <w:bCs/>
                <w:sz w:val="24"/>
              </w:rPr>
              <w:t>废气</w:t>
            </w:r>
            <w:r>
              <w:rPr>
                <w:rFonts w:hint="eastAsia"/>
                <w:bCs/>
                <w:sz w:val="24"/>
              </w:rPr>
              <w:t>，采用的措施为活性炭吸脱附-催化燃烧</w:t>
            </w:r>
            <w:r>
              <w:rPr>
                <w:rFonts w:hint="eastAsia"/>
                <w:sz w:val="24"/>
              </w:rPr>
              <w:t>的组合技术</w:t>
            </w:r>
            <w:r>
              <w:rPr>
                <w:rFonts w:hint="eastAsia"/>
                <w:bCs/>
                <w:sz w:val="24"/>
              </w:rPr>
              <w:t>，</w:t>
            </w:r>
            <w:r>
              <w:rPr>
                <w:bCs/>
                <w:sz w:val="24"/>
              </w:rPr>
              <w:t>符合技术规范的要求</w:t>
            </w:r>
            <w:r>
              <w:rPr>
                <w:rFonts w:hint="eastAsia"/>
                <w:bCs/>
                <w:sz w:val="24"/>
              </w:rPr>
              <w:t>。根据《排污许可证申请与核发技术规范 铁路、船舶、航空航天和其他运输设备制造业》（HJ 1124-2020）表C.3航空和航天设备制造排污单位废气污染防治推荐可行技术中抛丸产生的颗粒物推荐采取的可行技术为“袋式除尘、湿式除尘”，本项目抛丸废气污染物为颗粒物，采用的措施为袋式除尘器+水喷淋，</w:t>
            </w:r>
            <w:r>
              <w:rPr>
                <w:bCs/>
                <w:sz w:val="24"/>
              </w:rPr>
              <w:t>符合</w:t>
            </w:r>
            <w:r>
              <w:rPr>
                <w:rFonts w:hint="eastAsia"/>
                <w:bCs/>
                <w:sz w:val="24"/>
              </w:rPr>
              <w:t>技术规范要求。</w:t>
            </w:r>
          </w:p>
          <w:p w14:paraId="320AC66A">
            <w:pPr>
              <w:widowControl/>
              <w:spacing w:line="460" w:lineRule="exact"/>
              <w:ind w:firstLine="480" w:firstLineChars="200"/>
              <w:rPr>
                <w:b/>
                <w:kern w:val="0"/>
                <w:sz w:val="24"/>
              </w:rPr>
            </w:pPr>
            <w:r>
              <w:rPr>
                <w:rFonts w:hint="eastAsia"/>
                <w:bCs/>
                <w:sz w:val="24"/>
              </w:rPr>
              <w:t>（2）本项目解放路厂区废气主要为硫化工段产生的非甲烷总烃、硫化氢、臭气浓度，根据《排污许可证申请与核发技术规范 橡胶和塑料制品工业》（HJ1122-2020）表A.1橡胶制品工业排污单位废气污染防治可行性参考表，硫化工段产生的非甲烷总烃无推荐技术，臭气浓度、恶臭特征物质</w:t>
            </w:r>
            <w:r>
              <w:rPr>
                <w:bCs/>
                <w:sz w:val="24"/>
              </w:rPr>
              <w:t>推荐采取的可行技术为</w:t>
            </w:r>
            <w:r>
              <w:rPr>
                <w:rFonts w:hint="eastAsia"/>
                <w:bCs/>
                <w:sz w:val="24"/>
              </w:rPr>
              <w:t>喷淋、吸附、低温等离子体、UV光氧化、生物法两种及以上组合技术。根据《重污染天气重点行业应急减排措施制定技术指南》(2020年修订版)硫化工段产生的非甲烷总烃、臭气浓度、恶臭特征物质的废气治理技术为“喷淋、吸附、热力燃烧、催化燃烧、等离子体、低温等离子体、UV光催化/光氧化、生物法、以上组合技术”，本项目硫化工段废气采用活性炭吸脱附-催化燃烧的组合技术，</w:t>
            </w:r>
            <w:r>
              <w:rPr>
                <w:bCs/>
                <w:sz w:val="24"/>
              </w:rPr>
              <w:t>符合技术规范的要求</w:t>
            </w:r>
            <w:r>
              <w:rPr>
                <w:rFonts w:hint="eastAsia"/>
                <w:bCs/>
                <w:sz w:val="24"/>
              </w:rPr>
              <w:t>。</w:t>
            </w:r>
          </w:p>
          <w:p w14:paraId="520AC6D1">
            <w:pPr>
              <w:spacing w:line="460" w:lineRule="exact"/>
              <w:ind w:firstLine="482" w:firstLineChars="200"/>
              <w:rPr>
                <w:b/>
                <w:sz w:val="24"/>
              </w:rPr>
            </w:pPr>
            <w:r>
              <w:rPr>
                <w:rFonts w:hint="eastAsia"/>
                <w:b/>
                <w:sz w:val="24"/>
              </w:rPr>
              <w:t>5、大气环境影响分析</w:t>
            </w:r>
          </w:p>
          <w:p w14:paraId="4336814E">
            <w:pPr>
              <w:adjustRightInd w:val="0"/>
              <w:snapToGrid w:val="0"/>
              <w:spacing w:line="460" w:lineRule="exact"/>
              <w:ind w:firstLine="480" w:firstLineChars="200"/>
              <w:rPr>
                <w:bCs/>
                <w:sz w:val="24"/>
              </w:rPr>
            </w:pPr>
            <w:r>
              <w:rPr>
                <w:rFonts w:hint="eastAsia"/>
                <w:bCs/>
                <w:sz w:val="24"/>
              </w:rPr>
              <w:t>项目所在区域属于空气环境质量</w:t>
            </w:r>
            <w:r>
              <w:rPr>
                <w:rFonts w:hint="eastAsia"/>
                <w:sz w:val="24"/>
              </w:rPr>
              <w:t>不达标区</w:t>
            </w:r>
            <w:r>
              <w:rPr>
                <w:rFonts w:hint="eastAsia"/>
                <w:bCs/>
                <w:sz w:val="24"/>
              </w:rPr>
              <w:t>，项目产生的大气污染物通过削减区域现有污染源排放量进行替代。</w:t>
            </w:r>
          </w:p>
          <w:p w14:paraId="58348A05">
            <w:pPr>
              <w:adjustRightInd w:val="0"/>
              <w:snapToGrid w:val="0"/>
              <w:spacing w:line="460" w:lineRule="exact"/>
              <w:ind w:firstLine="482" w:firstLineChars="200"/>
              <w:rPr>
                <w:b/>
                <w:sz w:val="24"/>
              </w:rPr>
            </w:pPr>
            <w:r>
              <w:rPr>
                <w:rFonts w:hint="eastAsia"/>
                <w:b/>
                <w:sz w:val="24"/>
              </w:rPr>
              <w:t>（1）建设路厂区</w:t>
            </w:r>
          </w:p>
          <w:p w14:paraId="520AC6D2">
            <w:pPr>
              <w:adjustRightInd w:val="0"/>
              <w:snapToGrid w:val="0"/>
              <w:spacing w:line="460" w:lineRule="exact"/>
              <w:ind w:firstLine="480" w:firstLineChars="200"/>
              <w:rPr>
                <w:bCs/>
                <w:sz w:val="24"/>
              </w:rPr>
            </w:pPr>
            <w:r>
              <w:rPr>
                <w:rFonts w:hint="eastAsia"/>
                <w:sz w:val="24"/>
              </w:rPr>
              <w:t>本项目建设路厂区</w:t>
            </w:r>
            <w:r>
              <w:rPr>
                <w:rFonts w:hint="eastAsia"/>
                <w:bCs/>
                <w:sz w:val="24"/>
              </w:rPr>
              <w:t>大气污染物</w:t>
            </w:r>
            <w:r>
              <w:rPr>
                <w:rFonts w:hint="eastAsia"/>
                <w:bCs/>
                <w:kern w:val="0"/>
                <w:sz w:val="24"/>
              </w:rPr>
              <w:t>非甲烷总烃</w:t>
            </w:r>
            <w:r>
              <w:rPr>
                <w:rFonts w:hint="eastAsia"/>
                <w:bCs/>
                <w:sz w:val="24"/>
              </w:rPr>
              <w:t>排放满足</w:t>
            </w:r>
            <w:r>
              <w:rPr>
                <w:rFonts w:hint="eastAsia"/>
                <w:sz w:val="24"/>
              </w:rPr>
              <w:t>《大气污染物综合排放标准》（GB16297-1996）表2二级</w:t>
            </w:r>
            <w:r>
              <w:rPr>
                <w:rFonts w:hint="eastAsia"/>
                <w:bCs/>
                <w:sz w:val="24"/>
              </w:rPr>
              <w:t>非甲烷总烃有组织12</w:t>
            </w:r>
            <w:r>
              <w:rPr>
                <w:bCs/>
                <w:sz w:val="24"/>
              </w:rPr>
              <w:t>0mg/m</w:t>
            </w:r>
            <w:r>
              <w:rPr>
                <w:bCs/>
                <w:sz w:val="24"/>
                <w:vertAlign w:val="superscript"/>
              </w:rPr>
              <w:t>3</w:t>
            </w:r>
            <w:r>
              <w:rPr>
                <w:rFonts w:hint="eastAsia"/>
                <w:bCs/>
                <w:sz w:val="24"/>
              </w:rPr>
              <w:t>、10kg/h（15m高排气筒）</w:t>
            </w:r>
            <w:r>
              <w:rPr>
                <w:rFonts w:hint="eastAsia"/>
                <w:sz w:val="24"/>
              </w:rPr>
              <w:t>的限值要求，同时</w:t>
            </w:r>
            <w:r>
              <w:rPr>
                <w:bCs/>
                <w:kern w:val="0"/>
                <w:sz w:val="24"/>
              </w:rPr>
              <w:t>满足</w:t>
            </w:r>
            <w:r>
              <w:rPr>
                <w:rFonts w:hint="eastAsia"/>
                <w:bCs/>
                <w:kern w:val="0"/>
                <w:sz w:val="24"/>
              </w:rPr>
              <w:t>《关于全省开展工业企业挥发性有机物专项治理工作中排放建议限值的通知》（豫环攻坚办[2017]162号）</w:t>
            </w:r>
            <w:r>
              <w:rPr>
                <w:bCs/>
                <w:kern w:val="0"/>
                <w:sz w:val="24"/>
              </w:rPr>
              <w:t>附件</w:t>
            </w:r>
            <w:r>
              <w:rPr>
                <w:rFonts w:hint="eastAsia"/>
                <w:bCs/>
                <w:kern w:val="0"/>
                <w:sz w:val="24"/>
              </w:rPr>
              <w:t>1其他行业</w:t>
            </w:r>
            <w:r>
              <w:rPr>
                <w:bCs/>
                <w:kern w:val="0"/>
                <w:sz w:val="24"/>
              </w:rPr>
              <w:t>有机废气排放口非甲烷总烃</w:t>
            </w:r>
            <w:r>
              <w:rPr>
                <w:rFonts w:hint="eastAsia"/>
                <w:bCs/>
                <w:kern w:val="0"/>
                <w:sz w:val="24"/>
              </w:rPr>
              <w:t>8</w:t>
            </w:r>
            <w:r>
              <w:rPr>
                <w:bCs/>
                <w:kern w:val="0"/>
                <w:sz w:val="24"/>
              </w:rPr>
              <w:t>0mg/m</w:t>
            </w:r>
            <w:r>
              <w:rPr>
                <w:bCs/>
                <w:kern w:val="0"/>
                <w:sz w:val="24"/>
                <w:vertAlign w:val="superscript"/>
              </w:rPr>
              <w:t>3</w:t>
            </w:r>
            <w:r>
              <w:rPr>
                <w:rFonts w:hint="eastAsia"/>
                <w:bCs/>
                <w:sz w:val="24"/>
              </w:rPr>
              <w:t>、处理效率70%</w:t>
            </w:r>
            <w:r>
              <w:rPr>
                <w:bCs/>
                <w:kern w:val="0"/>
                <w:sz w:val="24"/>
              </w:rPr>
              <w:t>限值要求</w:t>
            </w:r>
            <w:r>
              <w:rPr>
                <w:rFonts w:hint="eastAsia"/>
                <w:bCs/>
                <w:kern w:val="0"/>
                <w:sz w:val="24"/>
              </w:rPr>
              <w:t>，</w:t>
            </w:r>
            <w:r>
              <w:rPr>
                <w:bCs/>
                <w:sz w:val="24"/>
              </w:rPr>
              <w:t>《河南省重污染天气通用行业应急减排措施制定技术指南》（2024年修订版）涉VOCs企业</w:t>
            </w:r>
            <w:r>
              <w:rPr>
                <w:rFonts w:hint="eastAsia"/>
                <w:sz w:val="24"/>
              </w:rPr>
              <w:t>非甲烷总烃有组织3</w:t>
            </w:r>
            <w:r>
              <w:rPr>
                <w:sz w:val="24"/>
              </w:rPr>
              <w:t>0mg/m</w:t>
            </w:r>
            <w:r>
              <w:rPr>
                <w:sz w:val="24"/>
                <w:vertAlign w:val="superscript"/>
              </w:rPr>
              <w:t>3</w:t>
            </w:r>
            <w:r>
              <w:rPr>
                <w:rFonts w:hint="eastAsia"/>
                <w:sz w:val="24"/>
              </w:rPr>
              <w:t>的限值要求</w:t>
            </w:r>
            <w:r>
              <w:rPr>
                <w:rFonts w:hint="eastAsia"/>
                <w:bCs/>
                <w:sz w:val="24"/>
              </w:rPr>
              <w:t>条件下，通过区域削减和污染物扩散，不会对周边环境造成明显影响。</w:t>
            </w:r>
          </w:p>
          <w:p w14:paraId="58482A78">
            <w:pPr>
              <w:adjustRightInd w:val="0"/>
              <w:snapToGrid w:val="0"/>
              <w:spacing w:line="460" w:lineRule="exact"/>
              <w:ind w:firstLine="480" w:firstLineChars="200"/>
              <w:rPr>
                <w:bCs/>
                <w:sz w:val="24"/>
              </w:rPr>
            </w:pPr>
            <w:r>
              <w:rPr>
                <w:rFonts w:hint="eastAsia"/>
                <w:bCs/>
                <w:sz w:val="24"/>
              </w:rPr>
              <w:t>颗粒物排放满足</w:t>
            </w:r>
            <w:r>
              <w:rPr>
                <w:rFonts w:hint="eastAsia"/>
                <w:sz w:val="24"/>
              </w:rPr>
              <w:t>《大气污染物综合排放标准》（GB16297-1996）表2二级颗粒物</w:t>
            </w:r>
            <w:r>
              <w:rPr>
                <w:rFonts w:hint="eastAsia"/>
                <w:bCs/>
                <w:sz w:val="24"/>
              </w:rPr>
              <w:t>组织12</w:t>
            </w:r>
            <w:r>
              <w:rPr>
                <w:bCs/>
                <w:sz w:val="24"/>
              </w:rPr>
              <w:t>0mg/m</w:t>
            </w:r>
            <w:r>
              <w:rPr>
                <w:bCs/>
                <w:sz w:val="24"/>
                <w:vertAlign w:val="superscript"/>
              </w:rPr>
              <w:t>3</w:t>
            </w:r>
            <w:r>
              <w:rPr>
                <w:rFonts w:hint="eastAsia"/>
                <w:bCs/>
                <w:sz w:val="24"/>
              </w:rPr>
              <w:t>、3.5kg/h（15m高排气筒）</w:t>
            </w:r>
            <w:r>
              <w:rPr>
                <w:rFonts w:hint="eastAsia"/>
                <w:sz w:val="24"/>
              </w:rPr>
              <w:t>的限值要求，同时</w:t>
            </w:r>
            <w:r>
              <w:rPr>
                <w:bCs/>
                <w:kern w:val="0"/>
                <w:sz w:val="24"/>
              </w:rPr>
              <w:t>满足《新乡市生态环境局关于进一步规范工业企业颗粒物排放限值的通知》其他涉气工业企业</w:t>
            </w:r>
            <w:r>
              <w:rPr>
                <w:rFonts w:hint="eastAsia"/>
                <w:bCs/>
                <w:kern w:val="0"/>
                <w:sz w:val="24"/>
              </w:rPr>
              <w:t>有组织10mg/m</w:t>
            </w:r>
            <w:r>
              <w:rPr>
                <w:rFonts w:hint="eastAsia"/>
                <w:bCs/>
                <w:kern w:val="0"/>
                <w:sz w:val="24"/>
                <w:vertAlign w:val="superscript"/>
              </w:rPr>
              <w:t>3</w:t>
            </w:r>
            <w:r>
              <w:rPr>
                <w:rFonts w:hint="eastAsia"/>
                <w:sz w:val="24"/>
              </w:rPr>
              <w:t>的限值要求</w:t>
            </w:r>
            <w:r>
              <w:rPr>
                <w:rFonts w:hint="eastAsia"/>
                <w:bCs/>
                <w:sz w:val="24"/>
              </w:rPr>
              <w:t>条件下，通过区域削减和污染物扩散，不会对周边环境造成明显影响。</w:t>
            </w:r>
          </w:p>
          <w:p w14:paraId="19003CF9">
            <w:pPr>
              <w:adjustRightInd w:val="0"/>
              <w:snapToGrid w:val="0"/>
              <w:spacing w:line="460" w:lineRule="exact"/>
              <w:ind w:firstLine="482" w:firstLineChars="200"/>
              <w:rPr>
                <w:b/>
                <w:bCs/>
                <w:sz w:val="24"/>
              </w:rPr>
            </w:pPr>
            <w:r>
              <w:rPr>
                <w:rFonts w:hint="eastAsia"/>
                <w:b/>
                <w:bCs/>
                <w:sz w:val="24"/>
              </w:rPr>
              <w:t>（2）解放路厂区</w:t>
            </w:r>
          </w:p>
          <w:p w14:paraId="773382D6">
            <w:pPr>
              <w:adjustRightInd w:val="0"/>
              <w:snapToGrid w:val="0"/>
              <w:spacing w:line="460" w:lineRule="exact"/>
              <w:ind w:firstLine="480" w:firstLineChars="200"/>
              <w:rPr>
                <w:bCs/>
                <w:sz w:val="24"/>
              </w:rPr>
            </w:pPr>
            <w:r>
              <w:rPr>
                <w:rFonts w:hint="eastAsia"/>
                <w:sz w:val="24"/>
              </w:rPr>
              <w:t>本项目解放路厂区</w:t>
            </w:r>
            <w:r>
              <w:rPr>
                <w:rFonts w:hint="eastAsia"/>
                <w:bCs/>
                <w:sz w:val="24"/>
              </w:rPr>
              <w:t>大气污染物</w:t>
            </w:r>
            <w:r>
              <w:rPr>
                <w:rFonts w:hint="eastAsia"/>
                <w:bCs/>
                <w:kern w:val="0"/>
                <w:sz w:val="24"/>
              </w:rPr>
              <w:t>非甲烷总烃</w:t>
            </w:r>
            <w:r>
              <w:rPr>
                <w:rFonts w:hint="eastAsia"/>
                <w:bCs/>
                <w:sz w:val="24"/>
              </w:rPr>
              <w:t>排放满足《橡胶制品工业污染物排放标准》（GB27632-2011）中非甲烷总烃10</w:t>
            </w:r>
            <w:r>
              <w:rPr>
                <w:bCs/>
                <w:sz w:val="24"/>
              </w:rPr>
              <w:t>mg/m</w:t>
            </w:r>
            <w:r>
              <w:rPr>
                <w:bCs/>
                <w:sz w:val="24"/>
                <w:vertAlign w:val="superscript"/>
              </w:rPr>
              <w:t>3</w:t>
            </w:r>
            <w:r>
              <w:rPr>
                <w:rFonts w:hint="eastAsia"/>
                <w:bCs/>
                <w:sz w:val="24"/>
              </w:rPr>
              <w:t>，经折算后非甲烷总烃排放浓度能够满足《橡胶制品工业污染物排放标准》（GB27632-2011）基准排气量条件下非甲烷总烃有组织排放浓度10mg/m</w:t>
            </w:r>
            <w:r>
              <w:rPr>
                <w:rFonts w:hint="eastAsia"/>
                <w:bCs/>
                <w:sz w:val="24"/>
                <w:vertAlign w:val="superscript"/>
              </w:rPr>
              <w:t>3</w:t>
            </w:r>
            <w:r>
              <w:rPr>
                <w:rFonts w:hint="eastAsia"/>
                <w:bCs/>
                <w:sz w:val="24"/>
              </w:rPr>
              <w:t>的限值要求条件下，通过区域削减和污染物扩散，不会对周边环境造成明显影响。</w:t>
            </w:r>
          </w:p>
          <w:p w14:paraId="47AF5297">
            <w:pPr>
              <w:adjustRightInd w:val="0"/>
              <w:snapToGrid w:val="0"/>
              <w:spacing w:line="460" w:lineRule="exact"/>
              <w:ind w:firstLine="480" w:firstLineChars="200"/>
              <w:rPr>
                <w:bCs/>
                <w:sz w:val="24"/>
              </w:rPr>
            </w:pPr>
            <w:r>
              <w:rPr>
                <w:rFonts w:hint="eastAsia"/>
                <w:bCs/>
                <w:sz w:val="24"/>
              </w:rPr>
              <w:t>硫化氢、臭气浓度排放能够满足《恶臭污染物排放标准》（GB 14554-93）表2 硫化氢0.33</w:t>
            </w:r>
            <w:r>
              <w:rPr>
                <w:bCs/>
                <w:sz w:val="24"/>
              </w:rPr>
              <w:t>kg/h</w:t>
            </w:r>
            <w:r>
              <w:rPr>
                <w:rFonts w:hint="eastAsia"/>
                <w:bCs/>
                <w:sz w:val="24"/>
              </w:rPr>
              <w:t>、臭气浓度2000（无量纲）的限值要求条件下，通过区域削减和污染物扩散，不会对周边环境造成明显影响。</w:t>
            </w:r>
          </w:p>
          <w:p w14:paraId="4CDC1D35">
            <w:pPr>
              <w:adjustRightInd w:val="0"/>
              <w:snapToGrid w:val="0"/>
              <w:spacing w:line="460" w:lineRule="exact"/>
              <w:ind w:firstLine="480" w:firstLineChars="200"/>
              <w:rPr>
                <w:bCs/>
                <w:sz w:val="24"/>
              </w:rPr>
            </w:pPr>
            <w:r>
              <w:rPr>
                <w:rFonts w:hint="eastAsia"/>
                <w:bCs/>
                <w:sz w:val="24"/>
              </w:rPr>
              <w:t>SO</w:t>
            </w:r>
            <w:r>
              <w:rPr>
                <w:rFonts w:hint="eastAsia"/>
                <w:bCs/>
                <w:sz w:val="24"/>
                <w:vertAlign w:val="subscript"/>
              </w:rPr>
              <w:t>2</w:t>
            </w:r>
            <w:r>
              <w:rPr>
                <w:bCs/>
                <w:sz w:val="24"/>
              </w:rPr>
              <w:t>能够满足</w:t>
            </w:r>
            <w:r>
              <w:rPr>
                <w:rFonts w:hint="eastAsia"/>
                <w:sz w:val="24"/>
              </w:rPr>
              <w:t>《大气污染物综合排放标准》（GB16297-1996）表2二级</w:t>
            </w:r>
            <w:r>
              <w:rPr>
                <w:rFonts w:hint="eastAsia"/>
                <w:bCs/>
                <w:sz w:val="24"/>
              </w:rPr>
              <w:t>SO</w:t>
            </w:r>
            <w:r>
              <w:rPr>
                <w:rFonts w:hint="eastAsia"/>
                <w:bCs/>
                <w:sz w:val="24"/>
                <w:vertAlign w:val="subscript"/>
              </w:rPr>
              <w:t>2</w:t>
            </w:r>
            <w:r>
              <w:rPr>
                <w:rFonts w:hint="eastAsia"/>
                <w:bCs/>
                <w:sz w:val="24"/>
              </w:rPr>
              <w:t xml:space="preserve"> 550mg/m</w:t>
            </w:r>
            <w:r>
              <w:rPr>
                <w:rFonts w:hint="eastAsia"/>
                <w:bCs/>
                <w:sz w:val="24"/>
                <w:vertAlign w:val="superscript"/>
              </w:rPr>
              <w:t>3</w:t>
            </w:r>
            <w:r>
              <w:rPr>
                <w:rFonts w:hint="eastAsia"/>
                <w:sz w:val="24"/>
              </w:rPr>
              <w:t>的标准限值要求，同时</w:t>
            </w:r>
            <w:r>
              <w:rPr>
                <w:bCs/>
                <w:sz w:val="24"/>
              </w:rPr>
              <w:t>能够满足</w:t>
            </w:r>
            <w:r>
              <w:rPr>
                <w:rFonts w:hint="eastAsia"/>
                <w:bCs/>
                <w:sz w:val="24"/>
              </w:rPr>
              <w:t>《新乡市环境污染防治攻坚指挥部办公室关于规范焚烧炉正常运行的环保管理意见》废气焚烧炉（SO</w:t>
            </w:r>
            <w:r>
              <w:rPr>
                <w:rFonts w:hint="eastAsia"/>
                <w:bCs/>
                <w:sz w:val="24"/>
                <w:vertAlign w:val="subscript"/>
              </w:rPr>
              <w:t>2</w:t>
            </w:r>
            <w:r>
              <w:rPr>
                <w:rFonts w:hint="eastAsia"/>
                <w:bCs/>
                <w:sz w:val="24"/>
              </w:rPr>
              <w:t xml:space="preserve"> 20mg/m</w:t>
            </w:r>
            <w:r>
              <w:rPr>
                <w:rFonts w:hint="eastAsia"/>
                <w:bCs/>
                <w:sz w:val="24"/>
                <w:vertAlign w:val="superscript"/>
              </w:rPr>
              <w:t>3</w:t>
            </w:r>
            <w:r>
              <w:rPr>
                <w:rFonts w:hint="eastAsia"/>
                <w:bCs/>
                <w:sz w:val="24"/>
              </w:rPr>
              <w:t>）的限值要求条件下，通过区域削减和污染物扩散，不会对周边环境造成明显影响。</w:t>
            </w:r>
          </w:p>
          <w:p w14:paraId="520AC6D3">
            <w:pPr>
              <w:adjustRightInd w:val="0"/>
              <w:snapToGrid w:val="0"/>
              <w:spacing w:line="460" w:lineRule="exact"/>
              <w:ind w:firstLine="480" w:firstLineChars="200"/>
              <w:rPr>
                <w:sz w:val="24"/>
              </w:rPr>
            </w:pPr>
            <w:r>
              <w:rPr>
                <w:rFonts w:hint="eastAsia"/>
                <w:bCs/>
                <w:sz w:val="24"/>
              </w:rPr>
              <w:t>综上所述，评价认为项目建成运行过程中对周围大气环境影响可以接受。</w:t>
            </w:r>
          </w:p>
          <w:p w14:paraId="520AC6D4">
            <w:pPr>
              <w:spacing w:line="460" w:lineRule="exact"/>
              <w:ind w:firstLine="482" w:firstLineChars="200"/>
              <w:rPr>
                <w:b/>
                <w:sz w:val="24"/>
              </w:rPr>
            </w:pPr>
            <w:r>
              <w:rPr>
                <w:rFonts w:hint="eastAsia"/>
                <w:b/>
                <w:sz w:val="24"/>
              </w:rPr>
              <w:t>6、</w:t>
            </w:r>
            <w:r>
              <w:rPr>
                <w:b/>
                <w:sz w:val="24"/>
              </w:rPr>
              <w:t>废气污染物排放核算量</w:t>
            </w:r>
          </w:p>
          <w:p w14:paraId="520AC6D5">
            <w:pPr>
              <w:spacing w:line="460" w:lineRule="exact"/>
              <w:ind w:firstLine="480" w:firstLineChars="200"/>
              <w:rPr>
                <w:sz w:val="24"/>
              </w:rPr>
            </w:pPr>
            <w:r>
              <w:rPr>
                <w:rFonts w:hint="eastAsia"/>
                <w:sz w:val="24"/>
              </w:rPr>
              <w:t>（1）</w:t>
            </w:r>
            <w:r>
              <w:rPr>
                <w:sz w:val="24"/>
              </w:rPr>
              <w:t>大气污染物有组织排放核算</w:t>
            </w:r>
          </w:p>
          <w:p w14:paraId="520AC6D6">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634</w:t>
            </w:r>
            <w:r>
              <w:rPr>
                <w:rFonts w:eastAsia="黑体"/>
                <w:sz w:val="24"/>
              </w:rPr>
              <w:t xml:space="preserve">           大气污染物有组织排放量核算表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88"/>
              <w:gridCol w:w="1572"/>
              <w:gridCol w:w="1162"/>
              <w:gridCol w:w="1594"/>
              <w:gridCol w:w="1599"/>
              <w:gridCol w:w="1620"/>
            </w:tblGrid>
            <w:tr w14:paraId="520AC6D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361" w:type="pct"/>
                  <w:vAlign w:val="center"/>
                </w:tcPr>
                <w:p w14:paraId="520AC6D7">
                  <w:pPr>
                    <w:autoSpaceDE w:val="0"/>
                    <w:autoSpaceDN w:val="0"/>
                    <w:adjustRightInd w:val="0"/>
                    <w:snapToGrid w:val="0"/>
                    <w:jc w:val="center"/>
                    <w:rPr>
                      <w:b/>
                      <w:szCs w:val="21"/>
                    </w:rPr>
                  </w:pPr>
                  <w:r>
                    <w:rPr>
                      <w:b/>
                      <w:szCs w:val="21"/>
                    </w:rPr>
                    <w:t>序号</w:t>
                  </w:r>
                </w:p>
              </w:tc>
              <w:tc>
                <w:tcPr>
                  <w:tcW w:w="966" w:type="pct"/>
                  <w:vAlign w:val="center"/>
                </w:tcPr>
                <w:p w14:paraId="520AC6D8">
                  <w:pPr>
                    <w:autoSpaceDE w:val="0"/>
                    <w:autoSpaceDN w:val="0"/>
                    <w:adjustRightInd w:val="0"/>
                    <w:snapToGrid w:val="0"/>
                    <w:jc w:val="center"/>
                    <w:rPr>
                      <w:b/>
                      <w:szCs w:val="21"/>
                    </w:rPr>
                  </w:pPr>
                  <w:r>
                    <w:rPr>
                      <w:b/>
                      <w:szCs w:val="21"/>
                    </w:rPr>
                    <w:t>排放口编号</w:t>
                  </w:r>
                </w:p>
              </w:tc>
              <w:tc>
                <w:tcPr>
                  <w:tcW w:w="714" w:type="pct"/>
                  <w:vAlign w:val="center"/>
                </w:tcPr>
                <w:p w14:paraId="520AC6D9">
                  <w:pPr>
                    <w:autoSpaceDE w:val="0"/>
                    <w:autoSpaceDN w:val="0"/>
                    <w:adjustRightInd w:val="0"/>
                    <w:snapToGrid w:val="0"/>
                    <w:jc w:val="center"/>
                    <w:rPr>
                      <w:b/>
                      <w:szCs w:val="21"/>
                    </w:rPr>
                  </w:pPr>
                  <w:r>
                    <w:rPr>
                      <w:b/>
                      <w:szCs w:val="21"/>
                    </w:rPr>
                    <w:t>污染物</w:t>
                  </w:r>
                </w:p>
              </w:tc>
              <w:tc>
                <w:tcPr>
                  <w:tcW w:w="980" w:type="pct"/>
                  <w:vAlign w:val="center"/>
                </w:tcPr>
                <w:p w14:paraId="520AC6DA">
                  <w:pPr>
                    <w:autoSpaceDE w:val="0"/>
                    <w:autoSpaceDN w:val="0"/>
                    <w:adjustRightInd w:val="0"/>
                    <w:snapToGrid w:val="0"/>
                    <w:jc w:val="center"/>
                    <w:rPr>
                      <w:b/>
                      <w:szCs w:val="21"/>
                    </w:rPr>
                  </w:pPr>
                  <w:r>
                    <w:rPr>
                      <w:b/>
                      <w:szCs w:val="21"/>
                    </w:rPr>
                    <w:t>核算排放浓度/（mg/m</w:t>
                  </w:r>
                  <w:r>
                    <w:rPr>
                      <w:b/>
                      <w:szCs w:val="21"/>
                      <w:vertAlign w:val="superscript"/>
                    </w:rPr>
                    <w:t>3</w:t>
                  </w:r>
                  <w:r>
                    <w:rPr>
                      <w:b/>
                      <w:szCs w:val="21"/>
                    </w:rPr>
                    <w:t>）</w:t>
                  </w:r>
                </w:p>
              </w:tc>
              <w:tc>
                <w:tcPr>
                  <w:tcW w:w="983" w:type="pct"/>
                  <w:vAlign w:val="center"/>
                </w:tcPr>
                <w:p w14:paraId="520AC6DB">
                  <w:pPr>
                    <w:autoSpaceDE w:val="0"/>
                    <w:autoSpaceDN w:val="0"/>
                    <w:adjustRightInd w:val="0"/>
                    <w:snapToGrid w:val="0"/>
                    <w:jc w:val="center"/>
                    <w:rPr>
                      <w:b/>
                      <w:szCs w:val="21"/>
                    </w:rPr>
                  </w:pPr>
                  <w:r>
                    <w:rPr>
                      <w:b/>
                      <w:szCs w:val="21"/>
                    </w:rPr>
                    <w:t>核算排放速率/（kg/h）</w:t>
                  </w:r>
                </w:p>
              </w:tc>
              <w:tc>
                <w:tcPr>
                  <w:tcW w:w="996" w:type="pct"/>
                  <w:vAlign w:val="center"/>
                </w:tcPr>
                <w:p w14:paraId="520AC6DC">
                  <w:pPr>
                    <w:autoSpaceDE w:val="0"/>
                    <w:autoSpaceDN w:val="0"/>
                    <w:adjustRightInd w:val="0"/>
                    <w:snapToGrid w:val="0"/>
                    <w:jc w:val="center"/>
                    <w:rPr>
                      <w:b/>
                      <w:szCs w:val="21"/>
                    </w:rPr>
                  </w:pPr>
                  <w:r>
                    <w:rPr>
                      <w:b/>
                      <w:szCs w:val="21"/>
                    </w:rPr>
                    <w:t>核算年排放量/（t/a）</w:t>
                  </w:r>
                </w:p>
              </w:tc>
            </w:tr>
            <w:tr w14:paraId="7FA8C5C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00" w:type="pct"/>
                  <w:gridSpan w:val="6"/>
                  <w:vAlign w:val="center"/>
                </w:tcPr>
                <w:p w14:paraId="4D2781BB">
                  <w:pPr>
                    <w:adjustRightInd w:val="0"/>
                    <w:snapToGrid w:val="0"/>
                    <w:jc w:val="center"/>
                    <w:textAlignment w:val="baseline"/>
                    <w:rPr>
                      <w:b/>
                      <w:bCs/>
                      <w:szCs w:val="21"/>
                    </w:rPr>
                  </w:pPr>
                  <w:r>
                    <w:rPr>
                      <w:rFonts w:hint="eastAsia"/>
                      <w:b/>
                      <w:bCs/>
                      <w:szCs w:val="21"/>
                    </w:rPr>
                    <w:t>建设路厂区</w:t>
                  </w:r>
                </w:p>
              </w:tc>
            </w:tr>
            <w:tr w14:paraId="34D557D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61" w:type="pct"/>
                  <w:vAlign w:val="center"/>
                </w:tcPr>
                <w:p w14:paraId="06A59CFA">
                  <w:pPr>
                    <w:autoSpaceDE w:val="0"/>
                    <w:autoSpaceDN w:val="0"/>
                    <w:adjustRightInd w:val="0"/>
                    <w:snapToGrid w:val="0"/>
                    <w:jc w:val="center"/>
                    <w:rPr>
                      <w:szCs w:val="21"/>
                    </w:rPr>
                  </w:pPr>
                  <w:r>
                    <w:rPr>
                      <w:szCs w:val="21"/>
                    </w:rPr>
                    <w:t>1</w:t>
                  </w:r>
                </w:p>
              </w:tc>
              <w:tc>
                <w:tcPr>
                  <w:tcW w:w="966" w:type="pct"/>
                  <w:vAlign w:val="center"/>
                </w:tcPr>
                <w:p w14:paraId="1A83D77F">
                  <w:pPr>
                    <w:autoSpaceDE w:val="0"/>
                    <w:autoSpaceDN w:val="0"/>
                    <w:adjustRightInd w:val="0"/>
                    <w:snapToGrid w:val="0"/>
                    <w:jc w:val="center"/>
                    <w:rPr>
                      <w:szCs w:val="21"/>
                    </w:rPr>
                  </w:pPr>
                  <w:r>
                    <w:rPr>
                      <w:szCs w:val="21"/>
                    </w:rPr>
                    <w:t>排气筒DA0</w:t>
                  </w:r>
                  <w:r>
                    <w:rPr>
                      <w:rFonts w:hint="eastAsia"/>
                      <w:szCs w:val="21"/>
                    </w:rPr>
                    <w:t>19</w:t>
                  </w:r>
                </w:p>
              </w:tc>
              <w:tc>
                <w:tcPr>
                  <w:tcW w:w="714" w:type="pct"/>
                  <w:vAlign w:val="center"/>
                </w:tcPr>
                <w:p w14:paraId="4EEEF136">
                  <w:pPr>
                    <w:jc w:val="center"/>
                    <w:rPr>
                      <w:szCs w:val="21"/>
                    </w:rPr>
                  </w:pPr>
                  <w:r>
                    <w:rPr>
                      <w:rFonts w:hint="eastAsia"/>
                      <w:szCs w:val="21"/>
                    </w:rPr>
                    <w:t>颗粒物</w:t>
                  </w:r>
                </w:p>
              </w:tc>
              <w:tc>
                <w:tcPr>
                  <w:tcW w:w="980" w:type="pct"/>
                  <w:vAlign w:val="center"/>
                </w:tcPr>
                <w:p w14:paraId="3FA888CC">
                  <w:pPr>
                    <w:adjustRightInd w:val="0"/>
                    <w:snapToGrid w:val="0"/>
                    <w:jc w:val="center"/>
                    <w:textAlignment w:val="baseline"/>
                    <w:rPr>
                      <w:szCs w:val="21"/>
                    </w:rPr>
                  </w:pPr>
                  <w:r>
                    <w:rPr>
                      <w:rFonts w:hint="eastAsia"/>
                      <w:szCs w:val="21"/>
                    </w:rPr>
                    <w:t>2.7</w:t>
                  </w:r>
                </w:p>
              </w:tc>
              <w:tc>
                <w:tcPr>
                  <w:tcW w:w="983" w:type="pct"/>
                  <w:vAlign w:val="center"/>
                </w:tcPr>
                <w:p w14:paraId="3F94CE54">
                  <w:pPr>
                    <w:adjustRightInd w:val="0"/>
                    <w:snapToGrid w:val="0"/>
                    <w:jc w:val="center"/>
                    <w:textAlignment w:val="baseline"/>
                    <w:rPr>
                      <w:szCs w:val="21"/>
                    </w:rPr>
                  </w:pPr>
                  <w:r>
                    <w:rPr>
                      <w:rFonts w:hint="eastAsia"/>
                      <w:szCs w:val="21"/>
                    </w:rPr>
                    <w:t>0.004</w:t>
                  </w:r>
                </w:p>
              </w:tc>
              <w:tc>
                <w:tcPr>
                  <w:tcW w:w="996" w:type="pct"/>
                  <w:vAlign w:val="center"/>
                </w:tcPr>
                <w:p w14:paraId="4ABC4CA6">
                  <w:pPr>
                    <w:adjustRightInd w:val="0"/>
                    <w:snapToGrid w:val="0"/>
                    <w:jc w:val="center"/>
                    <w:textAlignment w:val="baseline"/>
                    <w:rPr>
                      <w:szCs w:val="21"/>
                    </w:rPr>
                  </w:pPr>
                  <w:r>
                    <w:rPr>
                      <w:rFonts w:hint="eastAsia"/>
                      <w:szCs w:val="21"/>
                    </w:rPr>
                    <w:t>0.002</w:t>
                  </w:r>
                </w:p>
              </w:tc>
            </w:tr>
            <w:tr w14:paraId="520AC6E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61" w:type="pct"/>
                  <w:vAlign w:val="center"/>
                </w:tcPr>
                <w:p w14:paraId="520AC6DE">
                  <w:pPr>
                    <w:autoSpaceDE w:val="0"/>
                    <w:autoSpaceDN w:val="0"/>
                    <w:adjustRightInd w:val="0"/>
                    <w:snapToGrid w:val="0"/>
                    <w:jc w:val="center"/>
                    <w:rPr>
                      <w:szCs w:val="21"/>
                    </w:rPr>
                  </w:pPr>
                  <w:r>
                    <w:rPr>
                      <w:rFonts w:hint="eastAsia"/>
                      <w:szCs w:val="21"/>
                    </w:rPr>
                    <w:t>2</w:t>
                  </w:r>
                </w:p>
              </w:tc>
              <w:tc>
                <w:tcPr>
                  <w:tcW w:w="966" w:type="pct"/>
                  <w:vAlign w:val="center"/>
                </w:tcPr>
                <w:p w14:paraId="520AC6DF">
                  <w:pPr>
                    <w:autoSpaceDE w:val="0"/>
                    <w:autoSpaceDN w:val="0"/>
                    <w:adjustRightInd w:val="0"/>
                    <w:snapToGrid w:val="0"/>
                    <w:jc w:val="center"/>
                    <w:rPr>
                      <w:szCs w:val="21"/>
                    </w:rPr>
                  </w:pPr>
                  <w:r>
                    <w:rPr>
                      <w:szCs w:val="21"/>
                    </w:rPr>
                    <w:t>排气筒DA0</w:t>
                  </w:r>
                  <w:r>
                    <w:rPr>
                      <w:rFonts w:hint="eastAsia"/>
                      <w:szCs w:val="21"/>
                    </w:rPr>
                    <w:t>25</w:t>
                  </w:r>
                </w:p>
              </w:tc>
              <w:tc>
                <w:tcPr>
                  <w:tcW w:w="714" w:type="pct"/>
                  <w:vAlign w:val="center"/>
                </w:tcPr>
                <w:p w14:paraId="520AC6E0">
                  <w:pPr>
                    <w:jc w:val="center"/>
                    <w:rPr>
                      <w:szCs w:val="21"/>
                    </w:rPr>
                  </w:pPr>
                  <w:r>
                    <w:rPr>
                      <w:rFonts w:hint="eastAsia"/>
                      <w:szCs w:val="21"/>
                    </w:rPr>
                    <w:t>非甲烷总烃</w:t>
                  </w:r>
                </w:p>
              </w:tc>
              <w:tc>
                <w:tcPr>
                  <w:tcW w:w="980" w:type="pct"/>
                  <w:vAlign w:val="center"/>
                </w:tcPr>
                <w:p w14:paraId="520AC6E1">
                  <w:pPr>
                    <w:adjustRightInd w:val="0"/>
                    <w:snapToGrid w:val="0"/>
                    <w:jc w:val="center"/>
                    <w:textAlignment w:val="baseline"/>
                    <w:rPr>
                      <w:szCs w:val="21"/>
                    </w:rPr>
                  </w:pPr>
                  <w:r>
                    <w:rPr>
                      <w:rFonts w:hint="eastAsia"/>
                      <w:szCs w:val="21"/>
                    </w:rPr>
                    <w:t>0.4</w:t>
                  </w:r>
                </w:p>
              </w:tc>
              <w:tc>
                <w:tcPr>
                  <w:tcW w:w="983" w:type="pct"/>
                  <w:vAlign w:val="center"/>
                </w:tcPr>
                <w:p w14:paraId="520AC6E2">
                  <w:pPr>
                    <w:adjustRightInd w:val="0"/>
                    <w:snapToGrid w:val="0"/>
                    <w:jc w:val="center"/>
                    <w:textAlignment w:val="baseline"/>
                    <w:rPr>
                      <w:szCs w:val="21"/>
                    </w:rPr>
                  </w:pPr>
                  <w:r>
                    <w:rPr>
                      <w:rFonts w:hint="eastAsia"/>
                      <w:szCs w:val="21"/>
                    </w:rPr>
                    <w:t>0.0014</w:t>
                  </w:r>
                </w:p>
              </w:tc>
              <w:tc>
                <w:tcPr>
                  <w:tcW w:w="996" w:type="pct"/>
                  <w:vAlign w:val="center"/>
                </w:tcPr>
                <w:p w14:paraId="520AC6E3">
                  <w:pPr>
                    <w:adjustRightInd w:val="0"/>
                    <w:snapToGrid w:val="0"/>
                    <w:jc w:val="center"/>
                    <w:textAlignment w:val="baseline"/>
                    <w:rPr>
                      <w:szCs w:val="21"/>
                    </w:rPr>
                  </w:pPr>
                  <w:r>
                    <w:rPr>
                      <w:rFonts w:hint="eastAsia"/>
                      <w:szCs w:val="21"/>
                    </w:rPr>
                    <w:t>0.0005</w:t>
                  </w:r>
                </w:p>
              </w:tc>
            </w:tr>
            <w:tr w14:paraId="520AC6E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61" w:type="pct"/>
                  <w:vAlign w:val="center"/>
                </w:tcPr>
                <w:p w14:paraId="520AC6E5">
                  <w:pPr>
                    <w:autoSpaceDE w:val="0"/>
                    <w:autoSpaceDN w:val="0"/>
                    <w:adjustRightInd w:val="0"/>
                    <w:snapToGrid w:val="0"/>
                    <w:jc w:val="center"/>
                    <w:rPr>
                      <w:szCs w:val="21"/>
                    </w:rPr>
                  </w:pPr>
                  <w:r>
                    <w:rPr>
                      <w:rFonts w:hint="eastAsia"/>
                      <w:szCs w:val="21"/>
                    </w:rPr>
                    <w:t>3</w:t>
                  </w:r>
                </w:p>
              </w:tc>
              <w:tc>
                <w:tcPr>
                  <w:tcW w:w="966" w:type="pct"/>
                  <w:vAlign w:val="center"/>
                </w:tcPr>
                <w:p w14:paraId="520AC6E6">
                  <w:pPr>
                    <w:autoSpaceDE w:val="0"/>
                    <w:autoSpaceDN w:val="0"/>
                    <w:adjustRightInd w:val="0"/>
                    <w:snapToGrid w:val="0"/>
                    <w:jc w:val="center"/>
                    <w:rPr>
                      <w:szCs w:val="21"/>
                    </w:rPr>
                  </w:pPr>
                  <w:r>
                    <w:rPr>
                      <w:szCs w:val="21"/>
                    </w:rPr>
                    <w:t>排气筒DA0</w:t>
                  </w:r>
                  <w:r>
                    <w:rPr>
                      <w:rFonts w:hint="eastAsia"/>
                      <w:szCs w:val="21"/>
                    </w:rPr>
                    <w:t>26</w:t>
                  </w:r>
                </w:p>
              </w:tc>
              <w:tc>
                <w:tcPr>
                  <w:tcW w:w="714" w:type="pct"/>
                  <w:vAlign w:val="center"/>
                </w:tcPr>
                <w:p w14:paraId="520AC6E7">
                  <w:pPr>
                    <w:jc w:val="center"/>
                    <w:rPr>
                      <w:szCs w:val="21"/>
                    </w:rPr>
                  </w:pPr>
                  <w:r>
                    <w:rPr>
                      <w:rFonts w:hint="eastAsia"/>
                      <w:szCs w:val="21"/>
                    </w:rPr>
                    <w:t>非甲烷总烃</w:t>
                  </w:r>
                </w:p>
              </w:tc>
              <w:tc>
                <w:tcPr>
                  <w:tcW w:w="980" w:type="pct"/>
                  <w:vAlign w:val="center"/>
                </w:tcPr>
                <w:p w14:paraId="520AC6E8">
                  <w:pPr>
                    <w:adjustRightInd w:val="0"/>
                    <w:snapToGrid w:val="0"/>
                    <w:jc w:val="center"/>
                    <w:textAlignment w:val="baseline"/>
                    <w:rPr>
                      <w:szCs w:val="21"/>
                    </w:rPr>
                  </w:pPr>
                  <w:r>
                    <w:rPr>
                      <w:rFonts w:hint="eastAsia"/>
                      <w:szCs w:val="21"/>
                    </w:rPr>
                    <w:t>0.1</w:t>
                  </w:r>
                </w:p>
              </w:tc>
              <w:tc>
                <w:tcPr>
                  <w:tcW w:w="983" w:type="pct"/>
                  <w:vAlign w:val="center"/>
                </w:tcPr>
                <w:p w14:paraId="520AC6E9">
                  <w:pPr>
                    <w:adjustRightInd w:val="0"/>
                    <w:snapToGrid w:val="0"/>
                    <w:jc w:val="center"/>
                    <w:textAlignment w:val="baseline"/>
                    <w:rPr>
                      <w:szCs w:val="21"/>
                    </w:rPr>
                  </w:pPr>
                  <w:r>
                    <w:rPr>
                      <w:rFonts w:hint="eastAsia"/>
                      <w:szCs w:val="21"/>
                    </w:rPr>
                    <w:t>0.0004</w:t>
                  </w:r>
                </w:p>
              </w:tc>
              <w:tc>
                <w:tcPr>
                  <w:tcW w:w="996" w:type="pct"/>
                  <w:vAlign w:val="center"/>
                </w:tcPr>
                <w:p w14:paraId="520AC6EA">
                  <w:pPr>
                    <w:adjustRightInd w:val="0"/>
                    <w:snapToGrid w:val="0"/>
                    <w:jc w:val="center"/>
                    <w:textAlignment w:val="baseline"/>
                    <w:rPr>
                      <w:szCs w:val="21"/>
                    </w:rPr>
                  </w:pPr>
                  <w:r>
                    <w:rPr>
                      <w:rFonts w:hint="eastAsia"/>
                      <w:szCs w:val="21"/>
                    </w:rPr>
                    <w:t>0.00013</w:t>
                  </w:r>
                </w:p>
              </w:tc>
            </w:tr>
            <w:tr w14:paraId="520AC6F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61" w:type="pct"/>
                  <w:vAlign w:val="center"/>
                </w:tcPr>
                <w:p w14:paraId="520AC6EC">
                  <w:pPr>
                    <w:autoSpaceDE w:val="0"/>
                    <w:autoSpaceDN w:val="0"/>
                    <w:adjustRightInd w:val="0"/>
                    <w:snapToGrid w:val="0"/>
                    <w:jc w:val="center"/>
                    <w:rPr>
                      <w:szCs w:val="21"/>
                    </w:rPr>
                  </w:pPr>
                  <w:r>
                    <w:rPr>
                      <w:rFonts w:hint="eastAsia"/>
                      <w:szCs w:val="21"/>
                    </w:rPr>
                    <w:t>4</w:t>
                  </w:r>
                </w:p>
              </w:tc>
              <w:tc>
                <w:tcPr>
                  <w:tcW w:w="966" w:type="pct"/>
                  <w:vAlign w:val="center"/>
                </w:tcPr>
                <w:p w14:paraId="520AC6ED">
                  <w:pPr>
                    <w:autoSpaceDE w:val="0"/>
                    <w:autoSpaceDN w:val="0"/>
                    <w:adjustRightInd w:val="0"/>
                    <w:snapToGrid w:val="0"/>
                    <w:jc w:val="center"/>
                    <w:rPr>
                      <w:szCs w:val="21"/>
                    </w:rPr>
                  </w:pPr>
                  <w:r>
                    <w:rPr>
                      <w:szCs w:val="21"/>
                    </w:rPr>
                    <w:t>排气筒DA03</w:t>
                  </w:r>
                  <w:r>
                    <w:rPr>
                      <w:rFonts w:hint="eastAsia"/>
                      <w:szCs w:val="21"/>
                    </w:rPr>
                    <w:t>0</w:t>
                  </w:r>
                </w:p>
              </w:tc>
              <w:tc>
                <w:tcPr>
                  <w:tcW w:w="714" w:type="pct"/>
                  <w:vAlign w:val="center"/>
                </w:tcPr>
                <w:p w14:paraId="520AC6EE">
                  <w:pPr>
                    <w:jc w:val="center"/>
                    <w:rPr>
                      <w:szCs w:val="21"/>
                    </w:rPr>
                  </w:pPr>
                  <w:r>
                    <w:rPr>
                      <w:rFonts w:hint="eastAsia"/>
                      <w:szCs w:val="21"/>
                    </w:rPr>
                    <w:t>非甲烷总烃</w:t>
                  </w:r>
                </w:p>
              </w:tc>
              <w:tc>
                <w:tcPr>
                  <w:tcW w:w="980" w:type="pct"/>
                  <w:vAlign w:val="center"/>
                </w:tcPr>
                <w:p w14:paraId="520AC6EF">
                  <w:pPr>
                    <w:adjustRightInd w:val="0"/>
                    <w:snapToGrid w:val="0"/>
                    <w:jc w:val="center"/>
                    <w:textAlignment w:val="baseline"/>
                    <w:rPr>
                      <w:szCs w:val="21"/>
                    </w:rPr>
                  </w:pPr>
                  <w:r>
                    <w:rPr>
                      <w:rFonts w:hint="eastAsia"/>
                      <w:szCs w:val="21"/>
                    </w:rPr>
                    <w:t>2.1</w:t>
                  </w:r>
                </w:p>
              </w:tc>
              <w:tc>
                <w:tcPr>
                  <w:tcW w:w="983" w:type="pct"/>
                  <w:vAlign w:val="center"/>
                </w:tcPr>
                <w:p w14:paraId="520AC6F0">
                  <w:pPr>
                    <w:adjustRightInd w:val="0"/>
                    <w:snapToGrid w:val="0"/>
                    <w:jc w:val="center"/>
                    <w:textAlignment w:val="baseline"/>
                    <w:rPr>
                      <w:szCs w:val="21"/>
                    </w:rPr>
                  </w:pPr>
                  <w:r>
                    <w:rPr>
                      <w:rFonts w:hint="eastAsia"/>
                      <w:szCs w:val="21"/>
                    </w:rPr>
                    <w:t>0.0084</w:t>
                  </w:r>
                </w:p>
              </w:tc>
              <w:tc>
                <w:tcPr>
                  <w:tcW w:w="996" w:type="pct"/>
                  <w:vAlign w:val="center"/>
                </w:tcPr>
                <w:p w14:paraId="520AC6F1">
                  <w:pPr>
                    <w:adjustRightInd w:val="0"/>
                    <w:snapToGrid w:val="0"/>
                    <w:jc w:val="center"/>
                    <w:textAlignment w:val="baseline"/>
                    <w:rPr>
                      <w:szCs w:val="21"/>
                      <w:lang w:val="pt-BR"/>
                    </w:rPr>
                  </w:pPr>
                  <w:r>
                    <w:rPr>
                      <w:rFonts w:hint="eastAsia"/>
                      <w:szCs w:val="21"/>
                      <w:lang w:val="pt-BR"/>
                    </w:rPr>
                    <w:t>0.003</w:t>
                  </w:r>
                </w:p>
              </w:tc>
            </w:tr>
            <w:tr w14:paraId="5E029B7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5000" w:type="pct"/>
                  <w:gridSpan w:val="6"/>
                  <w:vAlign w:val="center"/>
                </w:tcPr>
                <w:p w14:paraId="79B2DE2F">
                  <w:pPr>
                    <w:adjustRightInd w:val="0"/>
                    <w:snapToGrid w:val="0"/>
                    <w:jc w:val="center"/>
                    <w:textAlignment w:val="baseline"/>
                    <w:rPr>
                      <w:b/>
                      <w:bCs/>
                      <w:szCs w:val="21"/>
                      <w:lang w:val="pt-BR"/>
                    </w:rPr>
                  </w:pPr>
                  <w:r>
                    <w:rPr>
                      <w:rFonts w:hint="eastAsia"/>
                      <w:b/>
                      <w:bCs/>
                      <w:szCs w:val="21"/>
                      <w:lang w:val="pt-BR"/>
                    </w:rPr>
                    <w:t>解放路厂区</w:t>
                  </w:r>
                </w:p>
              </w:tc>
            </w:tr>
            <w:tr w14:paraId="65FA430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61" w:type="pct"/>
                  <w:vMerge w:val="restart"/>
                  <w:vAlign w:val="center"/>
                </w:tcPr>
                <w:p w14:paraId="061ECAB4">
                  <w:pPr>
                    <w:autoSpaceDE w:val="0"/>
                    <w:autoSpaceDN w:val="0"/>
                    <w:adjustRightInd w:val="0"/>
                    <w:snapToGrid w:val="0"/>
                    <w:jc w:val="center"/>
                    <w:rPr>
                      <w:szCs w:val="21"/>
                    </w:rPr>
                  </w:pPr>
                  <w:r>
                    <w:rPr>
                      <w:rFonts w:hint="eastAsia"/>
                      <w:szCs w:val="21"/>
                    </w:rPr>
                    <w:t>5</w:t>
                  </w:r>
                </w:p>
              </w:tc>
              <w:tc>
                <w:tcPr>
                  <w:tcW w:w="966" w:type="pct"/>
                  <w:vMerge w:val="restart"/>
                  <w:vAlign w:val="center"/>
                </w:tcPr>
                <w:p w14:paraId="66531A7A">
                  <w:pPr>
                    <w:autoSpaceDE w:val="0"/>
                    <w:autoSpaceDN w:val="0"/>
                    <w:adjustRightInd w:val="0"/>
                    <w:snapToGrid w:val="0"/>
                    <w:jc w:val="center"/>
                    <w:rPr>
                      <w:szCs w:val="21"/>
                    </w:rPr>
                  </w:pPr>
                  <w:r>
                    <w:rPr>
                      <w:szCs w:val="21"/>
                    </w:rPr>
                    <w:t>排气筒DA0</w:t>
                  </w:r>
                  <w:r>
                    <w:rPr>
                      <w:rFonts w:hint="eastAsia"/>
                      <w:szCs w:val="21"/>
                    </w:rPr>
                    <w:t>25</w:t>
                  </w:r>
                </w:p>
              </w:tc>
              <w:tc>
                <w:tcPr>
                  <w:tcW w:w="714" w:type="pct"/>
                  <w:vAlign w:val="center"/>
                </w:tcPr>
                <w:p w14:paraId="1D2BB847">
                  <w:pPr>
                    <w:jc w:val="center"/>
                    <w:rPr>
                      <w:szCs w:val="21"/>
                    </w:rPr>
                  </w:pPr>
                  <w:r>
                    <w:rPr>
                      <w:rFonts w:hint="eastAsia"/>
                      <w:szCs w:val="21"/>
                    </w:rPr>
                    <w:t>非甲烷总烃</w:t>
                  </w:r>
                </w:p>
              </w:tc>
              <w:tc>
                <w:tcPr>
                  <w:tcW w:w="980" w:type="pct"/>
                  <w:vAlign w:val="center"/>
                </w:tcPr>
                <w:p w14:paraId="31493C3C">
                  <w:pPr>
                    <w:adjustRightInd w:val="0"/>
                    <w:snapToGrid w:val="0"/>
                    <w:jc w:val="center"/>
                    <w:textAlignment w:val="baseline"/>
                    <w:rPr>
                      <w:szCs w:val="21"/>
                    </w:rPr>
                  </w:pPr>
                  <w:r>
                    <w:rPr>
                      <w:rFonts w:hint="eastAsia" w:eastAsia="等线"/>
                      <w:szCs w:val="21"/>
                    </w:rPr>
                    <w:t>0.8</w:t>
                  </w:r>
                </w:p>
              </w:tc>
              <w:tc>
                <w:tcPr>
                  <w:tcW w:w="983" w:type="pct"/>
                  <w:vAlign w:val="center"/>
                </w:tcPr>
                <w:p w14:paraId="6198855D">
                  <w:pPr>
                    <w:adjustRightInd w:val="0"/>
                    <w:snapToGrid w:val="0"/>
                    <w:jc w:val="center"/>
                    <w:textAlignment w:val="baseline"/>
                    <w:rPr>
                      <w:szCs w:val="21"/>
                    </w:rPr>
                  </w:pPr>
                  <w:r>
                    <w:rPr>
                      <w:rFonts w:eastAsia="等线"/>
                      <w:szCs w:val="21"/>
                    </w:rPr>
                    <w:t>0.0004</w:t>
                  </w:r>
                </w:p>
              </w:tc>
              <w:tc>
                <w:tcPr>
                  <w:tcW w:w="996" w:type="pct"/>
                  <w:vAlign w:val="center"/>
                </w:tcPr>
                <w:p w14:paraId="33412A23">
                  <w:pPr>
                    <w:widowControl/>
                    <w:jc w:val="center"/>
                    <w:rPr>
                      <w:szCs w:val="21"/>
                      <w:lang w:val="pt-BR"/>
                    </w:rPr>
                  </w:pPr>
                  <w:r>
                    <w:rPr>
                      <w:rFonts w:eastAsia="等线"/>
                      <w:szCs w:val="21"/>
                    </w:rPr>
                    <w:t>0.0001</w:t>
                  </w:r>
                </w:p>
              </w:tc>
            </w:tr>
            <w:tr w14:paraId="72D2F97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61" w:type="pct"/>
                  <w:vMerge w:val="continue"/>
                  <w:vAlign w:val="center"/>
                </w:tcPr>
                <w:p w14:paraId="5C132B3B">
                  <w:pPr>
                    <w:autoSpaceDE w:val="0"/>
                    <w:autoSpaceDN w:val="0"/>
                    <w:adjustRightInd w:val="0"/>
                    <w:snapToGrid w:val="0"/>
                    <w:jc w:val="center"/>
                    <w:rPr>
                      <w:szCs w:val="21"/>
                    </w:rPr>
                  </w:pPr>
                </w:p>
              </w:tc>
              <w:tc>
                <w:tcPr>
                  <w:tcW w:w="966" w:type="pct"/>
                  <w:vMerge w:val="continue"/>
                  <w:vAlign w:val="center"/>
                </w:tcPr>
                <w:p w14:paraId="666E4EEC">
                  <w:pPr>
                    <w:autoSpaceDE w:val="0"/>
                    <w:autoSpaceDN w:val="0"/>
                    <w:adjustRightInd w:val="0"/>
                    <w:snapToGrid w:val="0"/>
                    <w:jc w:val="center"/>
                    <w:rPr>
                      <w:szCs w:val="21"/>
                    </w:rPr>
                  </w:pPr>
                </w:p>
              </w:tc>
              <w:tc>
                <w:tcPr>
                  <w:tcW w:w="714" w:type="pct"/>
                  <w:vAlign w:val="center"/>
                </w:tcPr>
                <w:p w14:paraId="30D6A16E">
                  <w:pPr>
                    <w:jc w:val="center"/>
                    <w:rPr>
                      <w:szCs w:val="21"/>
                    </w:rPr>
                  </w:pPr>
                  <w:r>
                    <w:rPr>
                      <w:rFonts w:hint="eastAsia"/>
                      <w:szCs w:val="21"/>
                    </w:rPr>
                    <w:t>硫化氢</w:t>
                  </w:r>
                </w:p>
              </w:tc>
              <w:tc>
                <w:tcPr>
                  <w:tcW w:w="980" w:type="pct"/>
                  <w:vAlign w:val="center"/>
                </w:tcPr>
                <w:p w14:paraId="34FBCFCE">
                  <w:pPr>
                    <w:adjustRightInd w:val="0"/>
                    <w:snapToGrid w:val="0"/>
                    <w:jc w:val="center"/>
                    <w:textAlignment w:val="baseline"/>
                    <w:rPr>
                      <w:szCs w:val="21"/>
                    </w:rPr>
                  </w:pPr>
                  <w:r>
                    <w:rPr>
                      <w:rFonts w:eastAsia="等线"/>
                      <w:szCs w:val="21"/>
                    </w:rPr>
                    <w:t>0.1</w:t>
                  </w:r>
                </w:p>
              </w:tc>
              <w:tc>
                <w:tcPr>
                  <w:tcW w:w="983" w:type="pct"/>
                  <w:vAlign w:val="center"/>
                </w:tcPr>
                <w:p w14:paraId="3B5FD951">
                  <w:pPr>
                    <w:adjustRightInd w:val="0"/>
                    <w:snapToGrid w:val="0"/>
                    <w:jc w:val="center"/>
                    <w:textAlignment w:val="baseline"/>
                    <w:rPr>
                      <w:szCs w:val="21"/>
                    </w:rPr>
                  </w:pPr>
                  <w:r>
                    <w:rPr>
                      <w:rFonts w:eastAsia="等线"/>
                      <w:szCs w:val="21"/>
                    </w:rPr>
                    <w:t>0.00004</w:t>
                  </w:r>
                </w:p>
              </w:tc>
              <w:tc>
                <w:tcPr>
                  <w:tcW w:w="996" w:type="pct"/>
                  <w:vAlign w:val="center"/>
                </w:tcPr>
                <w:p w14:paraId="6720DD34">
                  <w:pPr>
                    <w:adjustRightInd w:val="0"/>
                    <w:snapToGrid w:val="0"/>
                    <w:jc w:val="center"/>
                    <w:textAlignment w:val="baseline"/>
                    <w:rPr>
                      <w:szCs w:val="21"/>
                      <w:lang w:val="pt-BR"/>
                    </w:rPr>
                  </w:pPr>
                  <w:r>
                    <w:rPr>
                      <w:rFonts w:eastAsia="等线"/>
                      <w:szCs w:val="21"/>
                    </w:rPr>
                    <w:t>0.00001</w:t>
                  </w:r>
                </w:p>
              </w:tc>
            </w:tr>
            <w:tr w14:paraId="5DFE581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61" w:type="pct"/>
                  <w:vMerge w:val="continue"/>
                  <w:vAlign w:val="center"/>
                </w:tcPr>
                <w:p w14:paraId="7E1DB293">
                  <w:pPr>
                    <w:autoSpaceDE w:val="0"/>
                    <w:autoSpaceDN w:val="0"/>
                    <w:adjustRightInd w:val="0"/>
                    <w:snapToGrid w:val="0"/>
                    <w:jc w:val="center"/>
                    <w:rPr>
                      <w:szCs w:val="21"/>
                    </w:rPr>
                  </w:pPr>
                </w:p>
              </w:tc>
              <w:tc>
                <w:tcPr>
                  <w:tcW w:w="966" w:type="pct"/>
                  <w:vMerge w:val="continue"/>
                  <w:vAlign w:val="center"/>
                </w:tcPr>
                <w:p w14:paraId="5458BD71">
                  <w:pPr>
                    <w:autoSpaceDE w:val="0"/>
                    <w:autoSpaceDN w:val="0"/>
                    <w:adjustRightInd w:val="0"/>
                    <w:snapToGrid w:val="0"/>
                    <w:jc w:val="center"/>
                    <w:rPr>
                      <w:szCs w:val="21"/>
                    </w:rPr>
                  </w:pPr>
                </w:p>
              </w:tc>
              <w:tc>
                <w:tcPr>
                  <w:tcW w:w="714" w:type="pct"/>
                  <w:vAlign w:val="center"/>
                </w:tcPr>
                <w:p w14:paraId="6B68849F">
                  <w:pPr>
                    <w:jc w:val="center"/>
                    <w:rPr>
                      <w:szCs w:val="21"/>
                    </w:rPr>
                  </w:pPr>
                  <w:r>
                    <w:rPr>
                      <w:rFonts w:hint="eastAsia"/>
                      <w:szCs w:val="21"/>
                    </w:rPr>
                    <w:t>SO</w:t>
                  </w:r>
                  <w:r>
                    <w:rPr>
                      <w:rFonts w:hint="eastAsia"/>
                      <w:szCs w:val="21"/>
                      <w:vertAlign w:val="subscript"/>
                    </w:rPr>
                    <w:t>2</w:t>
                  </w:r>
                </w:p>
              </w:tc>
              <w:tc>
                <w:tcPr>
                  <w:tcW w:w="980" w:type="pct"/>
                  <w:vAlign w:val="center"/>
                </w:tcPr>
                <w:p w14:paraId="23B4A92C">
                  <w:pPr>
                    <w:adjustRightInd w:val="0"/>
                    <w:snapToGrid w:val="0"/>
                    <w:jc w:val="center"/>
                    <w:textAlignment w:val="baseline"/>
                    <w:rPr>
                      <w:szCs w:val="21"/>
                    </w:rPr>
                  </w:pPr>
                  <w:r>
                    <w:rPr>
                      <w:rFonts w:eastAsia="等线"/>
                      <w:szCs w:val="21"/>
                    </w:rPr>
                    <w:t>7.</w:t>
                  </w:r>
                  <w:r>
                    <w:rPr>
                      <w:rFonts w:hint="eastAsia" w:eastAsia="等线"/>
                      <w:szCs w:val="21"/>
                    </w:rPr>
                    <w:t>2</w:t>
                  </w:r>
                </w:p>
              </w:tc>
              <w:tc>
                <w:tcPr>
                  <w:tcW w:w="983" w:type="pct"/>
                  <w:vAlign w:val="center"/>
                </w:tcPr>
                <w:p w14:paraId="64CAB58E">
                  <w:pPr>
                    <w:adjustRightInd w:val="0"/>
                    <w:snapToGrid w:val="0"/>
                    <w:jc w:val="center"/>
                    <w:textAlignment w:val="baseline"/>
                    <w:rPr>
                      <w:szCs w:val="21"/>
                    </w:rPr>
                  </w:pPr>
                  <w:r>
                    <w:rPr>
                      <w:rFonts w:eastAsia="等线"/>
                      <w:szCs w:val="21"/>
                    </w:rPr>
                    <w:t>0.0036</w:t>
                  </w:r>
                </w:p>
              </w:tc>
              <w:tc>
                <w:tcPr>
                  <w:tcW w:w="996" w:type="pct"/>
                  <w:vAlign w:val="center"/>
                </w:tcPr>
                <w:p w14:paraId="4FA3E7BF">
                  <w:pPr>
                    <w:adjustRightInd w:val="0"/>
                    <w:snapToGrid w:val="0"/>
                    <w:jc w:val="center"/>
                    <w:textAlignment w:val="baseline"/>
                    <w:rPr>
                      <w:szCs w:val="21"/>
                      <w:lang w:val="pt-BR"/>
                    </w:rPr>
                  </w:pPr>
                  <w:r>
                    <w:rPr>
                      <w:rFonts w:eastAsia="等线"/>
                      <w:szCs w:val="21"/>
                    </w:rPr>
                    <w:t>0.0009</w:t>
                  </w:r>
                </w:p>
              </w:tc>
            </w:tr>
          </w:tbl>
          <w:p w14:paraId="520AC6F3">
            <w:pPr>
              <w:adjustRightInd w:val="0"/>
              <w:snapToGrid w:val="0"/>
              <w:spacing w:line="460" w:lineRule="exact"/>
              <w:ind w:firstLine="480" w:firstLineChars="200"/>
              <w:rPr>
                <w:snapToGrid w:val="0"/>
                <w:sz w:val="24"/>
              </w:rPr>
            </w:pPr>
            <w:r>
              <w:rPr>
                <w:rFonts w:hint="eastAsia"/>
                <w:snapToGrid w:val="0"/>
                <w:sz w:val="24"/>
              </w:rPr>
              <w:t>（2）</w:t>
            </w:r>
            <w:r>
              <w:rPr>
                <w:sz w:val="24"/>
              </w:rPr>
              <w:t>大气污染物</w:t>
            </w:r>
            <w:r>
              <w:rPr>
                <w:snapToGrid w:val="0"/>
                <w:sz w:val="24"/>
              </w:rPr>
              <w:t>无组织排放量核算</w:t>
            </w:r>
          </w:p>
          <w:p w14:paraId="520AC6F4">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64</w:t>
            </w:r>
            <w:r>
              <w:rPr>
                <w:rFonts w:eastAsia="黑体"/>
                <w:sz w:val="24"/>
              </w:rPr>
              <w:t xml:space="preserve">             大气污染物无组织排放量核算表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318"/>
              <w:gridCol w:w="708"/>
              <w:gridCol w:w="567"/>
              <w:gridCol w:w="426"/>
              <w:gridCol w:w="567"/>
              <w:gridCol w:w="1134"/>
              <w:gridCol w:w="992"/>
              <w:gridCol w:w="1762"/>
              <w:gridCol w:w="931"/>
              <w:gridCol w:w="730"/>
            </w:tblGrid>
            <w:tr w14:paraId="520AC6F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Merge w:val="restart"/>
                  <w:vAlign w:val="center"/>
                </w:tcPr>
                <w:p w14:paraId="520AC6F5">
                  <w:pPr>
                    <w:autoSpaceDE w:val="0"/>
                    <w:autoSpaceDN w:val="0"/>
                    <w:adjustRightInd w:val="0"/>
                    <w:snapToGrid w:val="0"/>
                    <w:jc w:val="center"/>
                    <w:rPr>
                      <w:b/>
                      <w:szCs w:val="21"/>
                    </w:rPr>
                  </w:pPr>
                  <w:r>
                    <w:rPr>
                      <w:b/>
                      <w:szCs w:val="21"/>
                    </w:rPr>
                    <w:t>序号</w:t>
                  </w:r>
                </w:p>
              </w:tc>
              <w:tc>
                <w:tcPr>
                  <w:tcW w:w="708" w:type="dxa"/>
                  <w:vMerge w:val="restart"/>
                  <w:vAlign w:val="center"/>
                </w:tcPr>
                <w:p w14:paraId="520AC6F6">
                  <w:pPr>
                    <w:autoSpaceDE w:val="0"/>
                    <w:autoSpaceDN w:val="0"/>
                    <w:adjustRightInd w:val="0"/>
                    <w:snapToGrid w:val="0"/>
                    <w:jc w:val="center"/>
                    <w:rPr>
                      <w:b/>
                      <w:szCs w:val="21"/>
                    </w:rPr>
                  </w:pPr>
                  <w:r>
                    <w:rPr>
                      <w:b/>
                      <w:szCs w:val="21"/>
                    </w:rPr>
                    <w:t>排放口编号</w:t>
                  </w:r>
                </w:p>
              </w:tc>
              <w:tc>
                <w:tcPr>
                  <w:tcW w:w="567" w:type="dxa"/>
                  <w:vMerge w:val="restart"/>
                  <w:vAlign w:val="center"/>
                </w:tcPr>
                <w:p w14:paraId="520AC6F7">
                  <w:pPr>
                    <w:autoSpaceDE w:val="0"/>
                    <w:autoSpaceDN w:val="0"/>
                    <w:adjustRightInd w:val="0"/>
                    <w:snapToGrid w:val="0"/>
                    <w:jc w:val="center"/>
                    <w:rPr>
                      <w:b/>
                      <w:szCs w:val="21"/>
                    </w:rPr>
                  </w:pPr>
                  <w:r>
                    <w:rPr>
                      <w:b/>
                      <w:szCs w:val="21"/>
                    </w:rPr>
                    <w:t>产污环节</w:t>
                  </w:r>
                </w:p>
              </w:tc>
              <w:tc>
                <w:tcPr>
                  <w:tcW w:w="426" w:type="dxa"/>
                  <w:vMerge w:val="restart"/>
                  <w:vAlign w:val="center"/>
                </w:tcPr>
                <w:p w14:paraId="520AC6F8">
                  <w:pPr>
                    <w:autoSpaceDE w:val="0"/>
                    <w:autoSpaceDN w:val="0"/>
                    <w:adjustRightInd w:val="0"/>
                    <w:snapToGrid w:val="0"/>
                    <w:jc w:val="center"/>
                    <w:rPr>
                      <w:b/>
                      <w:szCs w:val="21"/>
                    </w:rPr>
                  </w:pPr>
                  <w:r>
                    <w:rPr>
                      <w:b/>
                      <w:szCs w:val="21"/>
                    </w:rPr>
                    <w:t>污染物</w:t>
                  </w:r>
                </w:p>
              </w:tc>
              <w:tc>
                <w:tcPr>
                  <w:tcW w:w="567" w:type="dxa"/>
                  <w:vMerge w:val="restart"/>
                  <w:vAlign w:val="center"/>
                </w:tcPr>
                <w:p w14:paraId="520AC6F9">
                  <w:pPr>
                    <w:autoSpaceDE w:val="0"/>
                    <w:autoSpaceDN w:val="0"/>
                    <w:adjustRightInd w:val="0"/>
                    <w:snapToGrid w:val="0"/>
                    <w:jc w:val="center"/>
                    <w:rPr>
                      <w:b/>
                      <w:szCs w:val="21"/>
                    </w:rPr>
                  </w:pPr>
                  <w:r>
                    <w:rPr>
                      <w:b/>
                      <w:szCs w:val="21"/>
                    </w:rPr>
                    <w:t>主要污染防治措施</w:t>
                  </w:r>
                </w:p>
              </w:tc>
              <w:tc>
                <w:tcPr>
                  <w:tcW w:w="2126" w:type="dxa"/>
                  <w:gridSpan w:val="2"/>
                  <w:vAlign w:val="center"/>
                </w:tcPr>
                <w:p w14:paraId="520AC6FA">
                  <w:pPr>
                    <w:autoSpaceDE w:val="0"/>
                    <w:autoSpaceDN w:val="0"/>
                    <w:adjustRightInd w:val="0"/>
                    <w:snapToGrid w:val="0"/>
                    <w:jc w:val="center"/>
                    <w:rPr>
                      <w:b/>
                      <w:szCs w:val="21"/>
                    </w:rPr>
                  </w:pPr>
                  <w:r>
                    <w:rPr>
                      <w:b/>
                      <w:szCs w:val="21"/>
                    </w:rPr>
                    <w:t>排放标准</w:t>
                  </w:r>
                </w:p>
              </w:tc>
              <w:tc>
                <w:tcPr>
                  <w:tcW w:w="2693" w:type="dxa"/>
                  <w:gridSpan w:val="2"/>
                  <w:vAlign w:val="center"/>
                </w:tcPr>
                <w:p w14:paraId="520AC6FB">
                  <w:pPr>
                    <w:autoSpaceDE w:val="0"/>
                    <w:autoSpaceDN w:val="0"/>
                    <w:adjustRightInd w:val="0"/>
                    <w:snapToGrid w:val="0"/>
                    <w:jc w:val="center"/>
                    <w:rPr>
                      <w:b/>
                      <w:szCs w:val="21"/>
                    </w:rPr>
                  </w:pPr>
                  <w:r>
                    <w:rPr>
                      <w:rFonts w:hint="eastAsia"/>
                      <w:b/>
                      <w:szCs w:val="21"/>
                    </w:rPr>
                    <w:t>其他政策要求</w:t>
                  </w:r>
                </w:p>
              </w:tc>
              <w:tc>
                <w:tcPr>
                  <w:tcW w:w="730" w:type="dxa"/>
                  <w:vMerge w:val="restart"/>
                  <w:vAlign w:val="center"/>
                </w:tcPr>
                <w:p w14:paraId="520AC6FC">
                  <w:pPr>
                    <w:autoSpaceDE w:val="0"/>
                    <w:autoSpaceDN w:val="0"/>
                    <w:adjustRightInd w:val="0"/>
                    <w:snapToGrid w:val="0"/>
                    <w:jc w:val="center"/>
                    <w:rPr>
                      <w:b/>
                      <w:szCs w:val="21"/>
                    </w:rPr>
                  </w:pPr>
                  <w:r>
                    <w:rPr>
                      <w:b/>
                      <w:szCs w:val="21"/>
                    </w:rPr>
                    <w:t>年排放量/(t/a)</w:t>
                  </w:r>
                </w:p>
              </w:tc>
            </w:tr>
            <w:tr w14:paraId="520AC70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Merge w:val="continue"/>
                  <w:vAlign w:val="center"/>
                </w:tcPr>
                <w:p w14:paraId="520AC6FE">
                  <w:pPr>
                    <w:jc w:val="center"/>
                    <w:rPr>
                      <w:b/>
                      <w:szCs w:val="21"/>
                    </w:rPr>
                  </w:pPr>
                </w:p>
              </w:tc>
              <w:tc>
                <w:tcPr>
                  <w:tcW w:w="708" w:type="dxa"/>
                  <w:vMerge w:val="continue"/>
                  <w:vAlign w:val="center"/>
                </w:tcPr>
                <w:p w14:paraId="520AC6FF">
                  <w:pPr>
                    <w:jc w:val="center"/>
                    <w:rPr>
                      <w:b/>
                      <w:szCs w:val="21"/>
                    </w:rPr>
                  </w:pPr>
                </w:p>
              </w:tc>
              <w:tc>
                <w:tcPr>
                  <w:tcW w:w="567" w:type="dxa"/>
                  <w:vMerge w:val="continue"/>
                  <w:vAlign w:val="center"/>
                </w:tcPr>
                <w:p w14:paraId="520AC700">
                  <w:pPr>
                    <w:jc w:val="center"/>
                    <w:rPr>
                      <w:b/>
                      <w:szCs w:val="21"/>
                    </w:rPr>
                  </w:pPr>
                </w:p>
              </w:tc>
              <w:tc>
                <w:tcPr>
                  <w:tcW w:w="426" w:type="dxa"/>
                  <w:vMerge w:val="continue"/>
                  <w:vAlign w:val="center"/>
                </w:tcPr>
                <w:p w14:paraId="520AC701">
                  <w:pPr>
                    <w:jc w:val="center"/>
                    <w:rPr>
                      <w:b/>
                      <w:szCs w:val="21"/>
                    </w:rPr>
                  </w:pPr>
                </w:p>
              </w:tc>
              <w:tc>
                <w:tcPr>
                  <w:tcW w:w="567" w:type="dxa"/>
                  <w:vMerge w:val="continue"/>
                  <w:vAlign w:val="center"/>
                </w:tcPr>
                <w:p w14:paraId="520AC702">
                  <w:pPr>
                    <w:jc w:val="center"/>
                    <w:rPr>
                      <w:b/>
                      <w:szCs w:val="21"/>
                    </w:rPr>
                  </w:pPr>
                </w:p>
              </w:tc>
              <w:tc>
                <w:tcPr>
                  <w:tcW w:w="1134" w:type="dxa"/>
                  <w:vAlign w:val="center"/>
                </w:tcPr>
                <w:p w14:paraId="520AC703">
                  <w:pPr>
                    <w:autoSpaceDE w:val="0"/>
                    <w:autoSpaceDN w:val="0"/>
                    <w:adjustRightInd w:val="0"/>
                    <w:snapToGrid w:val="0"/>
                    <w:jc w:val="center"/>
                    <w:rPr>
                      <w:b/>
                      <w:szCs w:val="21"/>
                    </w:rPr>
                  </w:pPr>
                  <w:r>
                    <w:rPr>
                      <w:b/>
                      <w:szCs w:val="21"/>
                    </w:rPr>
                    <w:t>标准名称</w:t>
                  </w:r>
                </w:p>
              </w:tc>
              <w:tc>
                <w:tcPr>
                  <w:tcW w:w="992" w:type="dxa"/>
                  <w:vAlign w:val="center"/>
                </w:tcPr>
                <w:p w14:paraId="520AC704">
                  <w:pPr>
                    <w:autoSpaceDE w:val="0"/>
                    <w:autoSpaceDN w:val="0"/>
                    <w:adjustRightInd w:val="0"/>
                    <w:snapToGrid w:val="0"/>
                    <w:jc w:val="center"/>
                    <w:rPr>
                      <w:b/>
                      <w:szCs w:val="21"/>
                    </w:rPr>
                  </w:pPr>
                  <w:r>
                    <w:rPr>
                      <w:b/>
                      <w:szCs w:val="21"/>
                    </w:rPr>
                    <w:t>浓度限值/</w:t>
                  </w:r>
                  <w:r>
                    <w:rPr>
                      <w:rFonts w:hint="eastAsia"/>
                      <w:b/>
                      <w:szCs w:val="21"/>
                    </w:rPr>
                    <w:t>(</w:t>
                  </w:r>
                  <w:r>
                    <w:rPr>
                      <w:b/>
                      <w:szCs w:val="21"/>
                    </w:rPr>
                    <w:t>mg/m</w:t>
                  </w:r>
                  <w:r>
                    <w:rPr>
                      <w:b/>
                      <w:szCs w:val="21"/>
                      <w:vertAlign w:val="superscript"/>
                    </w:rPr>
                    <w:t>3</w:t>
                  </w:r>
                  <w:r>
                    <w:rPr>
                      <w:rFonts w:hint="eastAsia"/>
                      <w:b/>
                      <w:szCs w:val="21"/>
                    </w:rPr>
                    <w:t>)</w:t>
                  </w:r>
                </w:p>
              </w:tc>
              <w:tc>
                <w:tcPr>
                  <w:tcW w:w="1762" w:type="dxa"/>
                  <w:vAlign w:val="center"/>
                </w:tcPr>
                <w:p w14:paraId="520AC705">
                  <w:pPr>
                    <w:autoSpaceDE w:val="0"/>
                    <w:autoSpaceDN w:val="0"/>
                    <w:adjustRightInd w:val="0"/>
                    <w:snapToGrid w:val="0"/>
                    <w:jc w:val="center"/>
                    <w:rPr>
                      <w:b/>
                      <w:szCs w:val="21"/>
                    </w:rPr>
                  </w:pPr>
                  <w:r>
                    <w:rPr>
                      <w:b/>
                      <w:szCs w:val="21"/>
                    </w:rPr>
                    <w:t>标准名称</w:t>
                  </w:r>
                </w:p>
              </w:tc>
              <w:tc>
                <w:tcPr>
                  <w:tcW w:w="931" w:type="dxa"/>
                  <w:vAlign w:val="center"/>
                </w:tcPr>
                <w:p w14:paraId="520AC706">
                  <w:pPr>
                    <w:autoSpaceDE w:val="0"/>
                    <w:autoSpaceDN w:val="0"/>
                    <w:adjustRightInd w:val="0"/>
                    <w:snapToGrid w:val="0"/>
                    <w:jc w:val="center"/>
                    <w:rPr>
                      <w:b/>
                      <w:szCs w:val="21"/>
                    </w:rPr>
                  </w:pPr>
                  <w:r>
                    <w:rPr>
                      <w:b/>
                      <w:szCs w:val="21"/>
                    </w:rPr>
                    <w:t>浓度限值/</w:t>
                  </w:r>
                  <w:r>
                    <w:rPr>
                      <w:rFonts w:hint="eastAsia"/>
                      <w:b/>
                      <w:szCs w:val="21"/>
                    </w:rPr>
                    <w:t>(</w:t>
                  </w:r>
                  <w:r>
                    <w:rPr>
                      <w:b/>
                      <w:szCs w:val="21"/>
                    </w:rPr>
                    <w:t>mg/m</w:t>
                  </w:r>
                  <w:r>
                    <w:rPr>
                      <w:b/>
                      <w:szCs w:val="21"/>
                      <w:vertAlign w:val="superscript"/>
                    </w:rPr>
                    <w:t>3</w:t>
                  </w:r>
                  <w:r>
                    <w:rPr>
                      <w:rFonts w:hint="eastAsia"/>
                      <w:b/>
                      <w:szCs w:val="21"/>
                    </w:rPr>
                    <w:t>)</w:t>
                  </w:r>
                </w:p>
              </w:tc>
              <w:tc>
                <w:tcPr>
                  <w:tcW w:w="730" w:type="dxa"/>
                  <w:vMerge w:val="continue"/>
                  <w:vAlign w:val="center"/>
                </w:tcPr>
                <w:p w14:paraId="520AC707">
                  <w:pPr>
                    <w:jc w:val="center"/>
                    <w:rPr>
                      <w:szCs w:val="21"/>
                    </w:rPr>
                  </w:pPr>
                </w:p>
              </w:tc>
            </w:tr>
            <w:tr w14:paraId="11F61E5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35" w:type="dxa"/>
                  <w:gridSpan w:val="10"/>
                  <w:vAlign w:val="center"/>
                </w:tcPr>
                <w:p w14:paraId="4AA408E5">
                  <w:pPr>
                    <w:jc w:val="center"/>
                    <w:rPr>
                      <w:szCs w:val="21"/>
                      <w:lang w:val="fr-FR"/>
                    </w:rPr>
                  </w:pPr>
                  <w:r>
                    <w:rPr>
                      <w:rFonts w:hint="eastAsia"/>
                      <w:b/>
                      <w:bCs/>
                      <w:szCs w:val="21"/>
                    </w:rPr>
                    <w:t>建设路厂区</w:t>
                  </w:r>
                </w:p>
              </w:tc>
            </w:tr>
            <w:tr w14:paraId="520AC71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Align w:val="center"/>
                </w:tcPr>
                <w:p w14:paraId="520AC709">
                  <w:pPr>
                    <w:autoSpaceDE w:val="0"/>
                    <w:autoSpaceDN w:val="0"/>
                    <w:adjustRightInd w:val="0"/>
                    <w:snapToGrid w:val="0"/>
                    <w:jc w:val="center"/>
                    <w:rPr>
                      <w:szCs w:val="21"/>
                      <w:lang w:val="fr-FR"/>
                    </w:rPr>
                  </w:pPr>
                  <w:r>
                    <w:rPr>
                      <w:szCs w:val="21"/>
                      <w:lang w:val="fr-FR"/>
                    </w:rPr>
                    <w:t>1</w:t>
                  </w:r>
                </w:p>
              </w:tc>
              <w:tc>
                <w:tcPr>
                  <w:tcW w:w="708" w:type="dxa"/>
                  <w:vAlign w:val="center"/>
                </w:tcPr>
                <w:p w14:paraId="520AC70A">
                  <w:pPr>
                    <w:pStyle w:val="41"/>
                    <w:rPr>
                      <w:lang w:val="en-US"/>
                    </w:rPr>
                  </w:pPr>
                  <w:r>
                    <w:rPr>
                      <w:rFonts w:hint="eastAsia"/>
                      <w:lang w:val="en-US"/>
                    </w:rPr>
                    <w:t>1205#厂房</w:t>
                  </w:r>
                </w:p>
              </w:tc>
              <w:tc>
                <w:tcPr>
                  <w:tcW w:w="567" w:type="dxa"/>
                  <w:vMerge w:val="restart"/>
                  <w:vAlign w:val="center"/>
                </w:tcPr>
                <w:p w14:paraId="520AC70B">
                  <w:pPr>
                    <w:autoSpaceDE w:val="0"/>
                    <w:autoSpaceDN w:val="0"/>
                    <w:adjustRightInd w:val="0"/>
                    <w:snapToGrid w:val="0"/>
                    <w:jc w:val="center"/>
                    <w:rPr>
                      <w:szCs w:val="21"/>
                    </w:rPr>
                  </w:pPr>
                  <w:r>
                    <w:t>油类试验</w:t>
                  </w:r>
                </w:p>
              </w:tc>
              <w:tc>
                <w:tcPr>
                  <w:tcW w:w="426" w:type="dxa"/>
                  <w:vMerge w:val="restart"/>
                  <w:vAlign w:val="center"/>
                </w:tcPr>
                <w:p w14:paraId="520AC70C">
                  <w:pPr>
                    <w:autoSpaceDE w:val="0"/>
                    <w:autoSpaceDN w:val="0"/>
                    <w:adjustRightInd w:val="0"/>
                    <w:snapToGrid w:val="0"/>
                    <w:jc w:val="center"/>
                    <w:rPr>
                      <w:szCs w:val="21"/>
                      <w:lang w:val="fr-FR"/>
                    </w:rPr>
                  </w:pPr>
                  <w:r>
                    <w:rPr>
                      <w:rFonts w:hint="eastAsia"/>
                      <w:szCs w:val="21"/>
                      <w:lang w:val="fr-FR"/>
                    </w:rPr>
                    <w:t>非甲烷总烃</w:t>
                  </w:r>
                </w:p>
              </w:tc>
              <w:tc>
                <w:tcPr>
                  <w:tcW w:w="567" w:type="dxa"/>
                  <w:vMerge w:val="restart"/>
                  <w:vAlign w:val="center"/>
                </w:tcPr>
                <w:p w14:paraId="520AC70D">
                  <w:pPr>
                    <w:jc w:val="center"/>
                    <w:rPr>
                      <w:szCs w:val="21"/>
                    </w:rPr>
                  </w:pPr>
                  <w:r>
                    <w:rPr>
                      <w:szCs w:val="21"/>
                      <w:lang w:val="fr-FR"/>
                    </w:rPr>
                    <w:t>车间密闭</w:t>
                  </w:r>
                </w:p>
              </w:tc>
              <w:tc>
                <w:tcPr>
                  <w:tcW w:w="1134" w:type="dxa"/>
                  <w:vMerge w:val="restart"/>
                  <w:vAlign w:val="center"/>
                </w:tcPr>
                <w:p w14:paraId="520AC70E">
                  <w:pPr>
                    <w:autoSpaceDE w:val="0"/>
                    <w:autoSpaceDN w:val="0"/>
                    <w:adjustRightInd w:val="0"/>
                    <w:snapToGrid w:val="0"/>
                    <w:jc w:val="center"/>
                    <w:rPr>
                      <w:szCs w:val="21"/>
                      <w:lang w:val="fr-FR"/>
                    </w:rPr>
                  </w:pPr>
                  <w:r>
                    <w:rPr>
                      <w:rFonts w:hint="eastAsia"/>
                      <w:szCs w:val="21"/>
                      <w:lang w:val="fr-FR"/>
                    </w:rPr>
                    <w:t>《大气污染物综合排放标准》(GB16297-1996)</w:t>
                  </w:r>
                </w:p>
              </w:tc>
              <w:tc>
                <w:tcPr>
                  <w:tcW w:w="992" w:type="dxa"/>
                  <w:vMerge w:val="restart"/>
                  <w:vAlign w:val="center"/>
                </w:tcPr>
                <w:p w14:paraId="520AC70F">
                  <w:pPr>
                    <w:autoSpaceDE w:val="0"/>
                    <w:autoSpaceDN w:val="0"/>
                    <w:adjustRightInd w:val="0"/>
                    <w:snapToGrid w:val="0"/>
                    <w:jc w:val="center"/>
                    <w:rPr>
                      <w:szCs w:val="21"/>
                      <w:lang w:val="fr-FR"/>
                    </w:rPr>
                  </w:pPr>
                  <w:r>
                    <w:rPr>
                      <w:rFonts w:hint="eastAsia"/>
                      <w:szCs w:val="21"/>
                      <w:lang w:val="fr-FR"/>
                    </w:rPr>
                    <w:t>4</w:t>
                  </w:r>
                </w:p>
              </w:tc>
              <w:tc>
                <w:tcPr>
                  <w:tcW w:w="1762" w:type="dxa"/>
                  <w:vMerge w:val="restart"/>
                  <w:vAlign w:val="center"/>
                </w:tcPr>
                <w:p w14:paraId="520AC710">
                  <w:pPr>
                    <w:autoSpaceDE w:val="0"/>
                    <w:autoSpaceDN w:val="0"/>
                    <w:adjustRightInd w:val="0"/>
                    <w:snapToGrid w:val="0"/>
                    <w:jc w:val="center"/>
                    <w:rPr>
                      <w:szCs w:val="21"/>
                      <w:lang w:val="fr-FR"/>
                    </w:rPr>
                  </w:pPr>
                  <w:r>
                    <w:rPr>
                      <w:rFonts w:hint="eastAsia"/>
                      <w:szCs w:val="21"/>
                      <w:lang w:val="fr-FR"/>
                    </w:rPr>
                    <w:t>《关于全省开展工业企业挥发性有机物专项治理工作中排放建议限值的通知》（豫环攻坚办[2017]162号）</w:t>
                  </w:r>
                </w:p>
              </w:tc>
              <w:tc>
                <w:tcPr>
                  <w:tcW w:w="931" w:type="dxa"/>
                  <w:vMerge w:val="restart"/>
                  <w:vAlign w:val="center"/>
                </w:tcPr>
                <w:p w14:paraId="520AC711">
                  <w:pPr>
                    <w:autoSpaceDE w:val="0"/>
                    <w:autoSpaceDN w:val="0"/>
                    <w:adjustRightInd w:val="0"/>
                    <w:snapToGrid w:val="0"/>
                    <w:jc w:val="center"/>
                    <w:rPr>
                      <w:szCs w:val="21"/>
                      <w:lang w:val="fr-FR"/>
                    </w:rPr>
                  </w:pPr>
                  <w:r>
                    <w:rPr>
                      <w:rFonts w:hint="eastAsia"/>
                      <w:szCs w:val="21"/>
                      <w:lang w:val="fr-FR"/>
                    </w:rPr>
                    <w:t>2</w:t>
                  </w:r>
                </w:p>
              </w:tc>
              <w:tc>
                <w:tcPr>
                  <w:tcW w:w="730" w:type="dxa"/>
                  <w:vAlign w:val="center"/>
                </w:tcPr>
                <w:p w14:paraId="520AC712">
                  <w:pPr>
                    <w:jc w:val="center"/>
                    <w:rPr>
                      <w:szCs w:val="21"/>
                      <w:lang w:val="fr-FR"/>
                    </w:rPr>
                  </w:pPr>
                  <w:r>
                    <w:rPr>
                      <w:szCs w:val="21"/>
                      <w:lang w:val="fr-FR"/>
                    </w:rPr>
                    <w:t>0.00</w:t>
                  </w:r>
                  <w:r>
                    <w:rPr>
                      <w:rFonts w:hint="eastAsia"/>
                      <w:szCs w:val="21"/>
                      <w:lang w:val="fr-FR"/>
                    </w:rPr>
                    <w:t>12</w:t>
                  </w:r>
                </w:p>
              </w:tc>
            </w:tr>
            <w:tr w14:paraId="520AC71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Align w:val="center"/>
                </w:tcPr>
                <w:p w14:paraId="520AC714">
                  <w:pPr>
                    <w:autoSpaceDE w:val="0"/>
                    <w:autoSpaceDN w:val="0"/>
                    <w:adjustRightInd w:val="0"/>
                    <w:snapToGrid w:val="0"/>
                    <w:jc w:val="center"/>
                    <w:rPr>
                      <w:szCs w:val="21"/>
                      <w:lang w:val="fr-FR"/>
                    </w:rPr>
                  </w:pPr>
                  <w:r>
                    <w:rPr>
                      <w:rFonts w:hint="eastAsia"/>
                      <w:szCs w:val="21"/>
                      <w:lang w:val="fr-FR"/>
                    </w:rPr>
                    <w:t>2</w:t>
                  </w:r>
                </w:p>
              </w:tc>
              <w:tc>
                <w:tcPr>
                  <w:tcW w:w="708" w:type="dxa"/>
                  <w:vAlign w:val="center"/>
                </w:tcPr>
                <w:p w14:paraId="520AC715">
                  <w:pPr>
                    <w:pStyle w:val="41"/>
                    <w:rPr>
                      <w:lang w:val="fr-FR"/>
                    </w:rPr>
                  </w:pPr>
                  <w:r>
                    <w:rPr>
                      <w:rFonts w:hint="eastAsia"/>
                      <w:lang w:val="fr-FR"/>
                    </w:rPr>
                    <w:t>1206</w:t>
                  </w:r>
                  <w:r>
                    <w:rPr>
                      <w:rFonts w:hint="eastAsia"/>
                      <w:lang w:val="en-US"/>
                    </w:rPr>
                    <w:t>#厂房</w:t>
                  </w:r>
                </w:p>
              </w:tc>
              <w:tc>
                <w:tcPr>
                  <w:tcW w:w="567" w:type="dxa"/>
                  <w:vMerge w:val="continue"/>
                  <w:vAlign w:val="center"/>
                </w:tcPr>
                <w:p w14:paraId="520AC716">
                  <w:pPr>
                    <w:autoSpaceDE w:val="0"/>
                    <w:autoSpaceDN w:val="0"/>
                    <w:adjustRightInd w:val="0"/>
                    <w:snapToGrid w:val="0"/>
                    <w:jc w:val="center"/>
                    <w:rPr>
                      <w:lang w:val="fr-FR"/>
                    </w:rPr>
                  </w:pPr>
                </w:p>
              </w:tc>
              <w:tc>
                <w:tcPr>
                  <w:tcW w:w="426" w:type="dxa"/>
                  <w:vMerge w:val="continue"/>
                  <w:vAlign w:val="center"/>
                </w:tcPr>
                <w:p w14:paraId="520AC717">
                  <w:pPr>
                    <w:autoSpaceDE w:val="0"/>
                    <w:autoSpaceDN w:val="0"/>
                    <w:adjustRightInd w:val="0"/>
                    <w:snapToGrid w:val="0"/>
                    <w:jc w:val="center"/>
                    <w:rPr>
                      <w:szCs w:val="21"/>
                      <w:lang w:val="fr-FR"/>
                    </w:rPr>
                  </w:pPr>
                </w:p>
              </w:tc>
              <w:tc>
                <w:tcPr>
                  <w:tcW w:w="567" w:type="dxa"/>
                  <w:vMerge w:val="continue"/>
                  <w:vAlign w:val="center"/>
                </w:tcPr>
                <w:p w14:paraId="520AC718">
                  <w:pPr>
                    <w:jc w:val="center"/>
                    <w:rPr>
                      <w:szCs w:val="21"/>
                      <w:lang w:val="fr-FR"/>
                    </w:rPr>
                  </w:pPr>
                </w:p>
              </w:tc>
              <w:tc>
                <w:tcPr>
                  <w:tcW w:w="1134" w:type="dxa"/>
                  <w:vMerge w:val="continue"/>
                  <w:vAlign w:val="center"/>
                </w:tcPr>
                <w:p w14:paraId="520AC719">
                  <w:pPr>
                    <w:autoSpaceDE w:val="0"/>
                    <w:autoSpaceDN w:val="0"/>
                    <w:adjustRightInd w:val="0"/>
                    <w:snapToGrid w:val="0"/>
                    <w:jc w:val="center"/>
                    <w:rPr>
                      <w:szCs w:val="21"/>
                      <w:lang w:val="fr-FR"/>
                    </w:rPr>
                  </w:pPr>
                </w:p>
              </w:tc>
              <w:tc>
                <w:tcPr>
                  <w:tcW w:w="992" w:type="dxa"/>
                  <w:vMerge w:val="continue"/>
                  <w:vAlign w:val="center"/>
                </w:tcPr>
                <w:p w14:paraId="520AC71A">
                  <w:pPr>
                    <w:autoSpaceDE w:val="0"/>
                    <w:autoSpaceDN w:val="0"/>
                    <w:adjustRightInd w:val="0"/>
                    <w:snapToGrid w:val="0"/>
                    <w:jc w:val="center"/>
                    <w:rPr>
                      <w:szCs w:val="21"/>
                      <w:lang w:val="fr-FR"/>
                    </w:rPr>
                  </w:pPr>
                </w:p>
              </w:tc>
              <w:tc>
                <w:tcPr>
                  <w:tcW w:w="1762" w:type="dxa"/>
                  <w:vMerge w:val="continue"/>
                  <w:vAlign w:val="center"/>
                </w:tcPr>
                <w:p w14:paraId="520AC71B">
                  <w:pPr>
                    <w:autoSpaceDE w:val="0"/>
                    <w:autoSpaceDN w:val="0"/>
                    <w:adjustRightInd w:val="0"/>
                    <w:snapToGrid w:val="0"/>
                    <w:jc w:val="center"/>
                    <w:rPr>
                      <w:szCs w:val="21"/>
                      <w:lang w:val="fr-FR"/>
                    </w:rPr>
                  </w:pPr>
                </w:p>
              </w:tc>
              <w:tc>
                <w:tcPr>
                  <w:tcW w:w="931" w:type="dxa"/>
                  <w:vMerge w:val="continue"/>
                  <w:vAlign w:val="center"/>
                </w:tcPr>
                <w:p w14:paraId="520AC71C">
                  <w:pPr>
                    <w:autoSpaceDE w:val="0"/>
                    <w:autoSpaceDN w:val="0"/>
                    <w:adjustRightInd w:val="0"/>
                    <w:snapToGrid w:val="0"/>
                    <w:jc w:val="center"/>
                    <w:rPr>
                      <w:szCs w:val="21"/>
                      <w:lang w:val="fr-FR"/>
                    </w:rPr>
                  </w:pPr>
                </w:p>
              </w:tc>
              <w:tc>
                <w:tcPr>
                  <w:tcW w:w="730" w:type="dxa"/>
                  <w:vAlign w:val="center"/>
                </w:tcPr>
                <w:p w14:paraId="520AC71D">
                  <w:pPr>
                    <w:jc w:val="center"/>
                    <w:rPr>
                      <w:szCs w:val="21"/>
                      <w:lang w:val="fr-FR"/>
                    </w:rPr>
                  </w:pPr>
                  <w:r>
                    <w:rPr>
                      <w:rFonts w:hint="eastAsia"/>
                      <w:szCs w:val="21"/>
                      <w:lang w:val="fr-FR"/>
                    </w:rPr>
                    <w:t>0.0001</w:t>
                  </w:r>
                </w:p>
              </w:tc>
            </w:tr>
            <w:tr w14:paraId="520AC72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Align w:val="center"/>
                </w:tcPr>
                <w:p w14:paraId="520AC71F">
                  <w:pPr>
                    <w:autoSpaceDE w:val="0"/>
                    <w:autoSpaceDN w:val="0"/>
                    <w:adjustRightInd w:val="0"/>
                    <w:snapToGrid w:val="0"/>
                    <w:jc w:val="center"/>
                    <w:rPr>
                      <w:szCs w:val="21"/>
                      <w:lang w:val="fr-FR"/>
                    </w:rPr>
                  </w:pPr>
                  <w:r>
                    <w:rPr>
                      <w:rFonts w:hint="eastAsia"/>
                      <w:szCs w:val="21"/>
                      <w:lang w:val="fr-FR"/>
                    </w:rPr>
                    <w:t>3</w:t>
                  </w:r>
                </w:p>
              </w:tc>
              <w:tc>
                <w:tcPr>
                  <w:tcW w:w="708" w:type="dxa"/>
                  <w:vAlign w:val="center"/>
                </w:tcPr>
                <w:p w14:paraId="520AC720">
                  <w:pPr>
                    <w:pStyle w:val="41"/>
                    <w:rPr>
                      <w:lang w:val="fr-FR"/>
                    </w:rPr>
                  </w:pPr>
                  <w:r>
                    <w:rPr>
                      <w:rFonts w:hint="eastAsia"/>
                      <w:lang w:val="fr-FR"/>
                    </w:rPr>
                    <w:t>101</w:t>
                  </w:r>
                  <w:r>
                    <w:rPr>
                      <w:rFonts w:hint="eastAsia"/>
                      <w:lang w:val="en-US"/>
                    </w:rPr>
                    <w:t>#厂房</w:t>
                  </w:r>
                </w:p>
              </w:tc>
              <w:tc>
                <w:tcPr>
                  <w:tcW w:w="567" w:type="dxa"/>
                  <w:vMerge w:val="continue"/>
                  <w:vAlign w:val="center"/>
                </w:tcPr>
                <w:p w14:paraId="520AC721">
                  <w:pPr>
                    <w:autoSpaceDE w:val="0"/>
                    <w:autoSpaceDN w:val="0"/>
                    <w:adjustRightInd w:val="0"/>
                    <w:snapToGrid w:val="0"/>
                    <w:jc w:val="center"/>
                    <w:rPr>
                      <w:lang w:val="fr-FR"/>
                    </w:rPr>
                  </w:pPr>
                </w:p>
              </w:tc>
              <w:tc>
                <w:tcPr>
                  <w:tcW w:w="426" w:type="dxa"/>
                  <w:vMerge w:val="continue"/>
                  <w:vAlign w:val="center"/>
                </w:tcPr>
                <w:p w14:paraId="520AC722">
                  <w:pPr>
                    <w:autoSpaceDE w:val="0"/>
                    <w:autoSpaceDN w:val="0"/>
                    <w:adjustRightInd w:val="0"/>
                    <w:snapToGrid w:val="0"/>
                    <w:jc w:val="center"/>
                    <w:rPr>
                      <w:szCs w:val="21"/>
                      <w:lang w:val="fr-FR"/>
                    </w:rPr>
                  </w:pPr>
                </w:p>
              </w:tc>
              <w:tc>
                <w:tcPr>
                  <w:tcW w:w="567" w:type="dxa"/>
                  <w:vMerge w:val="continue"/>
                  <w:vAlign w:val="center"/>
                </w:tcPr>
                <w:p w14:paraId="520AC723">
                  <w:pPr>
                    <w:jc w:val="center"/>
                    <w:rPr>
                      <w:szCs w:val="21"/>
                      <w:lang w:val="fr-FR"/>
                    </w:rPr>
                  </w:pPr>
                </w:p>
              </w:tc>
              <w:tc>
                <w:tcPr>
                  <w:tcW w:w="1134" w:type="dxa"/>
                  <w:vMerge w:val="continue"/>
                  <w:vAlign w:val="center"/>
                </w:tcPr>
                <w:p w14:paraId="520AC724">
                  <w:pPr>
                    <w:autoSpaceDE w:val="0"/>
                    <w:autoSpaceDN w:val="0"/>
                    <w:adjustRightInd w:val="0"/>
                    <w:snapToGrid w:val="0"/>
                    <w:jc w:val="center"/>
                    <w:rPr>
                      <w:szCs w:val="21"/>
                      <w:lang w:val="fr-FR"/>
                    </w:rPr>
                  </w:pPr>
                </w:p>
              </w:tc>
              <w:tc>
                <w:tcPr>
                  <w:tcW w:w="992" w:type="dxa"/>
                  <w:vMerge w:val="continue"/>
                  <w:vAlign w:val="center"/>
                </w:tcPr>
                <w:p w14:paraId="520AC725">
                  <w:pPr>
                    <w:autoSpaceDE w:val="0"/>
                    <w:autoSpaceDN w:val="0"/>
                    <w:adjustRightInd w:val="0"/>
                    <w:snapToGrid w:val="0"/>
                    <w:jc w:val="center"/>
                    <w:rPr>
                      <w:szCs w:val="21"/>
                      <w:lang w:val="fr-FR"/>
                    </w:rPr>
                  </w:pPr>
                </w:p>
              </w:tc>
              <w:tc>
                <w:tcPr>
                  <w:tcW w:w="1762" w:type="dxa"/>
                  <w:vMerge w:val="continue"/>
                  <w:vAlign w:val="center"/>
                </w:tcPr>
                <w:p w14:paraId="520AC726">
                  <w:pPr>
                    <w:autoSpaceDE w:val="0"/>
                    <w:autoSpaceDN w:val="0"/>
                    <w:adjustRightInd w:val="0"/>
                    <w:snapToGrid w:val="0"/>
                    <w:jc w:val="center"/>
                    <w:rPr>
                      <w:szCs w:val="21"/>
                      <w:lang w:val="fr-FR"/>
                    </w:rPr>
                  </w:pPr>
                </w:p>
              </w:tc>
              <w:tc>
                <w:tcPr>
                  <w:tcW w:w="931" w:type="dxa"/>
                  <w:vMerge w:val="continue"/>
                  <w:vAlign w:val="center"/>
                </w:tcPr>
                <w:p w14:paraId="520AC727">
                  <w:pPr>
                    <w:autoSpaceDE w:val="0"/>
                    <w:autoSpaceDN w:val="0"/>
                    <w:adjustRightInd w:val="0"/>
                    <w:snapToGrid w:val="0"/>
                    <w:jc w:val="center"/>
                    <w:rPr>
                      <w:szCs w:val="21"/>
                      <w:lang w:val="fr-FR"/>
                    </w:rPr>
                  </w:pPr>
                </w:p>
              </w:tc>
              <w:tc>
                <w:tcPr>
                  <w:tcW w:w="730" w:type="dxa"/>
                  <w:vAlign w:val="center"/>
                </w:tcPr>
                <w:p w14:paraId="520AC728">
                  <w:pPr>
                    <w:jc w:val="center"/>
                    <w:rPr>
                      <w:szCs w:val="21"/>
                      <w:lang w:val="fr-FR"/>
                    </w:rPr>
                  </w:pPr>
                  <w:r>
                    <w:rPr>
                      <w:rFonts w:hint="eastAsia"/>
                      <w:szCs w:val="21"/>
                      <w:lang w:val="fr-FR"/>
                    </w:rPr>
                    <w:t>0.0002</w:t>
                  </w:r>
                </w:p>
              </w:tc>
            </w:tr>
            <w:tr w14:paraId="77EEA9B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8135" w:type="dxa"/>
                  <w:gridSpan w:val="10"/>
                  <w:vAlign w:val="center"/>
                </w:tcPr>
                <w:p w14:paraId="0FD84C2A">
                  <w:pPr>
                    <w:jc w:val="center"/>
                    <w:rPr>
                      <w:szCs w:val="21"/>
                      <w:lang w:val="fr-FR"/>
                    </w:rPr>
                  </w:pPr>
                  <w:r>
                    <w:rPr>
                      <w:rFonts w:hint="eastAsia"/>
                      <w:b/>
                      <w:bCs/>
                      <w:szCs w:val="21"/>
                      <w:lang w:val="pt-BR"/>
                    </w:rPr>
                    <w:t>解放路厂区</w:t>
                  </w:r>
                </w:p>
              </w:tc>
            </w:tr>
            <w:tr w14:paraId="1CDB1F7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Align w:val="center"/>
                </w:tcPr>
                <w:p w14:paraId="609A2FE9">
                  <w:pPr>
                    <w:autoSpaceDE w:val="0"/>
                    <w:autoSpaceDN w:val="0"/>
                    <w:adjustRightInd w:val="0"/>
                    <w:snapToGrid w:val="0"/>
                    <w:jc w:val="center"/>
                    <w:rPr>
                      <w:szCs w:val="21"/>
                      <w:lang w:val="fr-FR"/>
                    </w:rPr>
                  </w:pPr>
                  <w:r>
                    <w:rPr>
                      <w:rFonts w:hint="eastAsia"/>
                      <w:szCs w:val="21"/>
                      <w:lang w:val="fr-FR"/>
                    </w:rPr>
                    <w:t>4</w:t>
                  </w:r>
                </w:p>
              </w:tc>
              <w:tc>
                <w:tcPr>
                  <w:tcW w:w="708" w:type="dxa"/>
                  <w:vMerge w:val="restart"/>
                  <w:vAlign w:val="center"/>
                </w:tcPr>
                <w:p w14:paraId="162CF8E8">
                  <w:pPr>
                    <w:pStyle w:val="41"/>
                    <w:rPr>
                      <w:lang w:val="fr-FR"/>
                    </w:rPr>
                  </w:pPr>
                  <w:r>
                    <w:rPr>
                      <w:rFonts w:hint="eastAsia"/>
                      <w:lang w:val="fr-FR"/>
                    </w:rPr>
                    <w:t>2207厂房</w:t>
                  </w:r>
                </w:p>
              </w:tc>
              <w:tc>
                <w:tcPr>
                  <w:tcW w:w="567" w:type="dxa"/>
                  <w:vMerge w:val="restart"/>
                  <w:vAlign w:val="center"/>
                </w:tcPr>
                <w:p w14:paraId="5655880A">
                  <w:pPr>
                    <w:autoSpaceDE w:val="0"/>
                    <w:autoSpaceDN w:val="0"/>
                    <w:adjustRightInd w:val="0"/>
                    <w:snapToGrid w:val="0"/>
                    <w:jc w:val="center"/>
                    <w:rPr>
                      <w:lang w:val="fr-FR"/>
                    </w:rPr>
                  </w:pPr>
                  <w:r>
                    <w:rPr>
                      <w:rFonts w:hint="eastAsia"/>
                      <w:lang w:val="fr-FR"/>
                    </w:rPr>
                    <w:t>硫化</w:t>
                  </w:r>
                </w:p>
              </w:tc>
              <w:tc>
                <w:tcPr>
                  <w:tcW w:w="426" w:type="dxa"/>
                  <w:vAlign w:val="center"/>
                </w:tcPr>
                <w:p w14:paraId="2A50C478">
                  <w:pPr>
                    <w:autoSpaceDE w:val="0"/>
                    <w:autoSpaceDN w:val="0"/>
                    <w:adjustRightInd w:val="0"/>
                    <w:snapToGrid w:val="0"/>
                    <w:jc w:val="center"/>
                    <w:rPr>
                      <w:szCs w:val="21"/>
                      <w:lang w:val="fr-FR"/>
                    </w:rPr>
                  </w:pPr>
                  <w:r>
                    <w:rPr>
                      <w:rFonts w:hint="eastAsia"/>
                      <w:szCs w:val="21"/>
                    </w:rPr>
                    <w:t>非甲烷总烃</w:t>
                  </w:r>
                </w:p>
              </w:tc>
              <w:tc>
                <w:tcPr>
                  <w:tcW w:w="567" w:type="dxa"/>
                  <w:vMerge w:val="restart"/>
                  <w:vAlign w:val="center"/>
                </w:tcPr>
                <w:p w14:paraId="778E0B74">
                  <w:pPr>
                    <w:jc w:val="center"/>
                    <w:rPr>
                      <w:szCs w:val="21"/>
                      <w:lang w:val="fr-FR"/>
                    </w:rPr>
                  </w:pPr>
                  <w:r>
                    <w:rPr>
                      <w:szCs w:val="21"/>
                      <w:lang w:val="fr-FR"/>
                    </w:rPr>
                    <w:t>车间密闭</w:t>
                  </w:r>
                </w:p>
              </w:tc>
              <w:tc>
                <w:tcPr>
                  <w:tcW w:w="1134" w:type="dxa"/>
                  <w:vAlign w:val="center"/>
                </w:tcPr>
                <w:p w14:paraId="1F5A5582">
                  <w:pPr>
                    <w:autoSpaceDE w:val="0"/>
                    <w:autoSpaceDN w:val="0"/>
                    <w:adjustRightInd w:val="0"/>
                    <w:snapToGrid w:val="0"/>
                    <w:jc w:val="center"/>
                    <w:rPr>
                      <w:szCs w:val="21"/>
                      <w:lang w:val="fr-FR"/>
                    </w:rPr>
                  </w:pPr>
                  <w:r>
                    <w:rPr>
                      <w:rFonts w:hint="eastAsia"/>
                      <w:szCs w:val="21"/>
                      <w:lang w:val="fr-FR"/>
                    </w:rPr>
                    <w:t>《橡胶制品工业污染物排放标准》（GB27632-2011）</w:t>
                  </w:r>
                </w:p>
              </w:tc>
              <w:tc>
                <w:tcPr>
                  <w:tcW w:w="992" w:type="dxa"/>
                  <w:vAlign w:val="center"/>
                </w:tcPr>
                <w:p w14:paraId="678F1326">
                  <w:pPr>
                    <w:autoSpaceDE w:val="0"/>
                    <w:autoSpaceDN w:val="0"/>
                    <w:adjustRightInd w:val="0"/>
                    <w:snapToGrid w:val="0"/>
                    <w:jc w:val="center"/>
                    <w:rPr>
                      <w:szCs w:val="21"/>
                      <w:lang w:val="fr-FR"/>
                    </w:rPr>
                  </w:pPr>
                  <w:r>
                    <w:rPr>
                      <w:rFonts w:hint="eastAsia"/>
                      <w:szCs w:val="21"/>
                      <w:lang w:val="fr-FR"/>
                    </w:rPr>
                    <w:t>4</w:t>
                  </w:r>
                </w:p>
              </w:tc>
              <w:tc>
                <w:tcPr>
                  <w:tcW w:w="1762" w:type="dxa"/>
                  <w:vAlign w:val="center"/>
                </w:tcPr>
                <w:p w14:paraId="76DE781C">
                  <w:pPr>
                    <w:autoSpaceDE w:val="0"/>
                    <w:autoSpaceDN w:val="0"/>
                    <w:adjustRightInd w:val="0"/>
                    <w:snapToGrid w:val="0"/>
                    <w:jc w:val="center"/>
                    <w:rPr>
                      <w:szCs w:val="21"/>
                      <w:lang w:val="fr-FR"/>
                    </w:rPr>
                  </w:pPr>
                  <w:r>
                    <w:rPr>
                      <w:rFonts w:hint="eastAsia"/>
                      <w:szCs w:val="21"/>
                      <w:lang w:val="fr-FR"/>
                    </w:rPr>
                    <w:t>《关于全省开展工业企业挥发性有机物专项治理工作中排放建议限值的通知》（豫环攻坚办[2017]162号）</w:t>
                  </w:r>
                </w:p>
              </w:tc>
              <w:tc>
                <w:tcPr>
                  <w:tcW w:w="931" w:type="dxa"/>
                  <w:vAlign w:val="center"/>
                </w:tcPr>
                <w:p w14:paraId="4FB2CC2C">
                  <w:pPr>
                    <w:autoSpaceDE w:val="0"/>
                    <w:autoSpaceDN w:val="0"/>
                    <w:adjustRightInd w:val="0"/>
                    <w:snapToGrid w:val="0"/>
                    <w:jc w:val="center"/>
                    <w:rPr>
                      <w:szCs w:val="21"/>
                      <w:lang w:val="fr-FR"/>
                    </w:rPr>
                  </w:pPr>
                  <w:r>
                    <w:rPr>
                      <w:rFonts w:hint="eastAsia"/>
                      <w:szCs w:val="21"/>
                      <w:lang w:val="fr-FR"/>
                    </w:rPr>
                    <w:t>2</w:t>
                  </w:r>
                </w:p>
              </w:tc>
              <w:tc>
                <w:tcPr>
                  <w:tcW w:w="730" w:type="dxa"/>
                  <w:vAlign w:val="center"/>
                </w:tcPr>
                <w:p w14:paraId="194F9385">
                  <w:pPr>
                    <w:jc w:val="center"/>
                    <w:rPr>
                      <w:szCs w:val="21"/>
                      <w:lang w:val="fr-FR"/>
                    </w:rPr>
                  </w:pPr>
                  <w:r>
                    <w:rPr>
                      <w:szCs w:val="21"/>
                      <w:lang w:val="fr-FR"/>
                    </w:rPr>
                    <w:t>0.0001</w:t>
                  </w:r>
                </w:p>
              </w:tc>
            </w:tr>
            <w:tr w14:paraId="499D1C4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Align w:val="center"/>
                </w:tcPr>
                <w:p w14:paraId="14429526">
                  <w:pPr>
                    <w:autoSpaceDE w:val="0"/>
                    <w:autoSpaceDN w:val="0"/>
                    <w:adjustRightInd w:val="0"/>
                    <w:snapToGrid w:val="0"/>
                    <w:jc w:val="center"/>
                    <w:rPr>
                      <w:szCs w:val="21"/>
                      <w:lang w:val="fr-FR"/>
                    </w:rPr>
                  </w:pPr>
                  <w:r>
                    <w:rPr>
                      <w:rFonts w:hint="eastAsia"/>
                      <w:szCs w:val="21"/>
                      <w:lang w:val="fr-FR"/>
                    </w:rPr>
                    <w:t>5</w:t>
                  </w:r>
                </w:p>
              </w:tc>
              <w:tc>
                <w:tcPr>
                  <w:tcW w:w="708" w:type="dxa"/>
                  <w:vMerge w:val="continue"/>
                  <w:vAlign w:val="center"/>
                </w:tcPr>
                <w:p w14:paraId="59608634">
                  <w:pPr>
                    <w:pStyle w:val="41"/>
                    <w:rPr>
                      <w:lang w:val="fr-FR"/>
                    </w:rPr>
                  </w:pPr>
                </w:p>
              </w:tc>
              <w:tc>
                <w:tcPr>
                  <w:tcW w:w="567" w:type="dxa"/>
                  <w:vMerge w:val="continue"/>
                  <w:vAlign w:val="center"/>
                </w:tcPr>
                <w:p w14:paraId="670969F5">
                  <w:pPr>
                    <w:autoSpaceDE w:val="0"/>
                    <w:autoSpaceDN w:val="0"/>
                    <w:adjustRightInd w:val="0"/>
                    <w:snapToGrid w:val="0"/>
                    <w:jc w:val="center"/>
                    <w:rPr>
                      <w:lang w:val="fr-FR"/>
                    </w:rPr>
                  </w:pPr>
                </w:p>
              </w:tc>
              <w:tc>
                <w:tcPr>
                  <w:tcW w:w="426" w:type="dxa"/>
                  <w:vAlign w:val="center"/>
                </w:tcPr>
                <w:p w14:paraId="6F32B983">
                  <w:pPr>
                    <w:autoSpaceDE w:val="0"/>
                    <w:autoSpaceDN w:val="0"/>
                    <w:adjustRightInd w:val="0"/>
                    <w:snapToGrid w:val="0"/>
                    <w:jc w:val="center"/>
                    <w:rPr>
                      <w:szCs w:val="21"/>
                      <w:lang w:val="fr-FR"/>
                    </w:rPr>
                  </w:pPr>
                  <w:r>
                    <w:rPr>
                      <w:rFonts w:hint="eastAsia"/>
                      <w:szCs w:val="21"/>
                    </w:rPr>
                    <w:t>硫化氢</w:t>
                  </w:r>
                </w:p>
              </w:tc>
              <w:tc>
                <w:tcPr>
                  <w:tcW w:w="567" w:type="dxa"/>
                  <w:vMerge w:val="continue"/>
                  <w:vAlign w:val="center"/>
                </w:tcPr>
                <w:p w14:paraId="0803CACF">
                  <w:pPr>
                    <w:jc w:val="center"/>
                    <w:rPr>
                      <w:szCs w:val="21"/>
                      <w:lang w:val="fr-FR"/>
                    </w:rPr>
                  </w:pPr>
                </w:p>
              </w:tc>
              <w:tc>
                <w:tcPr>
                  <w:tcW w:w="1134" w:type="dxa"/>
                  <w:vAlign w:val="center"/>
                </w:tcPr>
                <w:p w14:paraId="14881030">
                  <w:pPr>
                    <w:autoSpaceDE w:val="0"/>
                    <w:autoSpaceDN w:val="0"/>
                    <w:adjustRightInd w:val="0"/>
                    <w:snapToGrid w:val="0"/>
                    <w:jc w:val="center"/>
                    <w:rPr>
                      <w:szCs w:val="21"/>
                      <w:lang w:val="fr-FR"/>
                    </w:rPr>
                  </w:pPr>
                  <w:r>
                    <w:rPr>
                      <w:rFonts w:hint="eastAsia"/>
                      <w:bCs/>
                      <w:szCs w:val="21"/>
                    </w:rPr>
                    <w:t>《恶臭污染物排放标准》（GB 14554-93）</w:t>
                  </w:r>
                </w:p>
              </w:tc>
              <w:tc>
                <w:tcPr>
                  <w:tcW w:w="992" w:type="dxa"/>
                  <w:vAlign w:val="center"/>
                </w:tcPr>
                <w:p w14:paraId="42E1C2A0">
                  <w:pPr>
                    <w:autoSpaceDE w:val="0"/>
                    <w:autoSpaceDN w:val="0"/>
                    <w:adjustRightInd w:val="0"/>
                    <w:snapToGrid w:val="0"/>
                    <w:jc w:val="center"/>
                    <w:rPr>
                      <w:szCs w:val="21"/>
                      <w:lang w:val="fr-FR"/>
                    </w:rPr>
                  </w:pPr>
                  <w:r>
                    <w:rPr>
                      <w:rFonts w:hint="eastAsia"/>
                      <w:szCs w:val="21"/>
                      <w:lang w:val="fr-FR"/>
                    </w:rPr>
                    <w:t>0.06</w:t>
                  </w:r>
                </w:p>
              </w:tc>
              <w:tc>
                <w:tcPr>
                  <w:tcW w:w="1762" w:type="dxa"/>
                  <w:vAlign w:val="center"/>
                </w:tcPr>
                <w:p w14:paraId="69F44F03">
                  <w:pPr>
                    <w:autoSpaceDE w:val="0"/>
                    <w:autoSpaceDN w:val="0"/>
                    <w:adjustRightInd w:val="0"/>
                    <w:snapToGrid w:val="0"/>
                    <w:jc w:val="center"/>
                    <w:rPr>
                      <w:szCs w:val="21"/>
                      <w:lang w:val="fr-FR"/>
                    </w:rPr>
                  </w:pPr>
                  <w:r>
                    <w:rPr>
                      <w:rFonts w:hint="eastAsia"/>
                      <w:szCs w:val="21"/>
                      <w:lang w:val="fr-FR"/>
                    </w:rPr>
                    <w:t>/</w:t>
                  </w:r>
                </w:p>
              </w:tc>
              <w:tc>
                <w:tcPr>
                  <w:tcW w:w="931" w:type="dxa"/>
                  <w:vAlign w:val="center"/>
                </w:tcPr>
                <w:p w14:paraId="5C880C97">
                  <w:pPr>
                    <w:autoSpaceDE w:val="0"/>
                    <w:autoSpaceDN w:val="0"/>
                    <w:adjustRightInd w:val="0"/>
                    <w:snapToGrid w:val="0"/>
                    <w:jc w:val="center"/>
                    <w:rPr>
                      <w:szCs w:val="21"/>
                      <w:lang w:val="fr-FR"/>
                    </w:rPr>
                  </w:pPr>
                  <w:r>
                    <w:rPr>
                      <w:rFonts w:hint="eastAsia"/>
                      <w:szCs w:val="21"/>
                      <w:lang w:val="fr-FR"/>
                    </w:rPr>
                    <w:t>/</w:t>
                  </w:r>
                </w:p>
              </w:tc>
              <w:tc>
                <w:tcPr>
                  <w:tcW w:w="730" w:type="dxa"/>
                  <w:vAlign w:val="center"/>
                </w:tcPr>
                <w:p w14:paraId="6A57E946">
                  <w:pPr>
                    <w:jc w:val="center"/>
                    <w:rPr>
                      <w:szCs w:val="21"/>
                      <w:lang w:val="fr-FR"/>
                    </w:rPr>
                  </w:pPr>
                  <w:r>
                    <w:rPr>
                      <w:rFonts w:hint="eastAsia"/>
                      <w:szCs w:val="21"/>
                      <w:lang w:val="fr-FR"/>
                    </w:rPr>
                    <w:t>0.00005</w:t>
                  </w:r>
                </w:p>
              </w:tc>
            </w:tr>
          </w:tbl>
          <w:p w14:paraId="520AC72A">
            <w:pPr>
              <w:spacing w:line="460" w:lineRule="exact"/>
              <w:ind w:firstLine="480" w:firstLineChars="200"/>
              <w:rPr>
                <w:snapToGrid w:val="0"/>
                <w:sz w:val="24"/>
                <w:szCs w:val="22"/>
                <w:lang w:val="fr-FR"/>
              </w:rPr>
            </w:pPr>
            <w:r>
              <w:rPr>
                <w:rFonts w:hint="eastAsia"/>
                <w:snapToGrid w:val="0"/>
                <w:sz w:val="24"/>
                <w:szCs w:val="22"/>
                <w:lang w:val="fr-FR"/>
              </w:rPr>
              <w:t>（3）</w:t>
            </w:r>
            <w:r>
              <w:rPr>
                <w:snapToGrid w:val="0"/>
                <w:sz w:val="24"/>
                <w:szCs w:val="22"/>
              </w:rPr>
              <w:t>大气污染物年排放量核算</w:t>
            </w:r>
          </w:p>
          <w:p w14:paraId="520AC72D">
            <w:pPr>
              <w:adjustRightInd w:val="0"/>
              <w:snapToGrid w:val="0"/>
              <w:spacing w:line="460" w:lineRule="exact"/>
              <w:ind w:firstLine="480" w:firstLineChars="200"/>
              <w:rPr>
                <w:rFonts w:eastAsia="黑体"/>
                <w:sz w:val="24"/>
                <w:lang w:val="fr-FR"/>
              </w:rPr>
            </w:pPr>
            <w:r>
              <w:rPr>
                <w:rFonts w:eastAsia="黑体"/>
                <w:sz w:val="24"/>
              </w:rPr>
              <w:t>表</w:t>
            </w:r>
            <w:r>
              <w:rPr>
                <w:rFonts w:hint="eastAsia" w:eastAsia="黑体"/>
                <w:sz w:val="24"/>
                <w:lang w:val="fr-FR"/>
              </w:rPr>
              <w:t>65</w:t>
            </w:r>
            <w:r>
              <w:rPr>
                <w:rFonts w:eastAsia="黑体"/>
                <w:sz w:val="24"/>
                <w:lang w:val="fr-FR"/>
              </w:rPr>
              <w:t xml:space="preserve">              </w:t>
            </w:r>
            <w:r>
              <w:rPr>
                <w:rFonts w:eastAsia="黑体"/>
                <w:sz w:val="24"/>
              </w:rPr>
              <w:t>大气污染物年排放量核算表</w:t>
            </w:r>
          </w:p>
          <w:tbl>
            <w:tblPr>
              <w:tblStyle w:val="18"/>
              <w:tblW w:w="5000" w:type="pct"/>
              <w:jc w:val="center"/>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798"/>
              <w:gridCol w:w="3021"/>
              <w:gridCol w:w="3316"/>
            </w:tblGrid>
            <w:tr w14:paraId="520AC731">
              <w:tblPrEx>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05" w:type="pct"/>
                  <w:vAlign w:val="center"/>
                </w:tcPr>
                <w:p w14:paraId="520AC72E">
                  <w:pPr>
                    <w:pStyle w:val="46"/>
                    <w:adjustRightInd w:val="0"/>
                    <w:snapToGrid w:val="0"/>
                    <w:rPr>
                      <w:color w:val="auto"/>
                    </w:rPr>
                  </w:pPr>
                  <w:r>
                    <w:rPr>
                      <w:color w:val="auto"/>
                    </w:rPr>
                    <w:t>序号</w:t>
                  </w:r>
                </w:p>
              </w:tc>
              <w:tc>
                <w:tcPr>
                  <w:tcW w:w="1857" w:type="pct"/>
                  <w:vAlign w:val="center"/>
                </w:tcPr>
                <w:p w14:paraId="520AC72F">
                  <w:pPr>
                    <w:pStyle w:val="46"/>
                    <w:adjustRightInd w:val="0"/>
                    <w:snapToGrid w:val="0"/>
                    <w:rPr>
                      <w:color w:val="auto"/>
                    </w:rPr>
                  </w:pPr>
                  <w:r>
                    <w:rPr>
                      <w:color w:val="auto"/>
                    </w:rPr>
                    <w:t>污染物</w:t>
                  </w:r>
                </w:p>
              </w:tc>
              <w:tc>
                <w:tcPr>
                  <w:tcW w:w="2038" w:type="pct"/>
                  <w:vAlign w:val="center"/>
                </w:tcPr>
                <w:p w14:paraId="520AC730">
                  <w:pPr>
                    <w:pStyle w:val="46"/>
                    <w:adjustRightInd w:val="0"/>
                    <w:snapToGrid w:val="0"/>
                    <w:rPr>
                      <w:color w:val="auto"/>
                    </w:rPr>
                  </w:pPr>
                  <w:r>
                    <w:rPr>
                      <w:color w:val="auto"/>
                    </w:rPr>
                    <w:t>年排放量（t/a）</w:t>
                  </w:r>
                </w:p>
              </w:tc>
            </w:tr>
            <w:tr w14:paraId="786A845B">
              <w:tblPrEx>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00" w:type="pct"/>
                  <w:gridSpan w:val="3"/>
                  <w:vAlign w:val="center"/>
                </w:tcPr>
                <w:p w14:paraId="3A876CED">
                  <w:pPr>
                    <w:pStyle w:val="41"/>
                    <w:adjustRightInd w:val="0"/>
                    <w:snapToGrid w:val="0"/>
                    <w:contextualSpacing w:val="0"/>
                  </w:pPr>
                  <w:r>
                    <w:rPr>
                      <w:rFonts w:hint="eastAsia"/>
                      <w:b/>
                      <w:bCs/>
                    </w:rPr>
                    <w:t>建设路厂区</w:t>
                  </w:r>
                </w:p>
              </w:tc>
            </w:tr>
            <w:tr w14:paraId="520AC735">
              <w:tblPrEx>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05" w:type="pct"/>
                  <w:vAlign w:val="center"/>
                </w:tcPr>
                <w:p w14:paraId="520AC732">
                  <w:pPr>
                    <w:pStyle w:val="41"/>
                    <w:adjustRightInd w:val="0"/>
                    <w:snapToGrid w:val="0"/>
                    <w:contextualSpacing w:val="0"/>
                  </w:pPr>
                  <w:r>
                    <w:t>1</w:t>
                  </w:r>
                </w:p>
              </w:tc>
              <w:tc>
                <w:tcPr>
                  <w:tcW w:w="1857" w:type="pct"/>
                  <w:vAlign w:val="center"/>
                </w:tcPr>
                <w:p w14:paraId="520AC733">
                  <w:pPr>
                    <w:pStyle w:val="41"/>
                    <w:adjustRightInd w:val="0"/>
                    <w:snapToGrid w:val="0"/>
                    <w:contextualSpacing w:val="0"/>
                  </w:pPr>
                  <w:r>
                    <w:rPr>
                      <w:rFonts w:hint="eastAsia"/>
                    </w:rPr>
                    <w:t>非甲烷总烃</w:t>
                  </w:r>
                </w:p>
              </w:tc>
              <w:tc>
                <w:tcPr>
                  <w:tcW w:w="2038" w:type="pct"/>
                  <w:vAlign w:val="center"/>
                </w:tcPr>
                <w:p w14:paraId="520AC734">
                  <w:pPr>
                    <w:pStyle w:val="41"/>
                    <w:adjustRightInd w:val="0"/>
                    <w:snapToGrid w:val="0"/>
                    <w:contextualSpacing w:val="0"/>
                  </w:pPr>
                  <w:r>
                    <w:rPr>
                      <w:rFonts w:hint="eastAsia"/>
                    </w:rPr>
                    <w:t>0.</w:t>
                  </w:r>
                  <w:r>
                    <w:t>0</w:t>
                  </w:r>
                  <w:r>
                    <w:rPr>
                      <w:rFonts w:hint="eastAsia"/>
                    </w:rPr>
                    <w:t>0513</w:t>
                  </w:r>
                </w:p>
              </w:tc>
            </w:tr>
            <w:tr w14:paraId="7A6AF09E">
              <w:tblPrEx>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05" w:type="pct"/>
                  <w:vAlign w:val="center"/>
                </w:tcPr>
                <w:p w14:paraId="141BD07A">
                  <w:pPr>
                    <w:pStyle w:val="41"/>
                    <w:adjustRightInd w:val="0"/>
                    <w:snapToGrid w:val="0"/>
                    <w:contextualSpacing w:val="0"/>
                  </w:pPr>
                  <w:r>
                    <w:rPr>
                      <w:rFonts w:hint="eastAsia"/>
                    </w:rPr>
                    <w:t>2</w:t>
                  </w:r>
                </w:p>
              </w:tc>
              <w:tc>
                <w:tcPr>
                  <w:tcW w:w="1857" w:type="pct"/>
                  <w:vAlign w:val="center"/>
                </w:tcPr>
                <w:p w14:paraId="0A19A414">
                  <w:pPr>
                    <w:pStyle w:val="41"/>
                    <w:adjustRightInd w:val="0"/>
                    <w:snapToGrid w:val="0"/>
                    <w:contextualSpacing w:val="0"/>
                  </w:pPr>
                  <w:r>
                    <w:rPr>
                      <w:rFonts w:hint="eastAsia"/>
                    </w:rPr>
                    <w:t>颗粒物</w:t>
                  </w:r>
                </w:p>
              </w:tc>
              <w:tc>
                <w:tcPr>
                  <w:tcW w:w="2038" w:type="pct"/>
                  <w:vAlign w:val="center"/>
                </w:tcPr>
                <w:p w14:paraId="14B838E2">
                  <w:pPr>
                    <w:pStyle w:val="41"/>
                    <w:adjustRightInd w:val="0"/>
                    <w:snapToGrid w:val="0"/>
                    <w:contextualSpacing w:val="0"/>
                  </w:pPr>
                  <w:r>
                    <w:rPr>
                      <w:rFonts w:hint="eastAsia"/>
                    </w:rPr>
                    <w:t>0.002</w:t>
                  </w:r>
                </w:p>
              </w:tc>
            </w:tr>
            <w:tr w14:paraId="53B92C78">
              <w:tblPrEx>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00" w:type="pct"/>
                  <w:gridSpan w:val="3"/>
                  <w:vAlign w:val="center"/>
                </w:tcPr>
                <w:p w14:paraId="7CE0B629">
                  <w:pPr>
                    <w:pStyle w:val="41"/>
                    <w:adjustRightInd w:val="0"/>
                    <w:snapToGrid w:val="0"/>
                    <w:contextualSpacing w:val="0"/>
                  </w:pPr>
                  <w:r>
                    <w:rPr>
                      <w:rFonts w:hint="eastAsia"/>
                      <w:b/>
                      <w:bCs/>
                      <w:lang w:val="pt-BR"/>
                    </w:rPr>
                    <w:t>解放路厂区</w:t>
                  </w:r>
                </w:p>
              </w:tc>
            </w:tr>
            <w:tr w14:paraId="54725516">
              <w:tblPrEx>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05" w:type="pct"/>
                  <w:vAlign w:val="center"/>
                </w:tcPr>
                <w:p w14:paraId="7DC17AE0">
                  <w:pPr>
                    <w:pStyle w:val="41"/>
                    <w:adjustRightInd w:val="0"/>
                    <w:snapToGrid w:val="0"/>
                    <w:contextualSpacing w:val="0"/>
                  </w:pPr>
                  <w:r>
                    <w:rPr>
                      <w:rFonts w:hint="eastAsia"/>
                    </w:rPr>
                    <w:t>1</w:t>
                  </w:r>
                </w:p>
              </w:tc>
              <w:tc>
                <w:tcPr>
                  <w:tcW w:w="1857" w:type="pct"/>
                  <w:vAlign w:val="center"/>
                </w:tcPr>
                <w:p w14:paraId="0293D113">
                  <w:pPr>
                    <w:pStyle w:val="41"/>
                    <w:adjustRightInd w:val="0"/>
                    <w:snapToGrid w:val="0"/>
                    <w:contextualSpacing w:val="0"/>
                  </w:pPr>
                  <w:r>
                    <w:rPr>
                      <w:rFonts w:hint="eastAsia"/>
                    </w:rPr>
                    <w:t>非甲烷总烃</w:t>
                  </w:r>
                </w:p>
              </w:tc>
              <w:tc>
                <w:tcPr>
                  <w:tcW w:w="2038" w:type="pct"/>
                  <w:vAlign w:val="center"/>
                </w:tcPr>
                <w:p w14:paraId="7BC87661">
                  <w:pPr>
                    <w:pStyle w:val="41"/>
                    <w:adjustRightInd w:val="0"/>
                    <w:snapToGrid w:val="0"/>
                    <w:contextualSpacing w:val="0"/>
                  </w:pPr>
                  <w:r>
                    <w:rPr>
                      <w:rFonts w:hint="eastAsia"/>
                    </w:rPr>
                    <w:t>0.0002</w:t>
                  </w:r>
                </w:p>
              </w:tc>
            </w:tr>
            <w:tr w14:paraId="6798D794">
              <w:tblPrEx>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05" w:type="pct"/>
                  <w:vAlign w:val="center"/>
                </w:tcPr>
                <w:p w14:paraId="542C6536">
                  <w:pPr>
                    <w:pStyle w:val="41"/>
                    <w:adjustRightInd w:val="0"/>
                    <w:snapToGrid w:val="0"/>
                    <w:contextualSpacing w:val="0"/>
                  </w:pPr>
                  <w:r>
                    <w:rPr>
                      <w:rFonts w:hint="eastAsia"/>
                    </w:rPr>
                    <w:t>2</w:t>
                  </w:r>
                </w:p>
              </w:tc>
              <w:tc>
                <w:tcPr>
                  <w:tcW w:w="1857" w:type="pct"/>
                  <w:vAlign w:val="center"/>
                </w:tcPr>
                <w:p w14:paraId="4633BC9B">
                  <w:pPr>
                    <w:pStyle w:val="41"/>
                    <w:adjustRightInd w:val="0"/>
                    <w:snapToGrid w:val="0"/>
                    <w:contextualSpacing w:val="0"/>
                  </w:pPr>
                  <w:r>
                    <w:rPr>
                      <w:rFonts w:hint="eastAsia"/>
                    </w:rPr>
                    <w:t>硫化氢</w:t>
                  </w:r>
                </w:p>
              </w:tc>
              <w:tc>
                <w:tcPr>
                  <w:tcW w:w="2038" w:type="pct"/>
                  <w:vAlign w:val="center"/>
                </w:tcPr>
                <w:p w14:paraId="49D7670A">
                  <w:pPr>
                    <w:pStyle w:val="41"/>
                    <w:adjustRightInd w:val="0"/>
                    <w:snapToGrid w:val="0"/>
                    <w:contextualSpacing w:val="0"/>
                  </w:pPr>
                  <w:r>
                    <w:rPr>
                      <w:rFonts w:hint="eastAsia"/>
                    </w:rPr>
                    <w:t>0.00006</w:t>
                  </w:r>
                </w:p>
              </w:tc>
            </w:tr>
            <w:tr w14:paraId="6036E1B9">
              <w:tblPrEx>
                <w:tblBorders>
                  <w:top w:val="single" w:color="000000" w:sz="8" w:space="0"/>
                  <w:left w:val="none" w:color="auto" w:sz="0" w:space="0"/>
                  <w:bottom w:val="single" w:color="000000"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05" w:type="pct"/>
                  <w:vAlign w:val="center"/>
                </w:tcPr>
                <w:p w14:paraId="68EFEB93">
                  <w:pPr>
                    <w:pStyle w:val="41"/>
                    <w:adjustRightInd w:val="0"/>
                    <w:snapToGrid w:val="0"/>
                    <w:contextualSpacing w:val="0"/>
                  </w:pPr>
                  <w:r>
                    <w:rPr>
                      <w:rFonts w:hint="eastAsia"/>
                    </w:rPr>
                    <w:t>3</w:t>
                  </w:r>
                </w:p>
              </w:tc>
              <w:tc>
                <w:tcPr>
                  <w:tcW w:w="1857" w:type="pct"/>
                  <w:vAlign w:val="center"/>
                </w:tcPr>
                <w:p w14:paraId="572D5A2A">
                  <w:pPr>
                    <w:pStyle w:val="41"/>
                    <w:adjustRightInd w:val="0"/>
                    <w:snapToGrid w:val="0"/>
                    <w:contextualSpacing w:val="0"/>
                  </w:pPr>
                  <w:r>
                    <w:rPr>
                      <w:rFonts w:hint="eastAsia"/>
                    </w:rPr>
                    <w:t>SO</w:t>
                  </w:r>
                  <w:r>
                    <w:rPr>
                      <w:rFonts w:hint="eastAsia"/>
                      <w:vertAlign w:val="subscript"/>
                    </w:rPr>
                    <w:t>2</w:t>
                  </w:r>
                </w:p>
              </w:tc>
              <w:tc>
                <w:tcPr>
                  <w:tcW w:w="2038" w:type="pct"/>
                  <w:vAlign w:val="center"/>
                </w:tcPr>
                <w:p w14:paraId="01E8EF74">
                  <w:pPr>
                    <w:pStyle w:val="41"/>
                    <w:adjustRightInd w:val="0"/>
                    <w:snapToGrid w:val="0"/>
                    <w:contextualSpacing w:val="0"/>
                  </w:pPr>
                  <w:r>
                    <w:rPr>
                      <w:rFonts w:hint="eastAsia"/>
                    </w:rPr>
                    <w:t>0.0009</w:t>
                  </w:r>
                </w:p>
              </w:tc>
            </w:tr>
          </w:tbl>
          <w:p w14:paraId="520AC736">
            <w:pPr>
              <w:spacing w:line="460" w:lineRule="exact"/>
              <w:ind w:firstLine="482" w:firstLineChars="200"/>
              <w:rPr>
                <w:b/>
                <w:sz w:val="24"/>
              </w:rPr>
            </w:pPr>
            <w:r>
              <w:rPr>
                <w:rFonts w:hint="eastAsia"/>
                <w:b/>
                <w:sz w:val="24"/>
              </w:rPr>
              <w:t>7、</w:t>
            </w:r>
            <w:r>
              <w:rPr>
                <w:b/>
                <w:sz w:val="24"/>
              </w:rPr>
              <w:t>污染物排放口基本情况</w:t>
            </w:r>
          </w:p>
          <w:p w14:paraId="3B065527">
            <w:pPr>
              <w:spacing w:line="460" w:lineRule="exact"/>
              <w:ind w:firstLine="480" w:firstLineChars="200"/>
              <w:rPr>
                <w:rFonts w:eastAsia="黑体"/>
                <w:bCs/>
                <w:sz w:val="24"/>
              </w:rPr>
            </w:pPr>
          </w:p>
          <w:p w14:paraId="25FDB0E9">
            <w:pPr>
              <w:spacing w:line="460" w:lineRule="exact"/>
              <w:ind w:firstLine="480" w:firstLineChars="200"/>
              <w:rPr>
                <w:rFonts w:eastAsia="黑体"/>
                <w:bCs/>
                <w:sz w:val="24"/>
              </w:rPr>
            </w:pPr>
          </w:p>
          <w:p w14:paraId="520AC737">
            <w:pPr>
              <w:spacing w:line="460" w:lineRule="exact"/>
              <w:ind w:firstLine="480" w:firstLineChars="200"/>
              <w:rPr>
                <w:rFonts w:eastAsia="黑体"/>
                <w:bCs/>
                <w:sz w:val="24"/>
              </w:rPr>
            </w:pPr>
            <w:r>
              <w:rPr>
                <w:rFonts w:eastAsia="黑体"/>
                <w:bCs/>
                <w:sz w:val="24"/>
              </w:rPr>
              <w:t>表</w:t>
            </w:r>
            <w:r>
              <w:rPr>
                <w:rFonts w:hint="eastAsia" w:eastAsia="黑体"/>
                <w:bCs/>
                <w:sz w:val="24"/>
              </w:rPr>
              <w:t>66</w:t>
            </w:r>
            <w:r>
              <w:rPr>
                <w:rFonts w:eastAsia="黑体"/>
                <w:bCs/>
                <w:sz w:val="24"/>
              </w:rPr>
              <w:t xml:space="preserve">              项目污染物排放口基本情况</w:t>
            </w:r>
          </w:p>
          <w:tbl>
            <w:tblPr>
              <w:tblStyle w:val="18"/>
              <w:tblW w:w="49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712"/>
              <w:gridCol w:w="1358"/>
              <w:gridCol w:w="710"/>
              <w:gridCol w:w="1995"/>
              <w:gridCol w:w="568"/>
              <w:gridCol w:w="706"/>
              <w:gridCol w:w="710"/>
              <w:gridCol w:w="539"/>
              <w:gridCol w:w="674"/>
            </w:tblGrid>
            <w:tr w14:paraId="520AC74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7" w:type="pct"/>
                  <w:vAlign w:val="center"/>
                </w:tcPr>
                <w:p w14:paraId="520AC738">
                  <w:pPr>
                    <w:jc w:val="center"/>
                    <w:rPr>
                      <w:b/>
                      <w:szCs w:val="21"/>
                    </w:rPr>
                  </w:pPr>
                  <w:r>
                    <w:rPr>
                      <w:b/>
                      <w:szCs w:val="21"/>
                    </w:rPr>
                    <w:t>排放口编号</w:t>
                  </w:r>
                </w:p>
              </w:tc>
              <w:tc>
                <w:tcPr>
                  <w:tcW w:w="852" w:type="pct"/>
                  <w:vAlign w:val="center"/>
                </w:tcPr>
                <w:p w14:paraId="520AC739">
                  <w:pPr>
                    <w:jc w:val="center"/>
                    <w:rPr>
                      <w:b/>
                      <w:szCs w:val="21"/>
                    </w:rPr>
                  </w:pPr>
                  <w:r>
                    <w:rPr>
                      <w:b/>
                      <w:szCs w:val="21"/>
                    </w:rPr>
                    <w:t>排放口名称</w:t>
                  </w:r>
                </w:p>
              </w:tc>
              <w:tc>
                <w:tcPr>
                  <w:tcW w:w="445" w:type="pct"/>
                  <w:vAlign w:val="center"/>
                </w:tcPr>
                <w:p w14:paraId="520AC73A">
                  <w:pPr>
                    <w:jc w:val="center"/>
                    <w:rPr>
                      <w:b/>
                      <w:szCs w:val="21"/>
                    </w:rPr>
                  </w:pPr>
                  <w:r>
                    <w:rPr>
                      <w:b/>
                    </w:rPr>
                    <w:t>污染物种类</w:t>
                  </w:r>
                </w:p>
              </w:tc>
              <w:tc>
                <w:tcPr>
                  <w:tcW w:w="1251" w:type="pct"/>
                  <w:vAlign w:val="center"/>
                </w:tcPr>
                <w:p w14:paraId="520AC73B">
                  <w:pPr>
                    <w:jc w:val="center"/>
                    <w:rPr>
                      <w:b/>
                    </w:rPr>
                  </w:pPr>
                  <w:r>
                    <w:rPr>
                      <w:b/>
                    </w:rPr>
                    <w:t>排放口地理坐标</w:t>
                  </w:r>
                </w:p>
              </w:tc>
              <w:tc>
                <w:tcPr>
                  <w:tcW w:w="356" w:type="pct"/>
                  <w:vAlign w:val="center"/>
                </w:tcPr>
                <w:p w14:paraId="520AC73C">
                  <w:pPr>
                    <w:jc w:val="center"/>
                    <w:rPr>
                      <w:b/>
                    </w:rPr>
                  </w:pPr>
                  <w:r>
                    <w:rPr>
                      <w:b/>
                    </w:rPr>
                    <w:t>排气筒高度m</w:t>
                  </w:r>
                </w:p>
              </w:tc>
              <w:tc>
                <w:tcPr>
                  <w:tcW w:w="443" w:type="pct"/>
                  <w:vAlign w:val="center"/>
                </w:tcPr>
                <w:p w14:paraId="520AC73D">
                  <w:pPr>
                    <w:jc w:val="center"/>
                    <w:rPr>
                      <w:b/>
                      <w:szCs w:val="21"/>
                    </w:rPr>
                  </w:pPr>
                  <w:r>
                    <w:rPr>
                      <w:b/>
                      <w:szCs w:val="21"/>
                    </w:rPr>
                    <w:t>排气筒出口内径m</w:t>
                  </w:r>
                </w:p>
              </w:tc>
              <w:tc>
                <w:tcPr>
                  <w:tcW w:w="445" w:type="pct"/>
                  <w:vAlign w:val="center"/>
                </w:tcPr>
                <w:p w14:paraId="520AC73E">
                  <w:pPr>
                    <w:jc w:val="center"/>
                    <w:rPr>
                      <w:b/>
                      <w:szCs w:val="21"/>
                    </w:rPr>
                  </w:pPr>
                  <w:r>
                    <w:rPr>
                      <w:b/>
                      <w:szCs w:val="21"/>
                    </w:rPr>
                    <w:t>废气出口速度m/s</w:t>
                  </w:r>
                </w:p>
              </w:tc>
              <w:tc>
                <w:tcPr>
                  <w:tcW w:w="338" w:type="pct"/>
                  <w:vAlign w:val="center"/>
                </w:tcPr>
                <w:p w14:paraId="520AC73F">
                  <w:pPr>
                    <w:jc w:val="center"/>
                    <w:rPr>
                      <w:b/>
                      <w:szCs w:val="21"/>
                    </w:rPr>
                  </w:pPr>
                  <w:r>
                    <w:rPr>
                      <w:b/>
                      <w:szCs w:val="21"/>
                    </w:rPr>
                    <w:t>排气温度℃</w:t>
                  </w:r>
                </w:p>
              </w:tc>
              <w:tc>
                <w:tcPr>
                  <w:tcW w:w="423" w:type="pct"/>
                  <w:vAlign w:val="center"/>
                </w:tcPr>
                <w:p w14:paraId="520AC740">
                  <w:pPr>
                    <w:jc w:val="center"/>
                    <w:rPr>
                      <w:b/>
                      <w:szCs w:val="21"/>
                    </w:rPr>
                  </w:pPr>
                  <w:r>
                    <w:rPr>
                      <w:b/>
                      <w:szCs w:val="21"/>
                    </w:rPr>
                    <w:t>排放口类型</w:t>
                  </w:r>
                </w:p>
              </w:tc>
            </w:tr>
            <w:tr w14:paraId="46169B9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000" w:type="pct"/>
                  <w:gridSpan w:val="9"/>
                  <w:vAlign w:val="center"/>
                </w:tcPr>
                <w:p w14:paraId="3BDDC68B">
                  <w:pPr>
                    <w:snapToGrid w:val="0"/>
                    <w:jc w:val="center"/>
                    <w:rPr>
                      <w:b/>
                      <w:bCs/>
                      <w:szCs w:val="21"/>
                    </w:rPr>
                  </w:pPr>
                  <w:r>
                    <w:rPr>
                      <w:rFonts w:hint="eastAsia"/>
                      <w:b/>
                      <w:bCs/>
                      <w:szCs w:val="21"/>
                    </w:rPr>
                    <w:t>建设路厂区</w:t>
                  </w:r>
                </w:p>
              </w:tc>
            </w:tr>
            <w:tr w14:paraId="45A0450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7" w:type="pct"/>
                  <w:vAlign w:val="center"/>
                </w:tcPr>
                <w:p w14:paraId="0112FBB2">
                  <w:pPr>
                    <w:autoSpaceDE w:val="0"/>
                    <w:autoSpaceDN w:val="0"/>
                    <w:adjustRightInd w:val="0"/>
                    <w:snapToGrid w:val="0"/>
                    <w:jc w:val="center"/>
                    <w:rPr>
                      <w:szCs w:val="21"/>
                    </w:rPr>
                  </w:pPr>
                  <w:r>
                    <w:rPr>
                      <w:rFonts w:hint="eastAsia"/>
                      <w:szCs w:val="21"/>
                    </w:rPr>
                    <w:t>DA019</w:t>
                  </w:r>
                </w:p>
              </w:tc>
              <w:tc>
                <w:tcPr>
                  <w:tcW w:w="852" w:type="pct"/>
                  <w:vAlign w:val="center"/>
                </w:tcPr>
                <w:p w14:paraId="504E98A8">
                  <w:pPr>
                    <w:jc w:val="center"/>
                    <w:rPr>
                      <w:szCs w:val="21"/>
                    </w:rPr>
                  </w:pPr>
                  <w:r>
                    <w:rPr>
                      <w:rFonts w:hint="eastAsia"/>
                      <w:szCs w:val="21"/>
                    </w:rPr>
                    <w:t>105厂房</w:t>
                  </w:r>
                </w:p>
              </w:tc>
              <w:tc>
                <w:tcPr>
                  <w:tcW w:w="445" w:type="pct"/>
                  <w:vAlign w:val="center"/>
                </w:tcPr>
                <w:p w14:paraId="72433953">
                  <w:pPr>
                    <w:jc w:val="center"/>
                    <w:rPr>
                      <w:szCs w:val="21"/>
                    </w:rPr>
                  </w:pPr>
                  <w:r>
                    <w:rPr>
                      <w:rFonts w:hint="eastAsia"/>
                      <w:szCs w:val="21"/>
                    </w:rPr>
                    <w:t>颗粒物</w:t>
                  </w:r>
                </w:p>
              </w:tc>
              <w:tc>
                <w:tcPr>
                  <w:tcW w:w="1251" w:type="pct"/>
                  <w:vAlign w:val="center"/>
                </w:tcPr>
                <w:p w14:paraId="0501C8BE">
                  <w:pPr>
                    <w:ind w:firstLine="35" w:firstLineChars="17"/>
                    <w:jc w:val="center"/>
                    <w:rPr>
                      <w:szCs w:val="21"/>
                    </w:rPr>
                  </w:pPr>
                  <w:r>
                    <w:rPr>
                      <w:szCs w:val="21"/>
                    </w:rPr>
                    <w:t>经度113°5</w:t>
                  </w:r>
                  <w:r>
                    <w:rPr>
                      <w:rFonts w:hint="eastAsia"/>
                      <w:szCs w:val="21"/>
                    </w:rPr>
                    <w:t>2</w:t>
                  </w:r>
                  <w:r>
                    <w:rPr>
                      <w:szCs w:val="21"/>
                    </w:rPr>
                    <w:t>′</w:t>
                  </w:r>
                  <w:r>
                    <w:rPr>
                      <w:rFonts w:hint="eastAsia"/>
                      <w:szCs w:val="21"/>
                    </w:rPr>
                    <w:t>24.531</w:t>
                  </w:r>
                  <w:r>
                    <w:rPr>
                      <w:szCs w:val="21"/>
                    </w:rPr>
                    <w:t>″</w:t>
                  </w:r>
                </w:p>
                <w:p w14:paraId="17FB17B8">
                  <w:pPr>
                    <w:ind w:firstLine="35" w:firstLineChars="17"/>
                    <w:jc w:val="center"/>
                    <w:rPr>
                      <w:szCs w:val="21"/>
                    </w:rPr>
                  </w:pPr>
                  <w:r>
                    <w:rPr>
                      <w:szCs w:val="21"/>
                    </w:rPr>
                    <w:t>纬度35°1</w:t>
                  </w:r>
                  <w:r>
                    <w:rPr>
                      <w:rFonts w:hint="eastAsia"/>
                      <w:szCs w:val="21"/>
                    </w:rPr>
                    <w:t>9</w:t>
                  </w:r>
                  <w:r>
                    <w:rPr>
                      <w:szCs w:val="21"/>
                    </w:rPr>
                    <w:t>′</w:t>
                  </w:r>
                  <w:r>
                    <w:rPr>
                      <w:rFonts w:hint="eastAsia"/>
                      <w:szCs w:val="21"/>
                    </w:rPr>
                    <w:t>36.639</w:t>
                  </w:r>
                  <w:r>
                    <w:rPr>
                      <w:szCs w:val="21"/>
                    </w:rPr>
                    <w:t>″</w:t>
                  </w:r>
                </w:p>
              </w:tc>
              <w:tc>
                <w:tcPr>
                  <w:tcW w:w="356" w:type="pct"/>
                  <w:vAlign w:val="center"/>
                </w:tcPr>
                <w:p w14:paraId="16C9BD58">
                  <w:pPr>
                    <w:snapToGrid w:val="0"/>
                    <w:ind w:firstLine="35" w:firstLineChars="17"/>
                    <w:jc w:val="center"/>
                    <w:rPr>
                      <w:szCs w:val="21"/>
                    </w:rPr>
                  </w:pPr>
                  <w:r>
                    <w:rPr>
                      <w:rFonts w:hint="eastAsia"/>
                      <w:szCs w:val="21"/>
                    </w:rPr>
                    <w:t>15</w:t>
                  </w:r>
                </w:p>
              </w:tc>
              <w:tc>
                <w:tcPr>
                  <w:tcW w:w="443" w:type="pct"/>
                  <w:vAlign w:val="center"/>
                </w:tcPr>
                <w:p w14:paraId="5471A818">
                  <w:pPr>
                    <w:snapToGrid w:val="0"/>
                    <w:jc w:val="center"/>
                    <w:rPr>
                      <w:szCs w:val="21"/>
                    </w:rPr>
                  </w:pPr>
                  <w:r>
                    <w:rPr>
                      <w:rFonts w:hint="eastAsia"/>
                      <w:szCs w:val="21"/>
                    </w:rPr>
                    <w:t>0.3</w:t>
                  </w:r>
                </w:p>
              </w:tc>
              <w:tc>
                <w:tcPr>
                  <w:tcW w:w="445" w:type="pct"/>
                  <w:vAlign w:val="center"/>
                </w:tcPr>
                <w:p w14:paraId="274A735E">
                  <w:pPr>
                    <w:snapToGrid w:val="0"/>
                    <w:jc w:val="center"/>
                    <w:rPr>
                      <w:szCs w:val="21"/>
                    </w:rPr>
                  </w:pPr>
                  <w:r>
                    <w:rPr>
                      <w:rFonts w:hint="eastAsia"/>
                      <w:szCs w:val="21"/>
                    </w:rPr>
                    <w:t>11.8</w:t>
                  </w:r>
                </w:p>
              </w:tc>
              <w:tc>
                <w:tcPr>
                  <w:tcW w:w="338" w:type="pct"/>
                  <w:vAlign w:val="center"/>
                </w:tcPr>
                <w:p w14:paraId="6E389E09">
                  <w:pPr>
                    <w:snapToGrid w:val="0"/>
                    <w:jc w:val="center"/>
                    <w:rPr>
                      <w:szCs w:val="21"/>
                    </w:rPr>
                  </w:pPr>
                  <w:r>
                    <w:rPr>
                      <w:rFonts w:hint="eastAsia"/>
                      <w:szCs w:val="21"/>
                    </w:rPr>
                    <w:t>25</w:t>
                  </w:r>
                </w:p>
              </w:tc>
              <w:tc>
                <w:tcPr>
                  <w:tcW w:w="423" w:type="pct"/>
                  <w:vAlign w:val="center"/>
                </w:tcPr>
                <w:p w14:paraId="0D13A4A7">
                  <w:pPr>
                    <w:snapToGrid w:val="0"/>
                    <w:jc w:val="center"/>
                    <w:rPr>
                      <w:szCs w:val="21"/>
                    </w:rPr>
                  </w:pPr>
                  <w:r>
                    <w:rPr>
                      <w:szCs w:val="21"/>
                    </w:rPr>
                    <w:t>一般排</w:t>
                  </w:r>
                  <w:r>
                    <w:rPr>
                      <w:rFonts w:hint="eastAsia"/>
                      <w:szCs w:val="21"/>
                    </w:rPr>
                    <w:t>放</w:t>
                  </w:r>
                  <w:r>
                    <w:rPr>
                      <w:szCs w:val="21"/>
                    </w:rPr>
                    <w:t>口</w:t>
                  </w:r>
                </w:p>
              </w:tc>
            </w:tr>
            <w:tr w14:paraId="520AC74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7" w:type="pct"/>
                  <w:vAlign w:val="center"/>
                </w:tcPr>
                <w:p w14:paraId="520AC742">
                  <w:pPr>
                    <w:autoSpaceDE w:val="0"/>
                    <w:autoSpaceDN w:val="0"/>
                    <w:adjustRightInd w:val="0"/>
                    <w:snapToGrid w:val="0"/>
                    <w:jc w:val="center"/>
                    <w:rPr>
                      <w:szCs w:val="21"/>
                    </w:rPr>
                  </w:pPr>
                  <w:r>
                    <w:rPr>
                      <w:szCs w:val="21"/>
                    </w:rPr>
                    <w:t>DA025</w:t>
                  </w:r>
                </w:p>
              </w:tc>
              <w:tc>
                <w:tcPr>
                  <w:tcW w:w="852" w:type="pct"/>
                  <w:vAlign w:val="center"/>
                </w:tcPr>
                <w:p w14:paraId="520AC743">
                  <w:pPr>
                    <w:jc w:val="center"/>
                    <w:rPr>
                      <w:szCs w:val="21"/>
                    </w:rPr>
                  </w:pPr>
                  <w:r>
                    <w:rPr>
                      <w:szCs w:val="21"/>
                    </w:rPr>
                    <w:t>101厂房油类试验排气筒</w:t>
                  </w:r>
                </w:p>
              </w:tc>
              <w:tc>
                <w:tcPr>
                  <w:tcW w:w="445" w:type="pct"/>
                  <w:vMerge w:val="restart"/>
                  <w:vAlign w:val="center"/>
                </w:tcPr>
                <w:p w14:paraId="520AC744">
                  <w:pPr>
                    <w:jc w:val="center"/>
                    <w:rPr>
                      <w:szCs w:val="21"/>
                      <w:highlight w:val="yellow"/>
                    </w:rPr>
                  </w:pPr>
                  <w:r>
                    <w:rPr>
                      <w:szCs w:val="21"/>
                    </w:rPr>
                    <w:t>非甲烷总烃</w:t>
                  </w:r>
                </w:p>
              </w:tc>
              <w:tc>
                <w:tcPr>
                  <w:tcW w:w="1251" w:type="pct"/>
                  <w:vAlign w:val="center"/>
                </w:tcPr>
                <w:p w14:paraId="520AC745">
                  <w:pPr>
                    <w:ind w:firstLine="35" w:firstLineChars="17"/>
                    <w:jc w:val="center"/>
                    <w:rPr>
                      <w:szCs w:val="21"/>
                    </w:rPr>
                  </w:pPr>
                  <w:r>
                    <w:rPr>
                      <w:szCs w:val="21"/>
                    </w:rPr>
                    <w:t>经度113°52′2</w:t>
                  </w:r>
                  <w:r>
                    <w:rPr>
                      <w:rFonts w:hint="eastAsia"/>
                      <w:szCs w:val="21"/>
                    </w:rPr>
                    <w:t>5.593</w:t>
                  </w:r>
                  <w:r>
                    <w:rPr>
                      <w:szCs w:val="21"/>
                    </w:rPr>
                    <w:t>″</w:t>
                  </w:r>
                </w:p>
                <w:p w14:paraId="520AC746">
                  <w:pPr>
                    <w:ind w:firstLine="35" w:firstLineChars="17"/>
                    <w:jc w:val="center"/>
                    <w:rPr>
                      <w:szCs w:val="21"/>
                    </w:rPr>
                  </w:pPr>
                  <w:r>
                    <w:rPr>
                      <w:szCs w:val="21"/>
                    </w:rPr>
                    <w:t>纬度35°19′2</w:t>
                  </w:r>
                  <w:r>
                    <w:rPr>
                      <w:rFonts w:hint="eastAsia"/>
                      <w:szCs w:val="21"/>
                    </w:rPr>
                    <w:t>4.849</w:t>
                  </w:r>
                  <w:r>
                    <w:rPr>
                      <w:szCs w:val="21"/>
                    </w:rPr>
                    <w:t>″</w:t>
                  </w:r>
                </w:p>
              </w:tc>
              <w:tc>
                <w:tcPr>
                  <w:tcW w:w="356" w:type="pct"/>
                  <w:vAlign w:val="center"/>
                </w:tcPr>
                <w:p w14:paraId="520AC747">
                  <w:pPr>
                    <w:snapToGrid w:val="0"/>
                    <w:ind w:firstLine="35" w:firstLineChars="17"/>
                    <w:jc w:val="center"/>
                    <w:rPr>
                      <w:szCs w:val="21"/>
                    </w:rPr>
                  </w:pPr>
                  <w:r>
                    <w:rPr>
                      <w:szCs w:val="21"/>
                    </w:rPr>
                    <w:t>15</w:t>
                  </w:r>
                </w:p>
              </w:tc>
              <w:tc>
                <w:tcPr>
                  <w:tcW w:w="443" w:type="pct"/>
                  <w:vAlign w:val="center"/>
                </w:tcPr>
                <w:p w14:paraId="520AC748">
                  <w:pPr>
                    <w:snapToGrid w:val="0"/>
                    <w:jc w:val="center"/>
                    <w:rPr>
                      <w:szCs w:val="21"/>
                      <w:highlight w:val="yellow"/>
                    </w:rPr>
                  </w:pPr>
                  <w:r>
                    <w:rPr>
                      <w:rFonts w:hint="eastAsia"/>
                      <w:szCs w:val="21"/>
                    </w:rPr>
                    <w:t>1.6</w:t>
                  </w:r>
                </w:p>
              </w:tc>
              <w:tc>
                <w:tcPr>
                  <w:tcW w:w="445" w:type="pct"/>
                  <w:vAlign w:val="center"/>
                </w:tcPr>
                <w:p w14:paraId="520AC749">
                  <w:pPr>
                    <w:snapToGrid w:val="0"/>
                    <w:jc w:val="center"/>
                    <w:rPr>
                      <w:szCs w:val="21"/>
                      <w:highlight w:val="yellow"/>
                    </w:rPr>
                  </w:pPr>
                  <w:r>
                    <w:rPr>
                      <w:rFonts w:hint="eastAsia"/>
                      <w:szCs w:val="21"/>
                    </w:rPr>
                    <w:t>5.57</w:t>
                  </w:r>
                </w:p>
              </w:tc>
              <w:tc>
                <w:tcPr>
                  <w:tcW w:w="338" w:type="pct"/>
                  <w:vAlign w:val="center"/>
                </w:tcPr>
                <w:p w14:paraId="520AC74A">
                  <w:pPr>
                    <w:snapToGrid w:val="0"/>
                    <w:jc w:val="center"/>
                    <w:rPr>
                      <w:szCs w:val="21"/>
                    </w:rPr>
                  </w:pPr>
                  <w:r>
                    <w:rPr>
                      <w:rFonts w:hint="eastAsia"/>
                      <w:szCs w:val="21"/>
                    </w:rPr>
                    <w:t>40</w:t>
                  </w:r>
                </w:p>
              </w:tc>
              <w:tc>
                <w:tcPr>
                  <w:tcW w:w="423" w:type="pct"/>
                  <w:vAlign w:val="center"/>
                </w:tcPr>
                <w:p w14:paraId="520AC74B">
                  <w:pPr>
                    <w:snapToGrid w:val="0"/>
                    <w:jc w:val="center"/>
                    <w:rPr>
                      <w:szCs w:val="21"/>
                      <w:highlight w:val="yellow"/>
                    </w:rPr>
                  </w:pPr>
                  <w:r>
                    <w:rPr>
                      <w:szCs w:val="21"/>
                    </w:rPr>
                    <w:t>一般排</w:t>
                  </w:r>
                  <w:r>
                    <w:rPr>
                      <w:rFonts w:hint="eastAsia"/>
                      <w:szCs w:val="21"/>
                    </w:rPr>
                    <w:t>放</w:t>
                  </w:r>
                  <w:r>
                    <w:rPr>
                      <w:szCs w:val="21"/>
                    </w:rPr>
                    <w:t>口</w:t>
                  </w:r>
                </w:p>
              </w:tc>
            </w:tr>
            <w:tr w14:paraId="520AC75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7" w:type="pct"/>
                  <w:vAlign w:val="center"/>
                </w:tcPr>
                <w:p w14:paraId="520AC74D">
                  <w:pPr>
                    <w:autoSpaceDE w:val="0"/>
                    <w:autoSpaceDN w:val="0"/>
                    <w:adjustRightInd w:val="0"/>
                    <w:snapToGrid w:val="0"/>
                    <w:jc w:val="center"/>
                    <w:rPr>
                      <w:szCs w:val="21"/>
                    </w:rPr>
                  </w:pPr>
                  <w:r>
                    <w:rPr>
                      <w:szCs w:val="21"/>
                    </w:rPr>
                    <w:t>DA02</w:t>
                  </w:r>
                  <w:r>
                    <w:rPr>
                      <w:rFonts w:hint="eastAsia"/>
                      <w:szCs w:val="21"/>
                    </w:rPr>
                    <w:t>6</w:t>
                  </w:r>
                </w:p>
              </w:tc>
              <w:tc>
                <w:tcPr>
                  <w:tcW w:w="852" w:type="pct"/>
                  <w:vAlign w:val="center"/>
                </w:tcPr>
                <w:p w14:paraId="520AC74E">
                  <w:pPr>
                    <w:jc w:val="center"/>
                    <w:rPr>
                      <w:szCs w:val="21"/>
                    </w:rPr>
                  </w:pPr>
                  <w:r>
                    <w:rPr>
                      <w:szCs w:val="21"/>
                    </w:rPr>
                    <w:t>1</w:t>
                  </w:r>
                  <w:r>
                    <w:rPr>
                      <w:rFonts w:hint="eastAsia"/>
                      <w:szCs w:val="21"/>
                    </w:rPr>
                    <w:t>206</w:t>
                  </w:r>
                  <w:r>
                    <w:rPr>
                      <w:szCs w:val="21"/>
                    </w:rPr>
                    <w:t>厂房油类试验排气筒</w:t>
                  </w:r>
                </w:p>
              </w:tc>
              <w:tc>
                <w:tcPr>
                  <w:tcW w:w="445" w:type="pct"/>
                  <w:vMerge w:val="continue"/>
                  <w:vAlign w:val="center"/>
                </w:tcPr>
                <w:p w14:paraId="520AC74F">
                  <w:pPr>
                    <w:jc w:val="center"/>
                    <w:rPr>
                      <w:szCs w:val="21"/>
                      <w:highlight w:val="yellow"/>
                    </w:rPr>
                  </w:pPr>
                </w:p>
              </w:tc>
              <w:tc>
                <w:tcPr>
                  <w:tcW w:w="1251" w:type="pct"/>
                  <w:vAlign w:val="center"/>
                </w:tcPr>
                <w:p w14:paraId="520AC750">
                  <w:pPr>
                    <w:ind w:firstLine="35" w:firstLineChars="17"/>
                    <w:jc w:val="center"/>
                    <w:rPr>
                      <w:szCs w:val="21"/>
                    </w:rPr>
                  </w:pPr>
                  <w:r>
                    <w:rPr>
                      <w:szCs w:val="21"/>
                    </w:rPr>
                    <w:t>经度113°52′</w:t>
                  </w:r>
                  <w:r>
                    <w:rPr>
                      <w:rFonts w:hint="eastAsia"/>
                      <w:szCs w:val="21"/>
                    </w:rPr>
                    <w:t>31.947</w:t>
                  </w:r>
                  <w:r>
                    <w:rPr>
                      <w:szCs w:val="21"/>
                    </w:rPr>
                    <w:t>″</w:t>
                  </w:r>
                </w:p>
                <w:p w14:paraId="520AC751">
                  <w:pPr>
                    <w:ind w:firstLine="35" w:firstLineChars="17"/>
                    <w:jc w:val="center"/>
                    <w:rPr>
                      <w:szCs w:val="21"/>
                    </w:rPr>
                  </w:pPr>
                  <w:r>
                    <w:rPr>
                      <w:szCs w:val="21"/>
                    </w:rPr>
                    <w:t>纬度35°19′2</w:t>
                  </w:r>
                  <w:r>
                    <w:rPr>
                      <w:rFonts w:hint="eastAsia"/>
                      <w:szCs w:val="21"/>
                    </w:rPr>
                    <w:t>4.849</w:t>
                  </w:r>
                  <w:r>
                    <w:rPr>
                      <w:szCs w:val="21"/>
                    </w:rPr>
                    <w:t>″</w:t>
                  </w:r>
                </w:p>
              </w:tc>
              <w:tc>
                <w:tcPr>
                  <w:tcW w:w="356" w:type="pct"/>
                  <w:vAlign w:val="center"/>
                </w:tcPr>
                <w:p w14:paraId="520AC752">
                  <w:pPr>
                    <w:snapToGrid w:val="0"/>
                    <w:ind w:firstLine="35" w:firstLineChars="17"/>
                    <w:jc w:val="center"/>
                    <w:rPr>
                      <w:szCs w:val="21"/>
                    </w:rPr>
                  </w:pPr>
                  <w:r>
                    <w:rPr>
                      <w:rFonts w:hint="eastAsia"/>
                      <w:szCs w:val="21"/>
                    </w:rPr>
                    <w:t>15</w:t>
                  </w:r>
                </w:p>
              </w:tc>
              <w:tc>
                <w:tcPr>
                  <w:tcW w:w="443" w:type="pct"/>
                  <w:vAlign w:val="center"/>
                </w:tcPr>
                <w:p w14:paraId="520AC753">
                  <w:pPr>
                    <w:snapToGrid w:val="0"/>
                    <w:jc w:val="center"/>
                    <w:rPr>
                      <w:szCs w:val="21"/>
                    </w:rPr>
                  </w:pPr>
                  <w:r>
                    <w:rPr>
                      <w:rFonts w:hint="eastAsia"/>
                      <w:szCs w:val="21"/>
                    </w:rPr>
                    <w:t>1.6</w:t>
                  </w:r>
                </w:p>
              </w:tc>
              <w:tc>
                <w:tcPr>
                  <w:tcW w:w="445" w:type="pct"/>
                  <w:vAlign w:val="center"/>
                </w:tcPr>
                <w:p w14:paraId="520AC754">
                  <w:pPr>
                    <w:snapToGrid w:val="0"/>
                    <w:jc w:val="center"/>
                    <w:rPr>
                      <w:szCs w:val="21"/>
                    </w:rPr>
                  </w:pPr>
                  <w:r>
                    <w:rPr>
                      <w:rFonts w:hint="eastAsia"/>
                      <w:szCs w:val="21"/>
                    </w:rPr>
                    <w:t>4.11</w:t>
                  </w:r>
                </w:p>
              </w:tc>
              <w:tc>
                <w:tcPr>
                  <w:tcW w:w="338" w:type="pct"/>
                  <w:vAlign w:val="center"/>
                </w:tcPr>
                <w:p w14:paraId="520AC755">
                  <w:pPr>
                    <w:snapToGrid w:val="0"/>
                    <w:jc w:val="center"/>
                    <w:rPr>
                      <w:szCs w:val="21"/>
                    </w:rPr>
                  </w:pPr>
                  <w:r>
                    <w:rPr>
                      <w:rFonts w:hint="eastAsia"/>
                      <w:szCs w:val="21"/>
                    </w:rPr>
                    <w:t>40</w:t>
                  </w:r>
                </w:p>
              </w:tc>
              <w:tc>
                <w:tcPr>
                  <w:tcW w:w="423" w:type="pct"/>
                  <w:vAlign w:val="center"/>
                </w:tcPr>
                <w:p w14:paraId="520AC756">
                  <w:pPr>
                    <w:snapToGrid w:val="0"/>
                    <w:jc w:val="center"/>
                    <w:rPr>
                      <w:szCs w:val="21"/>
                    </w:rPr>
                  </w:pPr>
                  <w:r>
                    <w:rPr>
                      <w:szCs w:val="21"/>
                    </w:rPr>
                    <w:t>一般排</w:t>
                  </w:r>
                  <w:r>
                    <w:rPr>
                      <w:rFonts w:hint="eastAsia"/>
                      <w:szCs w:val="21"/>
                    </w:rPr>
                    <w:t>放</w:t>
                  </w:r>
                  <w:r>
                    <w:rPr>
                      <w:szCs w:val="21"/>
                    </w:rPr>
                    <w:t>口</w:t>
                  </w:r>
                </w:p>
              </w:tc>
            </w:tr>
            <w:tr w14:paraId="520AC76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7" w:type="pct"/>
                  <w:vAlign w:val="center"/>
                </w:tcPr>
                <w:p w14:paraId="520AC758">
                  <w:pPr>
                    <w:autoSpaceDE w:val="0"/>
                    <w:autoSpaceDN w:val="0"/>
                    <w:adjustRightInd w:val="0"/>
                    <w:snapToGrid w:val="0"/>
                    <w:jc w:val="center"/>
                    <w:rPr>
                      <w:szCs w:val="21"/>
                    </w:rPr>
                  </w:pPr>
                  <w:r>
                    <w:rPr>
                      <w:szCs w:val="21"/>
                    </w:rPr>
                    <w:t>DA030</w:t>
                  </w:r>
                </w:p>
              </w:tc>
              <w:tc>
                <w:tcPr>
                  <w:tcW w:w="852" w:type="pct"/>
                  <w:vAlign w:val="center"/>
                </w:tcPr>
                <w:p w14:paraId="520AC759">
                  <w:pPr>
                    <w:jc w:val="center"/>
                    <w:rPr>
                      <w:szCs w:val="21"/>
                    </w:rPr>
                  </w:pPr>
                  <w:r>
                    <w:rPr>
                      <w:szCs w:val="21"/>
                    </w:rPr>
                    <w:t>1205厂房油类试验排气筒</w:t>
                  </w:r>
                </w:p>
              </w:tc>
              <w:tc>
                <w:tcPr>
                  <w:tcW w:w="445" w:type="pct"/>
                  <w:vMerge w:val="continue"/>
                  <w:vAlign w:val="center"/>
                </w:tcPr>
                <w:p w14:paraId="520AC75A">
                  <w:pPr>
                    <w:jc w:val="center"/>
                    <w:rPr>
                      <w:szCs w:val="21"/>
                      <w:highlight w:val="yellow"/>
                    </w:rPr>
                  </w:pPr>
                </w:p>
              </w:tc>
              <w:tc>
                <w:tcPr>
                  <w:tcW w:w="1251" w:type="pct"/>
                  <w:vAlign w:val="center"/>
                </w:tcPr>
                <w:p w14:paraId="520AC75B">
                  <w:pPr>
                    <w:ind w:firstLine="35" w:firstLineChars="17"/>
                    <w:jc w:val="center"/>
                    <w:rPr>
                      <w:szCs w:val="21"/>
                    </w:rPr>
                  </w:pPr>
                  <w:r>
                    <w:rPr>
                      <w:szCs w:val="21"/>
                    </w:rPr>
                    <w:t>经度113°52′2</w:t>
                  </w:r>
                  <w:r>
                    <w:rPr>
                      <w:rFonts w:hint="eastAsia"/>
                      <w:szCs w:val="21"/>
                    </w:rPr>
                    <w:t>6.791</w:t>
                  </w:r>
                  <w:r>
                    <w:rPr>
                      <w:szCs w:val="21"/>
                    </w:rPr>
                    <w:t>″</w:t>
                  </w:r>
                </w:p>
                <w:p w14:paraId="520AC75C">
                  <w:pPr>
                    <w:ind w:firstLine="35" w:firstLineChars="17"/>
                    <w:jc w:val="center"/>
                    <w:rPr>
                      <w:szCs w:val="21"/>
                      <w:highlight w:val="yellow"/>
                    </w:rPr>
                  </w:pPr>
                  <w:r>
                    <w:rPr>
                      <w:szCs w:val="21"/>
                    </w:rPr>
                    <w:t>纬度35°19′</w:t>
                  </w:r>
                  <w:r>
                    <w:rPr>
                      <w:rFonts w:hint="eastAsia"/>
                      <w:szCs w:val="21"/>
                    </w:rPr>
                    <w:t>31.029</w:t>
                  </w:r>
                  <w:r>
                    <w:rPr>
                      <w:szCs w:val="21"/>
                    </w:rPr>
                    <w:t>″</w:t>
                  </w:r>
                </w:p>
              </w:tc>
              <w:tc>
                <w:tcPr>
                  <w:tcW w:w="356" w:type="pct"/>
                  <w:vAlign w:val="center"/>
                </w:tcPr>
                <w:p w14:paraId="520AC75D">
                  <w:pPr>
                    <w:snapToGrid w:val="0"/>
                    <w:ind w:firstLine="35" w:firstLineChars="17"/>
                    <w:jc w:val="center"/>
                    <w:rPr>
                      <w:szCs w:val="21"/>
                    </w:rPr>
                  </w:pPr>
                  <w:r>
                    <w:rPr>
                      <w:szCs w:val="21"/>
                    </w:rPr>
                    <w:t>15</w:t>
                  </w:r>
                </w:p>
              </w:tc>
              <w:tc>
                <w:tcPr>
                  <w:tcW w:w="443" w:type="pct"/>
                  <w:vAlign w:val="center"/>
                </w:tcPr>
                <w:p w14:paraId="520AC75E">
                  <w:pPr>
                    <w:snapToGrid w:val="0"/>
                    <w:jc w:val="center"/>
                    <w:rPr>
                      <w:szCs w:val="21"/>
                    </w:rPr>
                  </w:pPr>
                  <w:r>
                    <w:rPr>
                      <w:rFonts w:hint="eastAsia"/>
                      <w:szCs w:val="21"/>
                    </w:rPr>
                    <w:t>0.6</w:t>
                  </w:r>
                </w:p>
              </w:tc>
              <w:tc>
                <w:tcPr>
                  <w:tcW w:w="445" w:type="pct"/>
                  <w:vAlign w:val="center"/>
                </w:tcPr>
                <w:p w14:paraId="520AC75F">
                  <w:pPr>
                    <w:snapToGrid w:val="0"/>
                    <w:jc w:val="center"/>
                    <w:rPr>
                      <w:szCs w:val="21"/>
                    </w:rPr>
                  </w:pPr>
                  <w:r>
                    <w:rPr>
                      <w:szCs w:val="21"/>
                    </w:rPr>
                    <w:t>1</w:t>
                  </w:r>
                  <w:r>
                    <w:rPr>
                      <w:rFonts w:hint="eastAsia"/>
                      <w:szCs w:val="21"/>
                    </w:rPr>
                    <w:t>9.17</w:t>
                  </w:r>
                </w:p>
              </w:tc>
              <w:tc>
                <w:tcPr>
                  <w:tcW w:w="338" w:type="pct"/>
                  <w:vAlign w:val="center"/>
                </w:tcPr>
                <w:p w14:paraId="520AC760">
                  <w:pPr>
                    <w:snapToGrid w:val="0"/>
                    <w:jc w:val="center"/>
                    <w:rPr>
                      <w:szCs w:val="21"/>
                    </w:rPr>
                  </w:pPr>
                  <w:r>
                    <w:rPr>
                      <w:szCs w:val="21"/>
                    </w:rPr>
                    <w:t>40</w:t>
                  </w:r>
                </w:p>
              </w:tc>
              <w:tc>
                <w:tcPr>
                  <w:tcW w:w="423" w:type="pct"/>
                  <w:vAlign w:val="center"/>
                </w:tcPr>
                <w:p w14:paraId="520AC761">
                  <w:pPr>
                    <w:snapToGrid w:val="0"/>
                    <w:jc w:val="center"/>
                    <w:rPr>
                      <w:szCs w:val="21"/>
                      <w:highlight w:val="yellow"/>
                    </w:rPr>
                  </w:pPr>
                  <w:r>
                    <w:rPr>
                      <w:szCs w:val="21"/>
                    </w:rPr>
                    <w:t>一般排</w:t>
                  </w:r>
                  <w:r>
                    <w:rPr>
                      <w:rFonts w:hint="eastAsia"/>
                      <w:szCs w:val="21"/>
                    </w:rPr>
                    <w:t>放</w:t>
                  </w:r>
                  <w:r>
                    <w:rPr>
                      <w:szCs w:val="21"/>
                    </w:rPr>
                    <w:t>口</w:t>
                  </w:r>
                </w:p>
              </w:tc>
            </w:tr>
            <w:tr w14:paraId="0D0C91A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000" w:type="pct"/>
                  <w:gridSpan w:val="9"/>
                  <w:vAlign w:val="center"/>
                </w:tcPr>
                <w:p w14:paraId="65F542B2">
                  <w:pPr>
                    <w:snapToGrid w:val="0"/>
                    <w:jc w:val="center"/>
                    <w:rPr>
                      <w:szCs w:val="21"/>
                    </w:rPr>
                  </w:pPr>
                  <w:r>
                    <w:rPr>
                      <w:rFonts w:hint="eastAsia"/>
                      <w:b/>
                      <w:bCs/>
                      <w:szCs w:val="21"/>
                      <w:lang w:val="pt-BR"/>
                    </w:rPr>
                    <w:t>解放路厂区</w:t>
                  </w:r>
                </w:p>
              </w:tc>
            </w:tr>
            <w:tr w14:paraId="78176E2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7" w:type="pct"/>
                  <w:vMerge w:val="restart"/>
                  <w:vAlign w:val="center"/>
                </w:tcPr>
                <w:p w14:paraId="2FDDB18F">
                  <w:pPr>
                    <w:autoSpaceDE w:val="0"/>
                    <w:autoSpaceDN w:val="0"/>
                    <w:adjustRightInd w:val="0"/>
                    <w:snapToGrid w:val="0"/>
                    <w:jc w:val="center"/>
                    <w:rPr>
                      <w:szCs w:val="21"/>
                    </w:rPr>
                  </w:pPr>
                  <w:r>
                    <w:rPr>
                      <w:rFonts w:hint="eastAsia"/>
                      <w:szCs w:val="21"/>
                    </w:rPr>
                    <w:t>DA025</w:t>
                  </w:r>
                </w:p>
              </w:tc>
              <w:tc>
                <w:tcPr>
                  <w:tcW w:w="852" w:type="pct"/>
                  <w:vMerge w:val="restart"/>
                  <w:vAlign w:val="center"/>
                </w:tcPr>
                <w:p w14:paraId="66F19563">
                  <w:pPr>
                    <w:jc w:val="center"/>
                    <w:rPr>
                      <w:szCs w:val="21"/>
                    </w:rPr>
                  </w:pPr>
                  <w:r>
                    <w:rPr>
                      <w:rFonts w:hint="eastAsia"/>
                      <w:szCs w:val="21"/>
                    </w:rPr>
                    <w:t>硫化工段排气筒</w:t>
                  </w:r>
                </w:p>
              </w:tc>
              <w:tc>
                <w:tcPr>
                  <w:tcW w:w="445" w:type="pct"/>
                  <w:vAlign w:val="center"/>
                </w:tcPr>
                <w:p w14:paraId="5CFCDA05">
                  <w:pPr>
                    <w:jc w:val="center"/>
                    <w:rPr>
                      <w:szCs w:val="21"/>
                      <w:highlight w:val="yellow"/>
                    </w:rPr>
                  </w:pPr>
                  <w:r>
                    <w:rPr>
                      <w:rFonts w:hint="eastAsia"/>
                      <w:szCs w:val="21"/>
                    </w:rPr>
                    <w:t>非甲烷总烃</w:t>
                  </w:r>
                </w:p>
              </w:tc>
              <w:tc>
                <w:tcPr>
                  <w:tcW w:w="1251" w:type="pct"/>
                  <w:vMerge w:val="restart"/>
                  <w:vAlign w:val="center"/>
                </w:tcPr>
                <w:p w14:paraId="3093C688">
                  <w:pPr>
                    <w:ind w:firstLine="35" w:firstLineChars="17"/>
                    <w:jc w:val="center"/>
                    <w:rPr>
                      <w:szCs w:val="21"/>
                    </w:rPr>
                  </w:pPr>
                  <w:r>
                    <w:rPr>
                      <w:szCs w:val="21"/>
                    </w:rPr>
                    <w:t>经度113°5</w:t>
                  </w:r>
                  <w:r>
                    <w:rPr>
                      <w:rFonts w:hint="eastAsia"/>
                      <w:szCs w:val="21"/>
                    </w:rPr>
                    <w:t>1</w:t>
                  </w:r>
                  <w:r>
                    <w:rPr>
                      <w:szCs w:val="21"/>
                    </w:rPr>
                    <w:t>′</w:t>
                  </w:r>
                  <w:r>
                    <w:rPr>
                      <w:rFonts w:hint="eastAsia"/>
                      <w:szCs w:val="21"/>
                    </w:rPr>
                    <w:t>31.848</w:t>
                  </w:r>
                  <w:r>
                    <w:rPr>
                      <w:szCs w:val="21"/>
                    </w:rPr>
                    <w:t>″</w:t>
                  </w:r>
                </w:p>
                <w:p w14:paraId="6B44D099">
                  <w:pPr>
                    <w:ind w:firstLine="35" w:firstLineChars="17"/>
                    <w:jc w:val="center"/>
                    <w:rPr>
                      <w:szCs w:val="21"/>
                    </w:rPr>
                  </w:pPr>
                  <w:r>
                    <w:rPr>
                      <w:szCs w:val="21"/>
                    </w:rPr>
                    <w:t>纬度35°1</w:t>
                  </w:r>
                  <w:r>
                    <w:rPr>
                      <w:rFonts w:hint="eastAsia"/>
                      <w:szCs w:val="21"/>
                    </w:rPr>
                    <w:t>8</w:t>
                  </w:r>
                  <w:r>
                    <w:rPr>
                      <w:szCs w:val="21"/>
                    </w:rPr>
                    <w:t>′</w:t>
                  </w:r>
                  <w:r>
                    <w:rPr>
                      <w:rFonts w:hint="eastAsia"/>
                      <w:szCs w:val="21"/>
                    </w:rPr>
                    <w:t>59.869</w:t>
                  </w:r>
                  <w:r>
                    <w:rPr>
                      <w:szCs w:val="21"/>
                    </w:rPr>
                    <w:t>″</w:t>
                  </w:r>
                </w:p>
              </w:tc>
              <w:tc>
                <w:tcPr>
                  <w:tcW w:w="356" w:type="pct"/>
                  <w:vMerge w:val="restart"/>
                  <w:vAlign w:val="center"/>
                </w:tcPr>
                <w:p w14:paraId="4A03752B">
                  <w:pPr>
                    <w:snapToGrid w:val="0"/>
                    <w:ind w:firstLine="35" w:firstLineChars="17"/>
                    <w:jc w:val="center"/>
                    <w:rPr>
                      <w:szCs w:val="21"/>
                    </w:rPr>
                  </w:pPr>
                  <w:r>
                    <w:rPr>
                      <w:rFonts w:hint="eastAsia"/>
                      <w:szCs w:val="21"/>
                    </w:rPr>
                    <w:t>15</w:t>
                  </w:r>
                </w:p>
              </w:tc>
              <w:tc>
                <w:tcPr>
                  <w:tcW w:w="443" w:type="pct"/>
                  <w:vMerge w:val="restart"/>
                  <w:vAlign w:val="center"/>
                </w:tcPr>
                <w:p w14:paraId="01B2C891">
                  <w:pPr>
                    <w:snapToGrid w:val="0"/>
                    <w:jc w:val="center"/>
                    <w:rPr>
                      <w:szCs w:val="21"/>
                    </w:rPr>
                  </w:pPr>
                  <w:r>
                    <w:rPr>
                      <w:rFonts w:hint="eastAsia"/>
                      <w:szCs w:val="21"/>
                    </w:rPr>
                    <w:t>0.8</w:t>
                  </w:r>
                </w:p>
              </w:tc>
              <w:tc>
                <w:tcPr>
                  <w:tcW w:w="445" w:type="pct"/>
                  <w:vMerge w:val="restart"/>
                  <w:vAlign w:val="center"/>
                </w:tcPr>
                <w:p w14:paraId="42C52344">
                  <w:pPr>
                    <w:snapToGrid w:val="0"/>
                    <w:jc w:val="center"/>
                    <w:rPr>
                      <w:szCs w:val="21"/>
                    </w:rPr>
                  </w:pPr>
                  <w:r>
                    <w:rPr>
                      <w:rFonts w:hint="eastAsia"/>
                      <w:szCs w:val="21"/>
                    </w:rPr>
                    <w:t>8.16</w:t>
                  </w:r>
                </w:p>
              </w:tc>
              <w:tc>
                <w:tcPr>
                  <w:tcW w:w="338" w:type="pct"/>
                  <w:vMerge w:val="restart"/>
                  <w:vAlign w:val="center"/>
                </w:tcPr>
                <w:p w14:paraId="1FE6B136">
                  <w:pPr>
                    <w:snapToGrid w:val="0"/>
                    <w:jc w:val="center"/>
                    <w:rPr>
                      <w:szCs w:val="21"/>
                    </w:rPr>
                  </w:pPr>
                  <w:r>
                    <w:rPr>
                      <w:rFonts w:hint="eastAsia"/>
                      <w:szCs w:val="21"/>
                    </w:rPr>
                    <w:t>40</w:t>
                  </w:r>
                </w:p>
              </w:tc>
              <w:tc>
                <w:tcPr>
                  <w:tcW w:w="423" w:type="pct"/>
                  <w:vMerge w:val="restart"/>
                  <w:vAlign w:val="center"/>
                </w:tcPr>
                <w:p w14:paraId="7029365D">
                  <w:pPr>
                    <w:snapToGrid w:val="0"/>
                    <w:jc w:val="center"/>
                    <w:rPr>
                      <w:szCs w:val="21"/>
                    </w:rPr>
                  </w:pPr>
                  <w:r>
                    <w:rPr>
                      <w:szCs w:val="21"/>
                    </w:rPr>
                    <w:t>一般排</w:t>
                  </w:r>
                  <w:r>
                    <w:rPr>
                      <w:rFonts w:hint="eastAsia"/>
                      <w:szCs w:val="21"/>
                    </w:rPr>
                    <w:t>放</w:t>
                  </w:r>
                  <w:r>
                    <w:rPr>
                      <w:szCs w:val="21"/>
                    </w:rPr>
                    <w:t>口</w:t>
                  </w:r>
                </w:p>
              </w:tc>
            </w:tr>
            <w:tr w14:paraId="646400A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7" w:type="pct"/>
                  <w:vMerge w:val="continue"/>
                  <w:vAlign w:val="center"/>
                </w:tcPr>
                <w:p w14:paraId="726DBA05">
                  <w:pPr>
                    <w:autoSpaceDE w:val="0"/>
                    <w:autoSpaceDN w:val="0"/>
                    <w:adjustRightInd w:val="0"/>
                    <w:snapToGrid w:val="0"/>
                    <w:jc w:val="center"/>
                    <w:rPr>
                      <w:szCs w:val="21"/>
                    </w:rPr>
                  </w:pPr>
                </w:p>
              </w:tc>
              <w:tc>
                <w:tcPr>
                  <w:tcW w:w="852" w:type="pct"/>
                  <w:vMerge w:val="continue"/>
                  <w:vAlign w:val="center"/>
                </w:tcPr>
                <w:p w14:paraId="768645CD">
                  <w:pPr>
                    <w:jc w:val="center"/>
                    <w:rPr>
                      <w:szCs w:val="21"/>
                    </w:rPr>
                  </w:pPr>
                </w:p>
              </w:tc>
              <w:tc>
                <w:tcPr>
                  <w:tcW w:w="445" w:type="pct"/>
                  <w:vAlign w:val="center"/>
                </w:tcPr>
                <w:p w14:paraId="1830D092">
                  <w:pPr>
                    <w:jc w:val="center"/>
                    <w:rPr>
                      <w:szCs w:val="21"/>
                      <w:highlight w:val="yellow"/>
                    </w:rPr>
                  </w:pPr>
                  <w:r>
                    <w:rPr>
                      <w:rFonts w:hint="eastAsia"/>
                      <w:szCs w:val="21"/>
                    </w:rPr>
                    <w:t>硫化氢</w:t>
                  </w:r>
                </w:p>
              </w:tc>
              <w:tc>
                <w:tcPr>
                  <w:tcW w:w="1251" w:type="pct"/>
                  <w:vMerge w:val="continue"/>
                  <w:vAlign w:val="center"/>
                </w:tcPr>
                <w:p w14:paraId="23BE37B3">
                  <w:pPr>
                    <w:ind w:firstLine="35" w:firstLineChars="17"/>
                    <w:jc w:val="center"/>
                    <w:rPr>
                      <w:szCs w:val="21"/>
                    </w:rPr>
                  </w:pPr>
                </w:p>
              </w:tc>
              <w:tc>
                <w:tcPr>
                  <w:tcW w:w="356" w:type="pct"/>
                  <w:vMerge w:val="continue"/>
                  <w:vAlign w:val="center"/>
                </w:tcPr>
                <w:p w14:paraId="536B8C84">
                  <w:pPr>
                    <w:snapToGrid w:val="0"/>
                    <w:ind w:firstLine="35" w:firstLineChars="17"/>
                    <w:jc w:val="center"/>
                    <w:rPr>
                      <w:szCs w:val="21"/>
                    </w:rPr>
                  </w:pPr>
                </w:p>
              </w:tc>
              <w:tc>
                <w:tcPr>
                  <w:tcW w:w="443" w:type="pct"/>
                  <w:vMerge w:val="continue"/>
                  <w:vAlign w:val="center"/>
                </w:tcPr>
                <w:p w14:paraId="5FFA9086">
                  <w:pPr>
                    <w:snapToGrid w:val="0"/>
                    <w:jc w:val="center"/>
                    <w:rPr>
                      <w:szCs w:val="21"/>
                    </w:rPr>
                  </w:pPr>
                </w:p>
              </w:tc>
              <w:tc>
                <w:tcPr>
                  <w:tcW w:w="445" w:type="pct"/>
                  <w:vMerge w:val="continue"/>
                  <w:vAlign w:val="center"/>
                </w:tcPr>
                <w:p w14:paraId="2A874617">
                  <w:pPr>
                    <w:snapToGrid w:val="0"/>
                    <w:jc w:val="center"/>
                    <w:rPr>
                      <w:szCs w:val="21"/>
                    </w:rPr>
                  </w:pPr>
                </w:p>
              </w:tc>
              <w:tc>
                <w:tcPr>
                  <w:tcW w:w="338" w:type="pct"/>
                  <w:vMerge w:val="continue"/>
                  <w:vAlign w:val="center"/>
                </w:tcPr>
                <w:p w14:paraId="229898EE">
                  <w:pPr>
                    <w:snapToGrid w:val="0"/>
                    <w:jc w:val="center"/>
                    <w:rPr>
                      <w:szCs w:val="21"/>
                    </w:rPr>
                  </w:pPr>
                </w:p>
              </w:tc>
              <w:tc>
                <w:tcPr>
                  <w:tcW w:w="423" w:type="pct"/>
                  <w:vMerge w:val="continue"/>
                  <w:vAlign w:val="center"/>
                </w:tcPr>
                <w:p w14:paraId="532F9B41">
                  <w:pPr>
                    <w:snapToGrid w:val="0"/>
                    <w:jc w:val="center"/>
                    <w:rPr>
                      <w:szCs w:val="21"/>
                    </w:rPr>
                  </w:pPr>
                </w:p>
              </w:tc>
            </w:tr>
            <w:tr w14:paraId="7CA2538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7" w:type="pct"/>
                  <w:vMerge w:val="continue"/>
                  <w:vAlign w:val="center"/>
                </w:tcPr>
                <w:p w14:paraId="0180497E">
                  <w:pPr>
                    <w:autoSpaceDE w:val="0"/>
                    <w:autoSpaceDN w:val="0"/>
                    <w:adjustRightInd w:val="0"/>
                    <w:snapToGrid w:val="0"/>
                    <w:jc w:val="center"/>
                    <w:rPr>
                      <w:szCs w:val="21"/>
                    </w:rPr>
                  </w:pPr>
                </w:p>
              </w:tc>
              <w:tc>
                <w:tcPr>
                  <w:tcW w:w="852" w:type="pct"/>
                  <w:vMerge w:val="continue"/>
                  <w:vAlign w:val="center"/>
                </w:tcPr>
                <w:p w14:paraId="319010F6">
                  <w:pPr>
                    <w:jc w:val="center"/>
                    <w:rPr>
                      <w:szCs w:val="21"/>
                    </w:rPr>
                  </w:pPr>
                </w:p>
              </w:tc>
              <w:tc>
                <w:tcPr>
                  <w:tcW w:w="445" w:type="pct"/>
                  <w:vAlign w:val="center"/>
                </w:tcPr>
                <w:p w14:paraId="7EE76AF5">
                  <w:pPr>
                    <w:jc w:val="center"/>
                    <w:rPr>
                      <w:szCs w:val="21"/>
                      <w:highlight w:val="yellow"/>
                    </w:rPr>
                  </w:pPr>
                  <w:r>
                    <w:rPr>
                      <w:rFonts w:hint="eastAsia"/>
                      <w:szCs w:val="21"/>
                    </w:rPr>
                    <w:t>SO</w:t>
                  </w:r>
                  <w:r>
                    <w:rPr>
                      <w:rFonts w:hint="eastAsia"/>
                      <w:szCs w:val="21"/>
                      <w:vertAlign w:val="subscript"/>
                    </w:rPr>
                    <w:t>2</w:t>
                  </w:r>
                </w:p>
              </w:tc>
              <w:tc>
                <w:tcPr>
                  <w:tcW w:w="1251" w:type="pct"/>
                  <w:vMerge w:val="continue"/>
                  <w:vAlign w:val="center"/>
                </w:tcPr>
                <w:p w14:paraId="0EFF2A30">
                  <w:pPr>
                    <w:ind w:firstLine="35" w:firstLineChars="17"/>
                    <w:jc w:val="center"/>
                    <w:rPr>
                      <w:szCs w:val="21"/>
                    </w:rPr>
                  </w:pPr>
                </w:p>
              </w:tc>
              <w:tc>
                <w:tcPr>
                  <w:tcW w:w="356" w:type="pct"/>
                  <w:vMerge w:val="continue"/>
                  <w:vAlign w:val="center"/>
                </w:tcPr>
                <w:p w14:paraId="6E0221F7">
                  <w:pPr>
                    <w:snapToGrid w:val="0"/>
                    <w:ind w:firstLine="35" w:firstLineChars="17"/>
                    <w:jc w:val="center"/>
                    <w:rPr>
                      <w:szCs w:val="21"/>
                    </w:rPr>
                  </w:pPr>
                </w:p>
              </w:tc>
              <w:tc>
                <w:tcPr>
                  <w:tcW w:w="443" w:type="pct"/>
                  <w:vMerge w:val="continue"/>
                  <w:vAlign w:val="center"/>
                </w:tcPr>
                <w:p w14:paraId="62DDF937">
                  <w:pPr>
                    <w:snapToGrid w:val="0"/>
                    <w:jc w:val="center"/>
                    <w:rPr>
                      <w:szCs w:val="21"/>
                    </w:rPr>
                  </w:pPr>
                </w:p>
              </w:tc>
              <w:tc>
                <w:tcPr>
                  <w:tcW w:w="445" w:type="pct"/>
                  <w:vMerge w:val="continue"/>
                  <w:vAlign w:val="center"/>
                </w:tcPr>
                <w:p w14:paraId="78AE8FD0">
                  <w:pPr>
                    <w:snapToGrid w:val="0"/>
                    <w:jc w:val="center"/>
                    <w:rPr>
                      <w:szCs w:val="21"/>
                    </w:rPr>
                  </w:pPr>
                </w:p>
              </w:tc>
              <w:tc>
                <w:tcPr>
                  <w:tcW w:w="338" w:type="pct"/>
                  <w:vMerge w:val="continue"/>
                  <w:vAlign w:val="center"/>
                </w:tcPr>
                <w:p w14:paraId="5BD020C9">
                  <w:pPr>
                    <w:snapToGrid w:val="0"/>
                    <w:jc w:val="center"/>
                    <w:rPr>
                      <w:szCs w:val="21"/>
                    </w:rPr>
                  </w:pPr>
                </w:p>
              </w:tc>
              <w:tc>
                <w:tcPr>
                  <w:tcW w:w="423" w:type="pct"/>
                  <w:vMerge w:val="continue"/>
                  <w:vAlign w:val="center"/>
                </w:tcPr>
                <w:p w14:paraId="5A86B388">
                  <w:pPr>
                    <w:snapToGrid w:val="0"/>
                    <w:jc w:val="center"/>
                    <w:rPr>
                      <w:szCs w:val="21"/>
                    </w:rPr>
                  </w:pPr>
                </w:p>
              </w:tc>
            </w:tr>
          </w:tbl>
          <w:p w14:paraId="249B9B9B">
            <w:pPr>
              <w:ind w:firstLine="480" w:firstLineChars="200"/>
              <w:rPr>
                <w:rFonts w:eastAsia="黑体"/>
                <w:bCs/>
                <w:sz w:val="24"/>
              </w:rPr>
            </w:pPr>
            <w:r>
              <w:rPr>
                <w:rFonts w:eastAsia="黑体"/>
                <w:bCs/>
                <w:sz w:val="24"/>
              </w:rPr>
              <w:t>注：</w:t>
            </w:r>
            <w:r>
              <w:rPr>
                <w:rFonts w:hint="eastAsia" w:eastAsia="黑体"/>
                <w:bCs/>
                <w:sz w:val="24"/>
              </w:rPr>
              <w:t>建设路厂区</w:t>
            </w:r>
            <w:r>
              <w:rPr>
                <w:rFonts w:eastAsia="黑体"/>
                <w:bCs/>
                <w:sz w:val="24"/>
              </w:rPr>
              <w:t>10</w:t>
            </w:r>
            <w:r>
              <w:rPr>
                <w:rFonts w:hint="eastAsia" w:eastAsia="黑体"/>
                <w:bCs/>
                <w:sz w:val="24"/>
              </w:rPr>
              <w:t>1厂</w:t>
            </w:r>
            <w:r>
              <w:rPr>
                <w:rFonts w:eastAsia="黑体"/>
                <w:bCs/>
                <w:sz w:val="24"/>
              </w:rPr>
              <w:t>房已建DA0</w:t>
            </w:r>
            <w:r>
              <w:rPr>
                <w:rFonts w:hint="eastAsia" w:eastAsia="黑体"/>
                <w:bCs/>
                <w:sz w:val="24"/>
              </w:rPr>
              <w:t>25和1206厂房DA026</w:t>
            </w:r>
            <w:r>
              <w:rPr>
                <w:rFonts w:eastAsia="黑体"/>
                <w:bCs/>
                <w:sz w:val="24"/>
              </w:rPr>
              <w:t>排气筒内径</w:t>
            </w:r>
            <w:r>
              <w:rPr>
                <w:rFonts w:hint="eastAsia" w:eastAsia="黑体"/>
                <w:bCs/>
                <w:sz w:val="24"/>
              </w:rPr>
              <w:t>均</w:t>
            </w:r>
            <w:r>
              <w:rPr>
                <w:rFonts w:eastAsia="黑体"/>
                <w:bCs/>
                <w:sz w:val="24"/>
              </w:rPr>
              <w:t>为</w:t>
            </w:r>
            <w:r>
              <w:rPr>
                <w:rFonts w:hint="eastAsia" w:eastAsia="黑体"/>
                <w:bCs/>
                <w:sz w:val="24"/>
              </w:rPr>
              <w:t>1.6m，设计总风量均</w:t>
            </w:r>
            <w:r>
              <w:rPr>
                <w:rFonts w:eastAsia="黑体"/>
                <w:bCs/>
                <w:sz w:val="24"/>
              </w:rPr>
              <w:t>为1</w:t>
            </w:r>
            <w:r>
              <w:rPr>
                <w:rFonts w:hint="eastAsia" w:eastAsia="黑体"/>
                <w:bCs/>
                <w:sz w:val="24"/>
              </w:rPr>
              <w:t>000</w:t>
            </w:r>
            <w:r>
              <w:rPr>
                <w:rFonts w:eastAsia="黑体"/>
                <w:bCs/>
                <w:sz w:val="24"/>
              </w:rPr>
              <w:t>00m</w:t>
            </w:r>
            <w:r>
              <w:rPr>
                <w:rFonts w:eastAsia="黑体"/>
                <w:bCs/>
                <w:sz w:val="24"/>
                <w:vertAlign w:val="superscript"/>
              </w:rPr>
              <w:t>3</w:t>
            </w:r>
            <w:r>
              <w:rPr>
                <w:rFonts w:eastAsia="黑体"/>
                <w:bCs/>
                <w:sz w:val="24"/>
              </w:rPr>
              <w:t>/h</w:t>
            </w:r>
            <w:r>
              <w:rPr>
                <w:rFonts w:hint="eastAsia" w:eastAsia="黑体"/>
                <w:bCs/>
                <w:sz w:val="24"/>
              </w:rPr>
              <w:t>，故设计废气出口速度均为13.82m/s。待本项目建成后</w:t>
            </w:r>
            <w:r>
              <w:rPr>
                <w:rFonts w:eastAsia="黑体"/>
                <w:bCs/>
                <w:sz w:val="24"/>
              </w:rPr>
              <w:t>DA0</w:t>
            </w:r>
            <w:r>
              <w:rPr>
                <w:rFonts w:hint="eastAsia" w:eastAsia="黑体"/>
                <w:bCs/>
                <w:sz w:val="24"/>
              </w:rPr>
              <w:t>25风量为40300</w:t>
            </w:r>
            <w:r>
              <w:rPr>
                <w:rFonts w:eastAsia="黑体"/>
                <w:bCs/>
                <w:sz w:val="24"/>
              </w:rPr>
              <w:t>m</w:t>
            </w:r>
            <w:r>
              <w:rPr>
                <w:rFonts w:eastAsia="黑体"/>
                <w:bCs/>
                <w:sz w:val="24"/>
                <w:vertAlign w:val="superscript"/>
              </w:rPr>
              <w:t>3</w:t>
            </w:r>
            <w:r>
              <w:rPr>
                <w:rFonts w:eastAsia="黑体"/>
                <w:bCs/>
                <w:sz w:val="24"/>
              </w:rPr>
              <w:t>/h</w:t>
            </w:r>
            <w:r>
              <w:rPr>
                <w:rFonts w:hint="eastAsia" w:eastAsia="黑体"/>
                <w:bCs/>
                <w:sz w:val="24"/>
              </w:rPr>
              <w:t>，DA026风量为29700</w:t>
            </w:r>
            <w:r>
              <w:rPr>
                <w:rFonts w:eastAsia="黑体"/>
                <w:bCs/>
                <w:sz w:val="24"/>
              </w:rPr>
              <w:t>m</w:t>
            </w:r>
            <w:r>
              <w:rPr>
                <w:rFonts w:eastAsia="黑体"/>
                <w:bCs/>
                <w:sz w:val="24"/>
                <w:vertAlign w:val="superscript"/>
              </w:rPr>
              <w:t>3</w:t>
            </w:r>
            <w:r>
              <w:rPr>
                <w:rFonts w:eastAsia="黑体"/>
                <w:bCs/>
                <w:sz w:val="24"/>
              </w:rPr>
              <w:t>/h</w:t>
            </w:r>
            <w:r>
              <w:rPr>
                <w:rFonts w:hint="eastAsia" w:eastAsia="黑体"/>
                <w:bCs/>
                <w:sz w:val="24"/>
              </w:rPr>
              <w:t>，故本项目建成后DA025排气筒废气出口速度为5.57m/s、DA026排气筒废气出口速度为4.11m/s。</w:t>
            </w:r>
          </w:p>
          <w:p w14:paraId="51EC427C">
            <w:pPr>
              <w:ind w:firstLine="480" w:firstLineChars="200"/>
              <w:rPr>
                <w:bCs/>
                <w:sz w:val="24"/>
              </w:rPr>
            </w:pPr>
            <w:r>
              <w:rPr>
                <w:rFonts w:hint="eastAsia" w:eastAsia="黑体"/>
                <w:bCs/>
                <w:sz w:val="24"/>
              </w:rPr>
              <w:t>解放路厂区已建DA025</w:t>
            </w:r>
            <w:r>
              <w:rPr>
                <w:rFonts w:eastAsia="黑体"/>
                <w:bCs/>
                <w:sz w:val="24"/>
              </w:rPr>
              <w:t>排气筒内径为</w:t>
            </w:r>
            <w:r>
              <w:rPr>
                <w:rFonts w:hint="eastAsia" w:eastAsia="黑体"/>
                <w:bCs/>
                <w:sz w:val="24"/>
              </w:rPr>
              <w:t>0.8m，设计总风量均</w:t>
            </w:r>
            <w:r>
              <w:rPr>
                <w:rFonts w:eastAsia="黑体"/>
                <w:bCs/>
                <w:sz w:val="24"/>
              </w:rPr>
              <w:t>为</w:t>
            </w:r>
            <w:r>
              <w:rPr>
                <w:rFonts w:hint="eastAsia" w:eastAsia="黑体"/>
                <w:bCs/>
                <w:sz w:val="24"/>
              </w:rPr>
              <w:t>400</w:t>
            </w:r>
            <w:r>
              <w:rPr>
                <w:rFonts w:eastAsia="黑体"/>
                <w:bCs/>
                <w:sz w:val="24"/>
              </w:rPr>
              <w:t>00m</w:t>
            </w:r>
            <w:r>
              <w:rPr>
                <w:rFonts w:eastAsia="黑体"/>
                <w:bCs/>
                <w:sz w:val="24"/>
                <w:vertAlign w:val="superscript"/>
              </w:rPr>
              <w:t>3</w:t>
            </w:r>
            <w:r>
              <w:rPr>
                <w:rFonts w:eastAsia="黑体"/>
                <w:bCs/>
                <w:sz w:val="24"/>
              </w:rPr>
              <w:t>/h</w:t>
            </w:r>
            <w:r>
              <w:rPr>
                <w:rFonts w:hint="eastAsia" w:eastAsia="黑体"/>
                <w:bCs/>
                <w:sz w:val="24"/>
              </w:rPr>
              <w:t>，故设计废气出口速度均为22.12m/s。本项目建成后</w:t>
            </w:r>
            <w:r>
              <w:rPr>
                <w:rFonts w:eastAsia="黑体"/>
                <w:bCs/>
                <w:sz w:val="24"/>
              </w:rPr>
              <w:t>DA0</w:t>
            </w:r>
            <w:r>
              <w:rPr>
                <w:rFonts w:hint="eastAsia" w:eastAsia="黑体"/>
                <w:bCs/>
                <w:sz w:val="24"/>
              </w:rPr>
              <w:t>25风量为14760</w:t>
            </w:r>
            <w:r>
              <w:rPr>
                <w:rFonts w:eastAsia="黑体"/>
                <w:bCs/>
                <w:sz w:val="24"/>
              </w:rPr>
              <w:t>m</w:t>
            </w:r>
            <w:r>
              <w:rPr>
                <w:rFonts w:eastAsia="黑体"/>
                <w:bCs/>
                <w:sz w:val="24"/>
                <w:vertAlign w:val="superscript"/>
              </w:rPr>
              <w:t>3</w:t>
            </w:r>
            <w:r>
              <w:rPr>
                <w:rFonts w:eastAsia="黑体"/>
                <w:bCs/>
                <w:sz w:val="24"/>
              </w:rPr>
              <w:t>/h</w:t>
            </w:r>
            <w:r>
              <w:rPr>
                <w:rFonts w:hint="eastAsia" w:eastAsia="黑体"/>
                <w:bCs/>
                <w:sz w:val="24"/>
              </w:rPr>
              <w:t>，故本项目建成后DA025排气筒废气出口速度为8.16m/s。</w:t>
            </w:r>
          </w:p>
          <w:p w14:paraId="520AC763">
            <w:pPr>
              <w:spacing w:line="460" w:lineRule="exact"/>
              <w:ind w:firstLine="482" w:firstLineChars="200"/>
              <w:rPr>
                <w:b/>
                <w:sz w:val="24"/>
              </w:rPr>
            </w:pPr>
            <w:r>
              <w:rPr>
                <w:rFonts w:hint="eastAsia"/>
                <w:b/>
                <w:sz w:val="24"/>
              </w:rPr>
              <w:t>8、</w:t>
            </w:r>
            <w:r>
              <w:rPr>
                <w:b/>
                <w:sz w:val="24"/>
              </w:rPr>
              <w:t>全厂</w:t>
            </w:r>
            <w:r>
              <w:rPr>
                <w:rFonts w:hint="eastAsia"/>
                <w:b/>
                <w:sz w:val="24"/>
              </w:rPr>
              <w:t>废气</w:t>
            </w:r>
            <w:r>
              <w:rPr>
                <w:b/>
                <w:sz w:val="24"/>
              </w:rPr>
              <w:t>污染物排放</w:t>
            </w:r>
            <w:r>
              <w:rPr>
                <w:rFonts w:ascii="宋体" w:hAnsi="宋体"/>
                <w:b/>
                <w:sz w:val="24"/>
              </w:rPr>
              <w:t>“三笔账”</w:t>
            </w:r>
            <w:r>
              <w:rPr>
                <w:b/>
                <w:sz w:val="24"/>
              </w:rPr>
              <w:t>情况</w:t>
            </w:r>
          </w:p>
          <w:p w14:paraId="520AC764">
            <w:pPr>
              <w:adjustRightInd w:val="0"/>
              <w:snapToGrid w:val="0"/>
              <w:spacing w:line="460" w:lineRule="exact"/>
              <w:ind w:firstLine="480" w:firstLineChars="200"/>
              <w:rPr>
                <w:rFonts w:eastAsia="黑体"/>
                <w:kern w:val="0"/>
                <w:sz w:val="24"/>
              </w:rPr>
            </w:pPr>
            <w:r>
              <w:rPr>
                <w:rFonts w:eastAsia="黑体"/>
                <w:kern w:val="0"/>
                <w:sz w:val="24"/>
              </w:rPr>
              <w:t>表</w:t>
            </w:r>
            <w:r>
              <w:rPr>
                <w:rFonts w:hint="eastAsia" w:eastAsia="黑体"/>
                <w:kern w:val="0"/>
                <w:sz w:val="24"/>
              </w:rPr>
              <w:t>67</w:t>
            </w:r>
            <w:r>
              <w:rPr>
                <w:rFonts w:eastAsia="黑体"/>
                <w:kern w:val="0"/>
                <w:sz w:val="24"/>
              </w:rPr>
              <w:t xml:space="preserve"> </w:t>
            </w:r>
            <w:r>
              <w:rPr>
                <w:rFonts w:hint="eastAsia" w:eastAsia="黑体"/>
                <w:kern w:val="0"/>
                <w:sz w:val="24"/>
              </w:rPr>
              <w:t>建设路厂区</w:t>
            </w:r>
            <w:r>
              <w:rPr>
                <w:rFonts w:eastAsia="黑体"/>
                <w:kern w:val="0"/>
                <w:sz w:val="24"/>
              </w:rPr>
              <w:t>全厂</w:t>
            </w:r>
            <w:r>
              <w:rPr>
                <w:rFonts w:hint="eastAsia" w:eastAsia="黑体"/>
                <w:kern w:val="0"/>
                <w:sz w:val="24"/>
              </w:rPr>
              <w:t>废气</w:t>
            </w:r>
            <w:r>
              <w:rPr>
                <w:rFonts w:eastAsia="黑体"/>
                <w:kern w:val="0"/>
                <w:sz w:val="24"/>
              </w:rPr>
              <w:t>污染物排放</w:t>
            </w:r>
            <w:r>
              <w:rPr>
                <w:rFonts w:ascii="黑体" w:hAnsi="黑体" w:eastAsia="黑体"/>
                <w:kern w:val="0"/>
                <w:sz w:val="24"/>
              </w:rPr>
              <w:t>“</w:t>
            </w:r>
            <w:r>
              <w:rPr>
                <w:rFonts w:hint="eastAsia" w:ascii="黑体" w:hAnsi="黑体" w:eastAsia="黑体"/>
                <w:kern w:val="0"/>
                <w:sz w:val="24"/>
              </w:rPr>
              <w:t>三笔账</w:t>
            </w:r>
            <w:r>
              <w:rPr>
                <w:rFonts w:ascii="黑体" w:hAnsi="黑体" w:eastAsia="黑体"/>
                <w:kern w:val="0"/>
                <w:sz w:val="24"/>
              </w:rPr>
              <w:t>”</w:t>
            </w:r>
            <w:r>
              <w:rPr>
                <w:rFonts w:eastAsia="黑体"/>
                <w:kern w:val="0"/>
                <w:sz w:val="24"/>
              </w:rPr>
              <w:t>一览表    单位：t/a</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235"/>
              <w:gridCol w:w="994"/>
              <w:gridCol w:w="994"/>
              <w:gridCol w:w="1021"/>
              <w:gridCol w:w="994"/>
              <w:gridCol w:w="852"/>
              <w:gridCol w:w="1021"/>
              <w:gridCol w:w="1024"/>
            </w:tblGrid>
            <w:tr w14:paraId="520AC77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1235" w:type="dxa"/>
                  <w:vAlign w:val="center"/>
                </w:tcPr>
                <w:p w14:paraId="520AC765">
                  <w:pPr>
                    <w:jc w:val="center"/>
                    <w:rPr>
                      <w:b/>
                      <w:kern w:val="0"/>
                      <w:szCs w:val="21"/>
                    </w:rPr>
                  </w:pPr>
                  <w:r>
                    <w:rPr>
                      <w:b/>
                      <w:kern w:val="0"/>
                      <w:szCs w:val="21"/>
                    </w:rPr>
                    <w:t>污染物</w:t>
                  </w:r>
                  <w:r>
                    <w:rPr>
                      <w:rFonts w:hint="eastAsia"/>
                      <w:b/>
                      <w:kern w:val="0"/>
                      <w:szCs w:val="21"/>
                    </w:rPr>
                    <w:t>种类</w:t>
                  </w:r>
                </w:p>
              </w:tc>
              <w:tc>
                <w:tcPr>
                  <w:tcW w:w="994" w:type="dxa"/>
                  <w:vAlign w:val="center"/>
                </w:tcPr>
                <w:p w14:paraId="520AC766">
                  <w:pPr>
                    <w:widowControl/>
                    <w:jc w:val="center"/>
                    <w:rPr>
                      <w:b/>
                      <w:kern w:val="0"/>
                      <w:szCs w:val="21"/>
                    </w:rPr>
                  </w:pPr>
                  <w:r>
                    <w:rPr>
                      <w:rFonts w:hint="eastAsia"/>
                      <w:b/>
                      <w:szCs w:val="21"/>
                    </w:rPr>
                    <w:t>已建工程</w:t>
                  </w:r>
                  <w:r>
                    <w:rPr>
                      <w:b/>
                      <w:szCs w:val="21"/>
                    </w:rPr>
                    <w:t>实际排放量</w:t>
                  </w:r>
                </w:p>
              </w:tc>
              <w:tc>
                <w:tcPr>
                  <w:tcW w:w="994" w:type="dxa"/>
                  <w:vAlign w:val="center"/>
                </w:tcPr>
                <w:p w14:paraId="520AC767">
                  <w:pPr>
                    <w:jc w:val="center"/>
                    <w:rPr>
                      <w:b/>
                      <w:kern w:val="0"/>
                      <w:szCs w:val="21"/>
                    </w:rPr>
                  </w:pPr>
                  <w:r>
                    <w:rPr>
                      <w:rFonts w:hint="eastAsia"/>
                      <w:b/>
                      <w:szCs w:val="21"/>
                    </w:rPr>
                    <w:t>已建工程许可排放量</w:t>
                  </w:r>
                </w:p>
              </w:tc>
              <w:tc>
                <w:tcPr>
                  <w:tcW w:w="1021" w:type="dxa"/>
                  <w:vAlign w:val="center"/>
                </w:tcPr>
                <w:p w14:paraId="520AC768">
                  <w:pPr>
                    <w:jc w:val="center"/>
                    <w:rPr>
                      <w:b/>
                      <w:kern w:val="0"/>
                      <w:szCs w:val="21"/>
                    </w:rPr>
                  </w:pPr>
                  <w:r>
                    <w:rPr>
                      <w:rFonts w:hint="eastAsia"/>
                      <w:b/>
                      <w:szCs w:val="21"/>
                    </w:rPr>
                    <w:t>在建工程</w:t>
                  </w:r>
                  <w:r>
                    <w:rPr>
                      <w:rFonts w:hint="eastAsia"/>
                      <w:b/>
                      <w:szCs w:val="20"/>
                    </w:rPr>
                    <w:t>环评批复量</w:t>
                  </w:r>
                </w:p>
              </w:tc>
              <w:tc>
                <w:tcPr>
                  <w:tcW w:w="994" w:type="dxa"/>
                  <w:vAlign w:val="center"/>
                </w:tcPr>
                <w:p w14:paraId="520AC769">
                  <w:pPr>
                    <w:widowControl/>
                    <w:jc w:val="center"/>
                    <w:rPr>
                      <w:b/>
                      <w:kern w:val="0"/>
                      <w:szCs w:val="21"/>
                    </w:rPr>
                  </w:pPr>
                  <w:r>
                    <w:rPr>
                      <w:b/>
                      <w:kern w:val="0"/>
                      <w:szCs w:val="21"/>
                    </w:rPr>
                    <w:t>本工程</w:t>
                  </w:r>
                </w:p>
                <w:p w14:paraId="520AC76A">
                  <w:pPr>
                    <w:jc w:val="center"/>
                    <w:rPr>
                      <w:b/>
                      <w:kern w:val="0"/>
                      <w:szCs w:val="21"/>
                    </w:rPr>
                  </w:pPr>
                  <w:r>
                    <w:rPr>
                      <w:b/>
                      <w:kern w:val="0"/>
                      <w:szCs w:val="21"/>
                    </w:rPr>
                    <w:t>排放量</w:t>
                  </w:r>
                </w:p>
              </w:tc>
              <w:tc>
                <w:tcPr>
                  <w:tcW w:w="852" w:type="dxa"/>
                  <w:vAlign w:val="center"/>
                </w:tcPr>
                <w:p w14:paraId="520AC76B">
                  <w:pPr>
                    <w:jc w:val="center"/>
                    <w:rPr>
                      <w:b/>
                      <w:kern w:val="0"/>
                      <w:szCs w:val="21"/>
                    </w:rPr>
                  </w:pPr>
                  <w:r>
                    <w:rPr>
                      <w:b/>
                      <w:kern w:val="0"/>
                      <w:szCs w:val="21"/>
                    </w:rPr>
                    <w:t>以新</w:t>
                  </w:r>
                  <w:r>
                    <w:rPr>
                      <w:rFonts w:hint="eastAsia"/>
                      <w:b/>
                      <w:kern w:val="0"/>
                      <w:szCs w:val="21"/>
                    </w:rPr>
                    <w:t>代</w:t>
                  </w:r>
                  <w:r>
                    <w:rPr>
                      <w:b/>
                      <w:kern w:val="0"/>
                      <w:szCs w:val="21"/>
                    </w:rPr>
                    <w:t>老削减量</w:t>
                  </w:r>
                </w:p>
              </w:tc>
              <w:tc>
                <w:tcPr>
                  <w:tcW w:w="1021" w:type="dxa"/>
                  <w:vAlign w:val="center"/>
                </w:tcPr>
                <w:p w14:paraId="520AC76C">
                  <w:pPr>
                    <w:jc w:val="center"/>
                    <w:rPr>
                      <w:b/>
                      <w:kern w:val="0"/>
                      <w:szCs w:val="21"/>
                    </w:rPr>
                  </w:pPr>
                  <w:r>
                    <w:rPr>
                      <w:b/>
                      <w:kern w:val="0"/>
                      <w:szCs w:val="21"/>
                    </w:rPr>
                    <w:t>全厂排</w:t>
                  </w:r>
                </w:p>
                <w:p w14:paraId="520AC76D">
                  <w:pPr>
                    <w:jc w:val="center"/>
                    <w:rPr>
                      <w:b/>
                      <w:kern w:val="0"/>
                      <w:szCs w:val="21"/>
                    </w:rPr>
                  </w:pPr>
                  <w:r>
                    <w:rPr>
                      <w:b/>
                      <w:kern w:val="0"/>
                      <w:szCs w:val="21"/>
                    </w:rPr>
                    <w:t>放总量</w:t>
                  </w:r>
                </w:p>
              </w:tc>
              <w:tc>
                <w:tcPr>
                  <w:tcW w:w="1024" w:type="dxa"/>
                  <w:vAlign w:val="center"/>
                </w:tcPr>
                <w:p w14:paraId="520AC76E">
                  <w:pPr>
                    <w:jc w:val="center"/>
                    <w:rPr>
                      <w:b/>
                      <w:kern w:val="0"/>
                      <w:szCs w:val="21"/>
                    </w:rPr>
                  </w:pPr>
                  <w:r>
                    <w:rPr>
                      <w:rFonts w:hint="eastAsia"/>
                      <w:b/>
                      <w:kern w:val="0"/>
                      <w:szCs w:val="21"/>
                    </w:rPr>
                    <w:t>排放</w:t>
                  </w:r>
                </w:p>
                <w:p w14:paraId="520AC76F">
                  <w:pPr>
                    <w:jc w:val="center"/>
                    <w:rPr>
                      <w:b/>
                      <w:kern w:val="0"/>
                      <w:szCs w:val="21"/>
                    </w:rPr>
                  </w:pPr>
                  <w:r>
                    <w:rPr>
                      <w:b/>
                      <w:kern w:val="0"/>
                      <w:szCs w:val="21"/>
                    </w:rPr>
                    <w:t>增减量</w:t>
                  </w:r>
                </w:p>
              </w:tc>
            </w:tr>
            <w:tr w14:paraId="520AC77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235" w:type="dxa"/>
                  <w:vAlign w:val="center"/>
                </w:tcPr>
                <w:p w14:paraId="520AC771">
                  <w:pPr>
                    <w:jc w:val="center"/>
                    <w:rPr>
                      <w:szCs w:val="21"/>
                      <w:lang w:val="pt-BR"/>
                    </w:rPr>
                  </w:pPr>
                  <w:r>
                    <w:rPr>
                      <w:rFonts w:hint="eastAsia"/>
                      <w:szCs w:val="21"/>
                    </w:rPr>
                    <w:t>铬酸雾</w:t>
                  </w:r>
                </w:p>
              </w:tc>
              <w:tc>
                <w:tcPr>
                  <w:tcW w:w="994" w:type="dxa"/>
                  <w:vAlign w:val="center"/>
                </w:tcPr>
                <w:p w14:paraId="520AC772">
                  <w:pPr>
                    <w:pStyle w:val="50"/>
                    <w:rPr>
                      <w:color w:val="auto"/>
                      <w:kern w:val="2"/>
                    </w:rPr>
                  </w:pPr>
                  <w:r>
                    <w:rPr>
                      <w:rFonts w:eastAsia="等线"/>
                      <w:color w:val="auto"/>
                    </w:rPr>
                    <w:t>0.0020</w:t>
                  </w:r>
                </w:p>
              </w:tc>
              <w:tc>
                <w:tcPr>
                  <w:tcW w:w="994" w:type="dxa"/>
                  <w:vAlign w:val="center"/>
                </w:tcPr>
                <w:p w14:paraId="520AC773">
                  <w:pPr>
                    <w:jc w:val="center"/>
                    <w:rPr>
                      <w:szCs w:val="21"/>
                    </w:rPr>
                  </w:pPr>
                  <w:r>
                    <w:rPr>
                      <w:rFonts w:eastAsia="等线"/>
                      <w:szCs w:val="21"/>
                    </w:rPr>
                    <w:t>0.0030</w:t>
                  </w:r>
                </w:p>
              </w:tc>
              <w:tc>
                <w:tcPr>
                  <w:tcW w:w="1021" w:type="dxa"/>
                  <w:vAlign w:val="center"/>
                </w:tcPr>
                <w:p w14:paraId="520AC774">
                  <w:pPr>
                    <w:jc w:val="center"/>
                    <w:rPr>
                      <w:szCs w:val="21"/>
                    </w:rPr>
                  </w:pPr>
                  <w:r>
                    <w:rPr>
                      <w:rFonts w:eastAsia="等线"/>
                      <w:szCs w:val="21"/>
                    </w:rPr>
                    <w:t>/</w:t>
                  </w:r>
                </w:p>
              </w:tc>
              <w:tc>
                <w:tcPr>
                  <w:tcW w:w="994" w:type="dxa"/>
                  <w:vAlign w:val="center"/>
                </w:tcPr>
                <w:p w14:paraId="520AC775">
                  <w:pPr>
                    <w:jc w:val="center"/>
                    <w:rPr>
                      <w:szCs w:val="21"/>
                    </w:rPr>
                  </w:pPr>
                  <w:r>
                    <w:rPr>
                      <w:rFonts w:eastAsia="等线"/>
                      <w:szCs w:val="21"/>
                    </w:rPr>
                    <w:t>0</w:t>
                  </w:r>
                </w:p>
              </w:tc>
              <w:tc>
                <w:tcPr>
                  <w:tcW w:w="852" w:type="dxa"/>
                  <w:vAlign w:val="center"/>
                </w:tcPr>
                <w:p w14:paraId="520AC776">
                  <w:pPr>
                    <w:jc w:val="center"/>
                    <w:rPr>
                      <w:szCs w:val="21"/>
                    </w:rPr>
                  </w:pPr>
                  <w:r>
                    <w:rPr>
                      <w:rFonts w:eastAsia="等线"/>
                      <w:szCs w:val="21"/>
                    </w:rPr>
                    <w:t>0</w:t>
                  </w:r>
                </w:p>
              </w:tc>
              <w:tc>
                <w:tcPr>
                  <w:tcW w:w="1021" w:type="dxa"/>
                  <w:vAlign w:val="center"/>
                </w:tcPr>
                <w:p w14:paraId="520AC777">
                  <w:pPr>
                    <w:jc w:val="center"/>
                    <w:rPr>
                      <w:szCs w:val="21"/>
                    </w:rPr>
                  </w:pPr>
                  <w:r>
                    <w:rPr>
                      <w:rFonts w:eastAsia="等线"/>
                      <w:szCs w:val="21"/>
                    </w:rPr>
                    <w:t>0.0020</w:t>
                  </w:r>
                </w:p>
              </w:tc>
              <w:tc>
                <w:tcPr>
                  <w:tcW w:w="1024" w:type="dxa"/>
                  <w:vAlign w:val="center"/>
                </w:tcPr>
                <w:p w14:paraId="520AC778">
                  <w:pPr>
                    <w:jc w:val="center"/>
                    <w:rPr>
                      <w:szCs w:val="21"/>
                    </w:rPr>
                  </w:pPr>
                  <w:r>
                    <w:rPr>
                      <w:rFonts w:eastAsia="等线"/>
                      <w:szCs w:val="21"/>
                    </w:rPr>
                    <w:t>0</w:t>
                  </w:r>
                </w:p>
              </w:tc>
            </w:tr>
            <w:tr w14:paraId="520AC78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235" w:type="dxa"/>
                  <w:vAlign w:val="center"/>
                </w:tcPr>
                <w:p w14:paraId="520AC77A">
                  <w:pPr>
                    <w:jc w:val="center"/>
                    <w:rPr>
                      <w:szCs w:val="21"/>
                      <w:lang w:val="pt-BR"/>
                    </w:rPr>
                  </w:pPr>
                  <w:r>
                    <w:rPr>
                      <w:rFonts w:hint="eastAsia"/>
                      <w:szCs w:val="21"/>
                    </w:rPr>
                    <w:t>硫酸雾</w:t>
                  </w:r>
                </w:p>
              </w:tc>
              <w:tc>
                <w:tcPr>
                  <w:tcW w:w="994" w:type="dxa"/>
                  <w:vAlign w:val="center"/>
                </w:tcPr>
                <w:p w14:paraId="520AC77B">
                  <w:pPr>
                    <w:pStyle w:val="50"/>
                    <w:rPr>
                      <w:color w:val="auto"/>
                      <w:kern w:val="2"/>
                    </w:rPr>
                  </w:pPr>
                  <w:r>
                    <w:rPr>
                      <w:rFonts w:eastAsia="等线"/>
                      <w:color w:val="auto"/>
                      <w:lang w:val="zh-CN"/>
                    </w:rPr>
                    <w:t>0.1409</w:t>
                  </w:r>
                </w:p>
              </w:tc>
              <w:tc>
                <w:tcPr>
                  <w:tcW w:w="994" w:type="dxa"/>
                  <w:vAlign w:val="center"/>
                </w:tcPr>
                <w:p w14:paraId="520AC77C">
                  <w:pPr>
                    <w:jc w:val="center"/>
                    <w:rPr>
                      <w:szCs w:val="21"/>
                    </w:rPr>
                  </w:pPr>
                  <w:r>
                    <w:rPr>
                      <w:rFonts w:eastAsia="等线"/>
                      <w:szCs w:val="21"/>
                      <w:lang w:val="zh-CN"/>
                    </w:rPr>
                    <w:t>0.1525</w:t>
                  </w:r>
                </w:p>
              </w:tc>
              <w:tc>
                <w:tcPr>
                  <w:tcW w:w="1021" w:type="dxa"/>
                  <w:vAlign w:val="center"/>
                </w:tcPr>
                <w:p w14:paraId="520AC77D">
                  <w:pPr>
                    <w:jc w:val="center"/>
                    <w:rPr>
                      <w:szCs w:val="21"/>
                    </w:rPr>
                  </w:pPr>
                  <w:r>
                    <w:rPr>
                      <w:rFonts w:eastAsia="等线"/>
                      <w:szCs w:val="21"/>
                      <w:lang w:val="zh-CN"/>
                    </w:rPr>
                    <w:t>/</w:t>
                  </w:r>
                </w:p>
              </w:tc>
              <w:tc>
                <w:tcPr>
                  <w:tcW w:w="994" w:type="dxa"/>
                  <w:vAlign w:val="center"/>
                </w:tcPr>
                <w:p w14:paraId="520AC77E">
                  <w:pPr>
                    <w:jc w:val="center"/>
                    <w:rPr>
                      <w:szCs w:val="21"/>
                    </w:rPr>
                  </w:pPr>
                  <w:r>
                    <w:rPr>
                      <w:rFonts w:eastAsia="等线"/>
                      <w:szCs w:val="21"/>
                    </w:rPr>
                    <w:t>0</w:t>
                  </w:r>
                </w:p>
              </w:tc>
              <w:tc>
                <w:tcPr>
                  <w:tcW w:w="852" w:type="dxa"/>
                  <w:vAlign w:val="center"/>
                </w:tcPr>
                <w:p w14:paraId="520AC77F">
                  <w:pPr>
                    <w:jc w:val="center"/>
                    <w:rPr>
                      <w:szCs w:val="21"/>
                    </w:rPr>
                  </w:pPr>
                  <w:r>
                    <w:rPr>
                      <w:rFonts w:eastAsia="等线"/>
                      <w:szCs w:val="21"/>
                    </w:rPr>
                    <w:t>0</w:t>
                  </w:r>
                </w:p>
              </w:tc>
              <w:tc>
                <w:tcPr>
                  <w:tcW w:w="1021" w:type="dxa"/>
                  <w:vAlign w:val="center"/>
                </w:tcPr>
                <w:p w14:paraId="520AC780">
                  <w:pPr>
                    <w:jc w:val="center"/>
                    <w:rPr>
                      <w:szCs w:val="21"/>
                    </w:rPr>
                  </w:pPr>
                  <w:r>
                    <w:rPr>
                      <w:rFonts w:eastAsia="等线"/>
                      <w:szCs w:val="21"/>
                      <w:lang w:val="zh-CN"/>
                    </w:rPr>
                    <w:t>0.1409</w:t>
                  </w:r>
                </w:p>
              </w:tc>
              <w:tc>
                <w:tcPr>
                  <w:tcW w:w="1024" w:type="dxa"/>
                  <w:vAlign w:val="center"/>
                </w:tcPr>
                <w:p w14:paraId="520AC781">
                  <w:pPr>
                    <w:jc w:val="center"/>
                    <w:rPr>
                      <w:szCs w:val="21"/>
                    </w:rPr>
                  </w:pPr>
                  <w:r>
                    <w:rPr>
                      <w:rFonts w:eastAsia="等线"/>
                      <w:szCs w:val="21"/>
                    </w:rPr>
                    <w:t>0</w:t>
                  </w:r>
                </w:p>
              </w:tc>
            </w:tr>
            <w:tr w14:paraId="520AC78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97" w:hRule="atLeast"/>
                <w:jc w:val="center"/>
              </w:trPr>
              <w:tc>
                <w:tcPr>
                  <w:tcW w:w="1235" w:type="dxa"/>
                  <w:vAlign w:val="center"/>
                </w:tcPr>
                <w:p w14:paraId="520AC783">
                  <w:pPr>
                    <w:jc w:val="center"/>
                    <w:rPr>
                      <w:szCs w:val="21"/>
                    </w:rPr>
                  </w:pPr>
                  <w:r>
                    <w:rPr>
                      <w:rFonts w:hint="eastAsia"/>
                      <w:szCs w:val="21"/>
                    </w:rPr>
                    <w:t>氯化氢</w:t>
                  </w:r>
                </w:p>
              </w:tc>
              <w:tc>
                <w:tcPr>
                  <w:tcW w:w="994" w:type="dxa"/>
                  <w:vAlign w:val="center"/>
                </w:tcPr>
                <w:p w14:paraId="520AC784">
                  <w:pPr>
                    <w:pStyle w:val="50"/>
                    <w:rPr>
                      <w:color w:val="auto"/>
                      <w:kern w:val="2"/>
                    </w:rPr>
                  </w:pPr>
                  <w:r>
                    <w:rPr>
                      <w:rFonts w:eastAsia="等线"/>
                      <w:color w:val="auto"/>
                      <w:lang w:val="zh-CN"/>
                    </w:rPr>
                    <w:t>0.1769</w:t>
                  </w:r>
                </w:p>
              </w:tc>
              <w:tc>
                <w:tcPr>
                  <w:tcW w:w="994" w:type="dxa"/>
                  <w:vAlign w:val="center"/>
                </w:tcPr>
                <w:p w14:paraId="520AC785">
                  <w:pPr>
                    <w:jc w:val="center"/>
                    <w:rPr>
                      <w:szCs w:val="21"/>
                    </w:rPr>
                  </w:pPr>
                  <w:r>
                    <w:rPr>
                      <w:rFonts w:eastAsia="等线"/>
                      <w:szCs w:val="21"/>
                      <w:lang w:val="zh-CN"/>
                    </w:rPr>
                    <w:t>0.4813</w:t>
                  </w:r>
                </w:p>
              </w:tc>
              <w:tc>
                <w:tcPr>
                  <w:tcW w:w="1021" w:type="dxa"/>
                  <w:vAlign w:val="center"/>
                </w:tcPr>
                <w:p w14:paraId="520AC786">
                  <w:pPr>
                    <w:jc w:val="center"/>
                    <w:rPr>
                      <w:szCs w:val="21"/>
                    </w:rPr>
                  </w:pPr>
                  <w:r>
                    <w:rPr>
                      <w:rFonts w:eastAsia="等线"/>
                      <w:szCs w:val="21"/>
                      <w:lang w:val="zh-CN"/>
                    </w:rPr>
                    <w:t>/</w:t>
                  </w:r>
                </w:p>
              </w:tc>
              <w:tc>
                <w:tcPr>
                  <w:tcW w:w="994" w:type="dxa"/>
                  <w:vAlign w:val="center"/>
                </w:tcPr>
                <w:p w14:paraId="520AC787">
                  <w:pPr>
                    <w:jc w:val="center"/>
                    <w:rPr>
                      <w:szCs w:val="21"/>
                    </w:rPr>
                  </w:pPr>
                  <w:r>
                    <w:rPr>
                      <w:rFonts w:eastAsia="等线"/>
                      <w:szCs w:val="21"/>
                    </w:rPr>
                    <w:t>0</w:t>
                  </w:r>
                </w:p>
              </w:tc>
              <w:tc>
                <w:tcPr>
                  <w:tcW w:w="852" w:type="dxa"/>
                  <w:vAlign w:val="center"/>
                </w:tcPr>
                <w:p w14:paraId="520AC788">
                  <w:pPr>
                    <w:jc w:val="center"/>
                    <w:rPr>
                      <w:szCs w:val="21"/>
                    </w:rPr>
                  </w:pPr>
                  <w:r>
                    <w:rPr>
                      <w:rFonts w:eastAsia="等线"/>
                      <w:szCs w:val="21"/>
                    </w:rPr>
                    <w:t>0</w:t>
                  </w:r>
                </w:p>
              </w:tc>
              <w:tc>
                <w:tcPr>
                  <w:tcW w:w="1021" w:type="dxa"/>
                  <w:vAlign w:val="center"/>
                </w:tcPr>
                <w:p w14:paraId="520AC789">
                  <w:pPr>
                    <w:jc w:val="center"/>
                    <w:rPr>
                      <w:szCs w:val="21"/>
                    </w:rPr>
                  </w:pPr>
                  <w:r>
                    <w:rPr>
                      <w:rFonts w:eastAsia="等线"/>
                      <w:szCs w:val="21"/>
                      <w:lang w:val="zh-CN"/>
                    </w:rPr>
                    <w:t>0.1769</w:t>
                  </w:r>
                </w:p>
              </w:tc>
              <w:tc>
                <w:tcPr>
                  <w:tcW w:w="1024" w:type="dxa"/>
                  <w:vAlign w:val="center"/>
                </w:tcPr>
                <w:p w14:paraId="520AC78A">
                  <w:pPr>
                    <w:jc w:val="center"/>
                    <w:rPr>
                      <w:szCs w:val="21"/>
                    </w:rPr>
                  </w:pPr>
                  <w:r>
                    <w:rPr>
                      <w:rFonts w:eastAsia="等线"/>
                      <w:szCs w:val="21"/>
                    </w:rPr>
                    <w:t>0</w:t>
                  </w:r>
                </w:p>
              </w:tc>
            </w:tr>
            <w:tr w14:paraId="520AC79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235" w:type="dxa"/>
                  <w:vAlign w:val="center"/>
                </w:tcPr>
                <w:p w14:paraId="520AC78C">
                  <w:pPr>
                    <w:jc w:val="center"/>
                    <w:rPr>
                      <w:szCs w:val="21"/>
                    </w:rPr>
                  </w:pPr>
                  <w:r>
                    <w:rPr>
                      <w:rFonts w:hint="eastAsia"/>
                      <w:szCs w:val="21"/>
                    </w:rPr>
                    <w:t>氰化氢</w:t>
                  </w:r>
                </w:p>
              </w:tc>
              <w:tc>
                <w:tcPr>
                  <w:tcW w:w="994" w:type="dxa"/>
                  <w:vAlign w:val="center"/>
                </w:tcPr>
                <w:p w14:paraId="520AC78D">
                  <w:pPr>
                    <w:pStyle w:val="50"/>
                    <w:rPr>
                      <w:color w:val="auto"/>
                      <w:kern w:val="2"/>
                    </w:rPr>
                  </w:pPr>
                  <w:r>
                    <w:rPr>
                      <w:rFonts w:eastAsia="等线"/>
                      <w:color w:val="auto"/>
                      <w:lang w:val="zh-CN"/>
                    </w:rPr>
                    <w:t>0.0077</w:t>
                  </w:r>
                </w:p>
              </w:tc>
              <w:tc>
                <w:tcPr>
                  <w:tcW w:w="994" w:type="dxa"/>
                  <w:vAlign w:val="center"/>
                </w:tcPr>
                <w:p w14:paraId="520AC78E">
                  <w:pPr>
                    <w:jc w:val="center"/>
                    <w:rPr>
                      <w:szCs w:val="21"/>
                    </w:rPr>
                  </w:pPr>
                  <w:r>
                    <w:rPr>
                      <w:rFonts w:eastAsia="等线"/>
                      <w:szCs w:val="21"/>
                      <w:lang w:val="zh-CN"/>
                    </w:rPr>
                    <w:t>0.0086</w:t>
                  </w:r>
                </w:p>
              </w:tc>
              <w:tc>
                <w:tcPr>
                  <w:tcW w:w="1021" w:type="dxa"/>
                  <w:vAlign w:val="center"/>
                </w:tcPr>
                <w:p w14:paraId="520AC78F">
                  <w:pPr>
                    <w:jc w:val="center"/>
                    <w:rPr>
                      <w:szCs w:val="21"/>
                    </w:rPr>
                  </w:pPr>
                  <w:r>
                    <w:rPr>
                      <w:rFonts w:eastAsia="等线"/>
                      <w:szCs w:val="21"/>
                      <w:lang w:val="zh-CN"/>
                    </w:rPr>
                    <w:t>/</w:t>
                  </w:r>
                </w:p>
              </w:tc>
              <w:tc>
                <w:tcPr>
                  <w:tcW w:w="994" w:type="dxa"/>
                  <w:vAlign w:val="center"/>
                </w:tcPr>
                <w:p w14:paraId="520AC790">
                  <w:pPr>
                    <w:jc w:val="center"/>
                    <w:rPr>
                      <w:szCs w:val="21"/>
                    </w:rPr>
                  </w:pPr>
                  <w:r>
                    <w:rPr>
                      <w:rFonts w:eastAsia="等线"/>
                      <w:szCs w:val="21"/>
                    </w:rPr>
                    <w:t>0</w:t>
                  </w:r>
                </w:p>
              </w:tc>
              <w:tc>
                <w:tcPr>
                  <w:tcW w:w="852" w:type="dxa"/>
                  <w:vAlign w:val="center"/>
                </w:tcPr>
                <w:p w14:paraId="520AC791">
                  <w:pPr>
                    <w:jc w:val="center"/>
                    <w:rPr>
                      <w:szCs w:val="21"/>
                    </w:rPr>
                  </w:pPr>
                  <w:r>
                    <w:rPr>
                      <w:rFonts w:eastAsia="等线"/>
                      <w:szCs w:val="21"/>
                    </w:rPr>
                    <w:t>0</w:t>
                  </w:r>
                </w:p>
              </w:tc>
              <w:tc>
                <w:tcPr>
                  <w:tcW w:w="1021" w:type="dxa"/>
                  <w:vAlign w:val="center"/>
                </w:tcPr>
                <w:p w14:paraId="520AC792">
                  <w:pPr>
                    <w:jc w:val="center"/>
                    <w:rPr>
                      <w:szCs w:val="21"/>
                    </w:rPr>
                  </w:pPr>
                  <w:r>
                    <w:rPr>
                      <w:rFonts w:eastAsia="等线"/>
                      <w:szCs w:val="21"/>
                      <w:lang w:val="zh-CN"/>
                    </w:rPr>
                    <w:t>0.0077</w:t>
                  </w:r>
                </w:p>
              </w:tc>
              <w:tc>
                <w:tcPr>
                  <w:tcW w:w="1024" w:type="dxa"/>
                  <w:vAlign w:val="center"/>
                </w:tcPr>
                <w:p w14:paraId="520AC793">
                  <w:pPr>
                    <w:jc w:val="center"/>
                    <w:rPr>
                      <w:szCs w:val="21"/>
                    </w:rPr>
                  </w:pPr>
                  <w:r>
                    <w:rPr>
                      <w:rFonts w:eastAsia="等线"/>
                      <w:szCs w:val="21"/>
                    </w:rPr>
                    <w:t>0</w:t>
                  </w:r>
                </w:p>
              </w:tc>
            </w:tr>
            <w:tr w14:paraId="520AC79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235" w:type="dxa"/>
                  <w:vAlign w:val="center"/>
                </w:tcPr>
                <w:p w14:paraId="520AC795">
                  <w:pPr>
                    <w:jc w:val="center"/>
                    <w:rPr>
                      <w:szCs w:val="21"/>
                      <w:lang w:val="pt-BR"/>
                    </w:rPr>
                  </w:pPr>
                  <w:r>
                    <w:rPr>
                      <w:rFonts w:hint="eastAsia"/>
                      <w:szCs w:val="21"/>
                    </w:rPr>
                    <w:t>氮氧化物</w:t>
                  </w:r>
                </w:p>
              </w:tc>
              <w:tc>
                <w:tcPr>
                  <w:tcW w:w="994" w:type="dxa"/>
                  <w:vAlign w:val="center"/>
                </w:tcPr>
                <w:p w14:paraId="520AC796">
                  <w:pPr>
                    <w:pStyle w:val="50"/>
                    <w:rPr>
                      <w:color w:val="auto"/>
                      <w:kern w:val="2"/>
                    </w:rPr>
                  </w:pPr>
                  <w:r>
                    <w:rPr>
                      <w:rFonts w:eastAsia="等线"/>
                      <w:color w:val="auto"/>
                      <w:lang w:val="zh-CN"/>
                    </w:rPr>
                    <w:t>0.7709</w:t>
                  </w:r>
                </w:p>
              </w:tc>
              <w:tc>
                <w:tcPr>
                  <w:tcW w:w="994" w:type="dxa"/>
                  <w:vAlign w:val="center"/>
                </w:tcPr>
                <w:p w14:paraId="520AC797">
                  <w:pPr>
                    <w:jc w:val="center"/>
                    <w:rPr>
                      <w:szCs w:val="21"/>
                    </w:rPr>
                  </w:pPr>
                  <w:r>
                    <w:rPr>
                      <w:rFonts w:eastAsia="等线"/>
                      <w:szCs w:val="21"/>
                      <w:lang w:val="zh-CN"/>
                    </w:rPr>
                    <w:t>5.1907</w:t>
                  </w:r>
                </w:p>
              </w:tc>
              <w:tc>
                <w:tcPr>
                  <w:tcW w:w="1021" w:type="dxa"/>
                  <w:vAlign w:val="center"/>
                </w:tcPr>
                <w:p w14:paraId="520AC798">
                  <w:pPr>
                    <w:jc w:val="center"/>
                    <w:rPr>
                      <w:szCs w:val="21"/>
                    </w:rPr>
                  </w:pPr>
                  <w:r>
                    <w:rPr>
                      <w:rFonts w:eastAsia="等线"/>
                      <w:szCs w:val="21"/>
                      <w:lang w:val="zh-CN"/>
                    </w:rPr>
                    <w:t>/</w:t>
                  </w:r>
                </w:p>
              </w:tc>
              <w:tc>
                <w:tcPr>
                  <w:tcW w:w="994" w:type="dxa"/>
                  <w:vAlign w:val="center"/>
                </w:tcPr>
                <w:p w14:paraId="520AC799">
                  <w:pPr>
                    <w:jc w:val="center"/>
                    <w:rPr>
                      <w:szCs w:val="21"/>
                    </w:rPr>
                  </w:pPr>
                  <w:r>
                    <w:rPr>
                      <w:rFonts w:eastAsia="等线"/>
                      <w:szCs w:val="21"/>
                    </w:rPr>
                    <w:t>0</w:t>
                  </w:r>
                </w:p>
              </w:tc>
              <w:tc>
                <w:tcPr>
                  <w:tcW w:w="852" w:type="dxa"/>
                  <w:vAlign w:val="center"/>
                </w:tcPr>
                <w:p w14:paraId="520AC79A">
                  <w:pPr>
                    <w:jc w:val="center"/>
                    <w:rPr>
                      <w:szCs w:val="21"/>
                    </w:rPr>
                  </w:pPr>
                  <w:r>
                    <w:rPr>
                      <w:rFonts w:eastAsia="等线"/>
                      <w:szCs w:val="21"/>
                    </w:rPr>
                    <w:t>0</w:t>
                  </w:r>
                </w:p>
              </w:tc>
              <w:tc>
                <w:tcPr>
                  <w:tcW w:w="1021" w:type="dxa"/>
                  <w:vAlign w:val="center"/>
                </w:tcPr>
                <w:p w14:paraId="520AC79B">
                  <w:pPr>
                    <w:jc w:val="center"/>
                    <w:rPr>
                      <w:szCs w:val="21"/>
                    </w:rPr>
                  </w:pPr>
                  <w:r>
                    <w:rPr>
                      <w:rFonts w:eastAsia="等线"/>
                      <w:szCs w:val="21"/>
                      <w:lang w:val="zh-CN"/>
                    </w:rPr>
                    <w:t>0.7709</w:t>
                  </w:r>
                </w:p>
              </w:tc>
              <w:tc>
                <w:tcPr>
                  <w:tcW w:w="1024" w:type="dxa"/>
                  <w:vAlign w:val="center"/>
                </w:tcPr>
                <w:p w14:paraId="520AC79C">
                  <w:pPr>
                    <w:jc w:val="center"/>
                    <w:rPr>
                      <w:szCs w:val="21"/>
                    </w:rPr>
                  </w:pPr>
                  <w:r>
                    <w:rPr>
                      <w:rFonts w:eastAsia="等线"/>
                      <w:szCs w:val="21"/>
                    </w:rPr>
                    <w:t>0</w:t>
                  </w:r>
                </w:p>
              </w:tc>
            </w:tr>
            <w:tr w14:paraId="520AC7A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235" w:type="dxa"/>
                  <w:vAlign w:val="center"/>
                </w:tcPr>
                <w:p w14:paraId="520AC79E">
                  <w:pPr>
                    <w:jc w:val="center"/>
                    <w:rPr>
                      <w:szCs w:val="21"/>
                      <w:lang w:val="pt-BR"/>
                    </w:rPr>
                  </w:pPr>
                  <w:r>
                    <w:rPr>
                      <w:rFonts w:hint="eastAsia"/>
                      <w:szCs w:val="21"/>
                    </w:rPr>
                    <w:t>锡及其化合物</w:t>
                  </w:r>
                </w:p>
              </w:tc>
              <w:tc>
                <w:tcPr>
                  <w:tcW w:w="994" w:type="dxa"/>
                  <w:vAlign w:val="center"/>
                </w:tcPr>
                <w:p w14:paraId="520AC79F">
                  <w:pPr>
                    <w:pStyle w:val="50"/>
                    <w:rPr>
                      <w:color w:val="auto"/>
                      <w:kern w:val="2"/>
                    </w:rPr>
                  </w:pPr>
                  <w:r>
                    <w:rPr>
                      <w:rFonts w:eastAsia="等线"/>
                      <w:color w:val="auto"/>
                      <w:lang w:val="zh-CN"/>
                    </w:rPr>
                    <w:t>/</w:t>
                  </w:r>
                </w:p>
              </w:tc>
              <w:tc>
                <w:tcPr>
                  <w:tcW w:w="994" w:type="dxa"/>
                  <w:vAlign w:val="center"/>
                </w:tcPr>
                <w:p w14:paraId="520AC7A0">
                  <w:pPr>
                    <w:jc w:val="center"/>
                    <w:rPr>
                      <w:szCs w:val="21"/>
                    </w:rPr>
                  </w:pPr>
                  <w:r>
                    <w:rPr>
                      <w:rFonts w:eastAsia="等线"/>
                      <w:szCs w:val="21"/>
                      <w:lang w:val="zh-CN"/>
                    </w:rPr>
                    <w:t>/</w:t>
                  </w:r>
                </w:p>
              </w:tc>
              <w:tc>
                <w:tcPr>
                  <w:tcW w:w="1021" w:type="dxa"/>
                  <w:vAlign w:val="center"/>
                </w:tcPr>
                <w:p w14:paraId="520AC7A1">
                  <w:pPr>
                    <w:jc w:val="center"/>
                    <w:rPr>
                      <w:szCs w:val="21"/>
                    </w:rPr>
                  </w:pPr>
                  <w:r>
                    <w:rPr>
                      <w:rFonts w:eastAsia="等线"/>
                      <w:szCs w:val="21"/>
                      <w:lang w:val="zh-CN"/>
                    </w:rPr>
                    <w:t>0.0220</w:t>
                  </w:r>
                </w:p>
              </w:tc>
              <w:tc>
                <w:tcPr>
                  <w:tcW w:w="994" w:type="dxa"/>
                  <w:vAlign w:val="center"/>
                </w:tcPr>
                <w:p w14:paraId="520AC7A2">
                  <w:pPr>
                    <w:jc w:val="center"/>
                    <w:rPr>
                      <w:szCs w:val="21"/>
                    </w:rPr>
                  </w:pPr>
                  <w:r>
                    <w:rPr>
                      <w:rFonts w:eastAsia="等线"/>
                      <w:szCs w:val="21"/>
                    </w:rPr>
                    <w:t>0</w:t>
                  </w:r>
                </w:p>
              </w:tc>
              <w:tc>
                <w:tcPr>
                  <w:tcW w:w="852" w:type="dxa"/>
                  <w:vAlign w:val="center"/>
                </w:tcPr>
                <w:p w14:paraId="520AC7A3">
                  <w:pPr>
                    <w:jc w:val="center"/>
                    <w:rPr>
                      <w:bCs/>
                    </w:rPr>
                  </w:pPr>
                  <w:r>
                    <w:rPr>
                      <w:rFonts w:eastAsia="等线"/>
                      <w:szCs w:val="21"/>
                    </w:rPr>
                    <w:t>0</w:t>
                  </w:r>
                </w:p>
              </w:tc>
              <w:tc>
                <w:tcPr>
                  <w:tcW w:w="1021" w:type="dxa"/>
                  <w:vAlign w:val="center"/>
                </w:tcPr>
                <w:p w14:paraId="520AC7A4">
                  <w:pPr>
                    <w:jc w:val="center"/>
                    <w:rPr>
                      <w:szCs w:val="21"/>
                    </w:rPr>
                  </w:pPr>
                  <w:r>
                    <w:rPr>
                      <w:rFonts w:eastAsia="等线"/>
                      <w:szCs w:val="21"/>
                      <w:lang w:val="zh-CN"/>
                    </w:rPr>
                    <w:t>0.0220</w:t>
                  </w:r>
                </w:p>
              </w:tc>
              <w:tc>
                <w:tcPr>
                  <w:tcW w:w="1024" w:type="dxa"/>
                  <w:vAlign w:val="center"/>
                </w:tcPr>
                <w:p w14:paraId="520AC7A5">
                  <w:pPr>
                    <w:jc w:val="center"/>
                    <w:rPr>
                      <w:szCs w:val="21"/>
                    </w:rPr>
                  </w:pPr>
                  <w:r>
                    <w:rPr>
                      <w:rFonts w:eastAsia="等线"/>
                      <w:szCs w:val="21"/>
                    </w:rPr>
                    <w:t>0</w:t>
                  </w:r>
                </w:p>
              </w:tc>
            </w:tr>
            <w:tr w14:paraId="520AC7A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235" w:type="dxa"/>
                  <w:vAlign w:val="center"/>
                </w:tcPr>
                <w:p w14:paraId="520AC7A7">
                  <w:pPr>
                    <w:jc w:val="center"/>
                    <w:rPr>
                      <w:szCs w:val="21"/>
                      <w:lang w:val="pt-BR"/>
                    </w:rPr>
                  </w:pPr>
                  <w:r>
                    <w:rPr>
                      <w:rFonts w:hint="eastAsia"/>
                      <w:szCs w:val="21"/>
                    </w:rPr>
                    <w:t>颗粒物</w:t>
                  </w:r>
                </w:p>
              </w:tc>
              <w:tc>
                <w:tcPr>
                  <w:tcW w:w="994" w:type="dxa"/>
                  <w:vAlign w:val="center"/>
                </w:tcPr>
                <w:p w14:paraId="520AC7A8">
                  <w:pPr>
                    <w:pStyle w:val="50"/>
                    <w:rPr>
                      <w:color w:val="auto"/>
                      <w:kern w:val="2"/>
                    </w:rPr>
                  </w:pPr>
                  <w:r>
                    <w:rPr>
                      <w:rFonts w:eastAsia="等线"/>
                      <w:color w:val="auto"/>
                      <w:lang w:val="zh-CN"/>
                    </w:rPr>
                    <w:t>0.4388</w:t>
                  </w:r>
                </w:p>
              </w:tc>
              <w:tc>
                <w:tcPr>
                  <w:tcW w:w="994" w:type="dxa"/>
                  <w:vAlign w:val="center"/>
                </w:tcPr>
                <w:p w14:paraId="520AC7A9">
                  <w:pPr>
                    <w:jc w:val="center"/>
                    <w:rPr>
                      <w:szCs w:val="21"/>
                    </w:rPr>
                  </w:pPr>
                  <w:r>
                    <w:rPr>
                      <w:rFonts w:eastAsia="等线"/>
                      <w:szCs w:val="21"/>
                      <w:lang w:val="zh-CN"/>
                    </w:rPr>
                    <w:t>1.42404</w:t>
                  </w:r>
                </w:p>
              </w:tc>
              <w:tc>
                <w:tcPr>
                  <w:tcW w:w="1021" w:type="dxa"/>
                  <w:vAlign w:val="center"/>
                </w:tcPr>
                <w:p w14:paraId="520AC7AA">
                  <w:pPr>
                    <w:jc w:val="center"/>
                    <w:rPr>
                      <w:szCs w:val="21"/>
                    </w:rPr>
                  </w:pPr>
                  <w:r>
                    <w:rPr>
                      <w:rFonts w:eastAsia="等线"/>
                      <w:szCs w:val="21"/>
                      <w:lang w:val="zh-CN"/>
                    </w:rPr>
                    <w:t>0.1296</w:t>
                  </w:r>
                </w:p>
              </w:tc>
              <w:tc>
                <w:tcPr>
                  <w:tcW w:w="994" w:type="dxa"/>
                  <w:vAlign w:val="center"/>
                </w:tcPr>
                <w:p w14:paraId="520AC7AB">
                  <w:pPr>
                    <w:jc w:val="center"/>
                    <w:rPr>
                      <w:szCs w:val="21"/>
                    </w:rPr>
                  </w:pPr>
                  <w:r>
                    <w:rPr>
                      <w:rFonts w:eastAsia="等线"/>
                      <w:szCs w:val="21"/>
                    </w:rPr>
                    <w:t>0</w:t>
                  </w:r>
                  <w:r>
                    <w:rPr>
                      <w:rFonts w:hint="eastAsia" w:eastAsia="等线"/>
                      <w:szCs w:val="21"/>
                    </w:rPr>
                    <w:t>.002</w:t>
                  </w:r>
                </w:p>
              </w:tc>
              <w:tc>
                <w:tcPr>
                  <w:tcW w:w="852" w:type="dxa"/>
                  <w:vAlign w:val="center"/>
                </w:tcPr>
                <w:p w14:paraId="520AC7AC">
                  <w:pPr>
                    <w:jc w:val="center"/>
                    <w:rPr>
                      <w:szCs w:val="21"/>
                    </w:rPr>
                  </w:pPr>
                  <w:r>
                    <w:rPr>
                      <w:rFonts w:eastAsia="等线"/>
                      <w:szCs w:val="21"/>
                    </w:rPr>
                    <w:t>0</w:t>
                  </w:r>
                  <w:r>
                    <w:rPr>
                      <w:rFonts w:hint="eastAsia" w:eastAsia="等线"/>
                      <w:szCs w:val="21"/>
                    </w:rPr>
                    <w:t>.002</w:t>
                  </w:r>
                </w:p>
              </w:tc>
              <w:tc>
                <w:tcPr>
                  <w:tcW w:w="1021" w:type="dxa"/>
                  <w:vAlign w:val="center"/>
                </w:tcPr>
                <w:p w14:paraId="520AC7AD">
                  <w:pPr>
                    <w:jc w:val="center"/>
                    <w:rPr>
                      <w:szCs w:val="21"/>
                    </w:rPr>
                  </w:pPr>
                  <w:r>
                    <w:rPr>
                      <w:rFonts w:eastAsia="等线"/>
                      <w:szCs w:val="21"/>
                      <w:lang w:val="zh-CN"/>
                    </w:rPr>
                    <w:t>0.5684</w:t>
                  </w:r>
                </w:p>
              </w:tc>
              <w:tc>
                <w:tcPr>
                  <w:tcW w:w="1024" w:type="dxa"/>
                  <w:vAlign w:val="center"/>
                </w:tcPr>
                <w:p w14:paraId="520AC7AE">
                  <w:pPr>
                    <w:jc w:val="center"/>
                    <w:rPr>
                      <w:szCs w:val="21"/>
                    </w:rPr>
                  </w:pPr>
                  <w:r>
                    <w:rPr>
                      <w:rFonts w:eastAsia="等线"/>
                      <w:szCs w:val="21"/>
                      <w:lang w:val="fr-FR"/>
                    </w:rPr>
                    <w:t>0</w:t>
                  </w:r>
                </w:p>
              </w:tc>
            </w:tr>
            <w:tr w14:paraId="520AC7B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235" w:type="dxa"/>
                  <w:vAlign w:val="center"/>
                </w:tcPr>
                <w:p w14:paraId="520AC7B0">
                  <w:pPr>
                    <w:jc w:val="center"/>
                    <w:rPr>
                      <w:szCs w:val="21"/>
                      <w:lang w:val="pt-BR"/>
                    </w:rPr>
                  </w:pPr>
                  <w:r>
                    <w:rPr>
                      <w:szCs w:val="21"/>
                    </w:rPr>
                    <w:t>VOCs</w:t>
                  </w:r>
                </w:p>
              </w:tc>
              <w:tc>
                <w:tcPr>
                  <w:tcW w:w="994" w:type="dxa"/>
                  <w:vAlign w:val="center"/>
                </w:tcPr>
                <w:p w14:paraId="520AC7B1">
                  <w:pPr>
                    <w:pStyle w:val="50"/>
                    <w:rPr>
                      <w:color w:val="auto"/>
                      <w:kern w:val="2"/>
                    </w:rPr>
                  </w:pPr>
                  <w:r>
                    <w:rPr>
                      <w:rFonts w:eastAsia="等线"/>
                      <w:color w:val="auto"/>
                      <w:lang w:val="zh-CN"/>
                    </w:rPr>
                    <w:t>2.2324</w:t>
                  </w:r>
                </w:p>
              </w:tc>
              <w:tc>
                <w:tcPr>
                  <w:tcW w:w="994" w:type="dxa"/>
                  <w:vAlign w:val="center"/>
                </w:tcPr>
                <w:p w14:paraId="520AC7B2">
                  <w:pPr>
                    <w:jc w:val="center"/>
                    <w:rPr>
                      <w:szCs w:val="21"/>
                    </w:rPr>
                  </w:pPr>
                  <w:r>
                    <w:rPr>
                      <w:rFonts w:eastAsia="等线"/>
                      <w:szCs w:val="21"/>
                      <w:lang w:val="zh-CN"/>
                    </w:rPr>
                    <w:t>2.5052</w:t>
                  </w:r>
                </w:p>
              </w:tc>
              <w:tc>
                <w:tcPr>
                  <w:tcW w:w="1021" w:type="dxa"/>
                  <w:vAlign w:val="center"/>
                </w:tcPr>
                <w:p w14:paraId="520AC7B3">
                  <w:pPr>
                    <w:jc w:val="center"/>
                    <w:rPr>
                      <w:szCs w:val="21"/>
                      <w:highlight w:val="yellow"/>
                    </w:rPr>
                  </w:pPr>
                  <w:r>
                    <w:rPr>
                      <w:rFonts w:eastAsia="等线"/>
                      <w:szCs w:val="21"/>
                      <w:lang w:val="zh-CN"/>
                    </w:rPr>
                    <w:t>2.2023</w:t>
                  </w:r>
                </w:p>
              </w:tc>
              <w:tc>
                <w:tcPr>
                  <w:tcW w:w="994" w:type="dxa"/>
                  <w:vAlign w:val="center"/>
                </w:tcPr>
                <w:p w14:paraId="520AC7B4">
                  <w:pPr>
                    <w:jc w:val="center"/>
                    <w:rPr>
                      <w:szCs w:val="21"/>
                    </w:rPr>
                  </w:pPr>
                  <w:r>
                    <w:rPr>
                      <w:rFonts w:eastAsia="等线"/>
                      <w:szCs w:val="21"/>
                    </w:rPr>
                    <w:t>0.0</w:t>
                  </w:r>
                  <w:r>
                    <w:rPr>
                      <w:rFonts w:hint="eastAsia" w:eastAsia="等线"/>
                      <w:szCs w:val="21"/>
                    </w:rPr>
                    <w:t>0513</w:t>
                  </w:r>
                </w:p>
              </w:tc>
              <w:tc>
                <w:tcPr>
                  <w:tcW w:w="852" w:type="dxa"/>
                  <w:vAlign w:val="center"/>
                </w:tcPr>
                <w:p w14:paraId="520AC7B5">
                  <w:pPr>
                    <w:jc w:val="center"/>
                    <w:rPr>
                      <w:szCs w:val="21"/>
                    </w:rPr>
                  </w:pPr>
                  <w:r>
                    <w:rPr>
                      <w:rFonts w:eastAsia="等线"/>
                      <w:szCs w:val="21"/>
                      <w:lang w:val="pt-BR"/>
                    </w:rPr>
                    <w:t>0</w:t>
                  </w:r>
                  <w:r>
                    <w:rPr>
                      <w:rFonts w:hint="eastAsia" w:eastAsia="等线"/>
                      <w:szCs w:val="21"/>
                      <w:lang w:val="pt-BR"/>
                    </w:rPr>
                    <w:t>.0052</w:t>
                  </w:r>
                </w:p>
              </w:tc>
              <w:tc>
                <w:tcPr>
                  <w:tcW w:w="1021" w:type="dxa"/>
                  <w:vAlign w:val="center"/>
                </w:tcPr>
                <w:p w14:paraId="520AC7B6">
                  <w:pPr>
                    <w:jc w:val="center"/>
                    <w:rPr>
                      <w:szCs w:val="21"/>
                    </w:rPr>
                  </w:pPr>
                  <w:r>
                    <w:rPr>
                      <w:rFonts w:hint="eastAsia" w:eastAsia="等线"/>
                      <w:szCs w:val="21"/>
                    </w:rPr>
                    <w:t>4.43463</w:t>
                  </w:r>
                </w:p>
              </w:tc>
              <w:tc>
                <w:tcPr>
                  <w:tcW w:w="1024" w:type="dxa"/>
                  <w:vAlign w:val="center"/>
                </w:tcPr>
                <w:p w14:paraId="520AC7B7">
                  <w:pPr>
                    <w:jc w:val="center"/>
                    <w:rPr>
                      <w:szCs w:val="21"/>
                    </w:rPr>
                  </w:pPr>
                  <w:r>
                    <w:rPr>
                      <w:rFonts w:hint="eastAsia" w:eastAsia="等线"/>
                      <w:szCs w:val="21"/>
                    </w:rPr>
                    <w:t>-0.00007</w:t>
                  </w:r>
                </w:p>
              </w:tc>
            </w:tr>
            <w:tr w14:paraId="520AC7C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235" w:type="dxa"/>
                  <w:vAlign w:val="center"/>
                </w:tcPr>
                <w:p w14:paraId="520AC7B9">
                  <w:pPr>
                    <w:jc w:val="center"/>
                    <w:rPr>
                      <w:szCs w:val="21"/>
                    </w:rPr>
                  </w:pPr>
                  <w:r>
                    <w:rPr>
                      <w:rFonts w:hint="eastAsia"/>
                      <w:szCs w:val="21"/>
                    </w:rPr>
                    <w:t>氨</w:t>
                  </w:r>
                </w:p>
              </w:tc>
              <w:tc>
                <w:tcPr>
                  <w:tcW w:w="994" w:type="dxa"/>
                  <w:vAlign w:val="center"/>
                </w:tcPr>
                <w:p w14:paraId="520AC7BA">
                  <w:pPr>
                    <w:pStyle w:val="50"/>
                    <w:rPr>
                      <w:color w:val="auto"/>
                    </w:rPr>
                  </w:pPr>
                  <w:r>
                    <w:rPr>
                      <w:rFonts w:eastAsia="等线"/>
                      <w:color w:val="auto"/>
                      <w:lang w:val="zh-CN"/>
                    </w:rPr>
                    <w:t>/</w:t>
                  </w:r>
                </w:p>
              </w:tc>
              <w:tc>
                <w:tcPr>
                  <w:tcW w:w="994" w:type="dxa"/>
                  <w:vAlign w:val="center"/>
                </w:tcPr>
                <w:p w14:paraId="520AC7BB">
                  <w:pPr>
                    <w:jc w:val="center"/>
                    <w:rPr>
                      <w:szCs w:val="21"/>
                    </w:rPr>
                  </w:pPr>
                  <w:r>
                    <w:rPr>
                      <w:rFonts w:eastAsia="等线"/>
                      <w:szCs w:val="21"/>
                      <w:lang w:val="zh-CN"/>
                    </w:rPr>
                    <w:t>/</w:t>
                  </w:r>
                </w:p>
              </w:tc>
              <w:tc>
                <w:tcPr>
                  <w:tcW w:w="1021" w:type="dxa"/>
                  <w:vAlign w:val="center"/>
                </w:tcPr>
                <w:p w14:paraId="520AC7BC">
                  <w:pPr>
                    <w:jc w:val="center"/>
                    <w:rPr>
                      <w:bCs/>
                    </w:rPr>
                  </w:pPr>
                  <w:r>
                    <w:rPr>
                      <w:rFonts w:eastAsia="等线"/>
                      <w:szCs w:val="21"/>
                      <w:lang w:val="zh-CN"/>
                    </w:rPr>
                    <w:t>0.0111</w:t>
                  </w:r>
                </w:p>
              </w:tc>
              <w:tc>
                <w:tcPr>
                  <w:tcW w:w="994" w:type="dxa"/>
                  <w:vAlign w:val="center"/>
                </w:tcPr>
                <w:p w14:paraId="520AC7BD">
                  <w:pPr>
                    <w:jc w:val="center"/>
                  </w:pPr>
                  <w:r>
                    <w:rPr>
                      <w:rFonts w:eastAsia="等线"/>
                      <w:szCs w:val="21"/>
                      <w:lang w:val="pt-BR"/>
                    </w:rPr>
                    <w:t>0</w:t>
                  </w:r>
                </w:p>
              </w:tc>
              <w:tc>
                <w:tcPr>
                  <w:tcW w:w="852" w:type="dxa"/>
                  <w:vAlign w:val="center"/>
                </w:tcPr>
                <w:p w14:paraId="520AC7BE">
                  <w:pPr>
                    <w:jc w:val="center"/>
                    <w:rPr>
                      <w:bCs/>
                      <w:szCs w:val="21"/>
                    </w:rPr>
                  </w:pPr>
                  <w:r>
                    <w:rPr>
                      <w:rFonts w:eastAsia="等线"/>
                      <w:szCs w:val="21"/>
                      <w:lang w:val="pt-BR"/>
                    </w:rPr>
                    <w:t>0</w:t>
                  </w:r>
                </w:p>
              </w:tc>
              <w:tc>
                <w:tcPr>
                  <w:tcW w:w="1021" w:type="dxa"/>
                  <w:vAlign w:val="center"/>
                </w:tcPr>
                <w:p w14:paraId="520AC7BF">
                  <w:pPr>
                    <w:jc w:val="center"/>
                    <w:rPr>
                      <w:szCs w:val="21"/>
                    </w:rPr>
                  </w:pPr>
                  <w:r>
                    <w:rPr>
                      <w:rFonts w:eastAsia="等线"/>
                      <w:szCs w:val="21"/>
                    </w:rPr>
                    <w:t>0.0111</w:t>
                  </w:r>
                </w:p>
              </w:tc>
              <w:tc>
                <w:tcPr>
                  <w:tcW w:w="1024" w:type="dxa"/>
                  <w:vAlign w:val="center"/>
                </w:tcPr>
                <w:p w14:paraId="520AC7C0">
                  <w:pPr>
                    <w:jc w:val="center"/>
                  </w:pPr>
                  <w:r>
                    <w:rPr>
                      <w:rFonts w:eastAsia="等线"/>
                      <w:szCs w:val="21"/>
                      <w:lang w:val="pt-BR"/>
                    </w:rPr>
                    <w:t>0</w:t>
                  </w:r>
                </w:p>
              </w:tc>
            </w:tr>
          </w:tbl>
          <w:p w14:paraId="520AC7C2">
            <w:pPr>
              <w:adjustRightInd w:val="0"/>
              <w:snapToGrid w:val="0"/>
              <w:spacing w:line="460" w:lineRule="exact"/>
              <w:ind w:firstLine="480" w:firstLineChars="200"/>
              <w:rPr>
                <w:rFonts w:eastAsia="黑体"/>
                <w:kern w:val="0"/>
                <w:sz w:val="24"/>
              </w:rPr>
            </w:pPr>
            <w:r>
              <w:rPr>
                <w:rFonts w:eastAsia="黑体"/>
                <w:kern w:val="0"/>
                <w:sz w:val="24"/>
              </w:rPr>
              <w:t>表</w:t>
            </w:r>
            <w:r>
              <w:rPr>
                <w:rFonts w:hint="eastAsia" w:eastAsia="黑体"/>
                <w:kern w:val="0"/>
                <w:sz w:val="24"/>
              </w:rPr>
              <w:t>68</w:t>
            </w:r>
            <w:r>
              <w:rPr>
                <w:rFonts w:eastAsia="黑体"/>
                <w:kern w:val="0"/>
                <w:sz w:val="24"/>
              </w:rPr>
              <w:t xml:space="preserve"> </w:t>
            </w:r>
            <w:r>
              <w:rPr>
                <w:rFonts w:hint="eastAsia" w:eastAsia="黑体"/>
                <w:kern w:val="0"/>
                <w:sz w:val="24"/>
              </w:rPr>
              <w:t>解放路厂区</w:t>
            </w:r>
            <w:r>
              <w:rPr>
                <w:rFonts w:eastAsia="黑体"/>
                <w:kern w:val="0"/>
                <w:sz w:val="24"/>
              </w:rPr>
              <w:t>全厂</w:t>
            </w:r>
            <w:r>
              <w:rPr>
                <w:rFonts w:hint="eastAsia" w:eastAsia="黑体"/>
                <w:kern w:val="0"/>
                <w:sz w:val="24"/>
              </w:rPr>
              <w:t>废气</w:t>
            </w:r>
            <w:r>
              <w:rPr>
                <w:rFonts w:eastAsia="黑体"/>
                <w:kern w:val="0"/>
                <w:sz w:val="24"/>
              </w:rPr>
              <w:t>污染物排放</w:t>
            </w:r>
            <w:r>
              <w:rPr>
                <w:rFonts w:ascii="黑体" w:hAnsi="黑体" w:eastAsia="黑体"/>
                <w:kern w:val="0"/>
                <w:sz w:val="24"/>
              </w:rPr>
              <w:t>“</w:t>
            </w:r>
            <w:r>
              <w:rPr>
                <w:rFonts w:hint="eastAsia" w:ascii="黑体" w:hAnsi="黑体" w:eastAsia="黑体"/>
                <w:kern w:val="0"/>
                <w:sz w:val="24"/>
              </w:rPr>
              <w:t>三笔账</w:t>
            </w:r>
            <w:r>
              <w:rPr>
                <w:rFonts w:ascii="黑体" w:hAnsi="黑体" w:eastAsia="黑体"/>
                <w:kern w:val="0"/>
                <w:sz w:val="24"/>
              </w:rPr>
              <w:t>”</w:t>
            </w:r>
            <w:r>
              <w:rPr>
                <w:rFonts w:eastAsia="黑体"/>
                <w:kern w:val="0"/>
                <w:sz w:val="24"/>
              </w:rPr>
              <w:t>一览表    单位：t/a</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235"/>
              <w:gridCol w:w="994"/>
              <w:gridCol w:w="994"/>
              <w:gridCol w:w="1021"/>
              <w:gridCol w:w="994"/>
              <w:gridCol w:w="852"/>
              <w:gridCol w:w="1021"/>
              <w:gridCol w:w="1024"/>
            </w:tblGrid>
            <w:tr w14:paraId="520AC7C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235" w:type="dxa"/>
                  <w:vAlign w:val="center"/>
                </w:tcPr>
                <w:p w14:paraId="520AC7C3">
                  <w:pPr>
                    <w:jc w:val="center"/>
                    <w:rPr>
                      <w:b/>
                      <w:kern w:val="0"/>
                      <w:szCs w:val="21"/>
                    </w:rPr>
                  </w:pPr>
                  <w:r>
                    <w:rPr>
                      <w:b/>
                      <w:kern w:val="0"/>
                      <w:szCs w:val="21"/>
                    </w:rPr>
                    <w:t>污染物</w:t>
                  </w:r>
                  <w:r>
                    <w:rPr>
                      <w:rFonts w:hint="eastAsia"/>
                      <w:b/>
                      <w:kern w:val="0"/>
                      <w:szCs w:val="21"/>
                    </w:rPr>
                    <w:t>种类</w:t>
                  </w:r>
                </w:p>
              </w:tc>
              <w:tc>
                <w:tcPr>
                  <w:tcW w:w="994" w:type="dxa"/>
                  <w:vAlign w:val="center"/>
                </w:tcPr>
                <w:p w14:paraId="520AC7C4">
                  <w:pPr>
                    <w:widowControl/>
                    <w:jc w:val="center"/>
                    <w:rPr>
                      <w:b/>
                      <w:kern w:val="0"/>
                      <w:szCs w:val="21"/>
                    </w:rPr>
                  </w:pPr>
                  <w:r>
                    <w:rPr>
                      <w:rFonts w:hint="eastAsia"/>
                      <w:b/>
                      <w:szCs w:val="21"/>
                    </w:rPr>
                    <w:t>已建工程</w:t>
                  </w:r>
                  <w:r>
                    <w:rPr>
                      <w:b/>
                      <w:szCs w:val="21"/>
                    </w:rPr>
                    <w:t>实际排放量</w:t>
                  </w:r>
                </w:p>
              </w:tc>
              <w:tc>
                <w:tcPr>
                  <w:tcW w:w="994" w:type="dxa"/>
                  <w:vAlign w:val="center"/>
                </w:tcPr>
                <w:p w14:paraId="520AC7C5">
                  <w:pPr>
                    <w:jc w:val="center"/>
                    <w:rPr>
                      <w:b/>
                      <w:kern w:val="0"/>
                      <w:szCs w:val="21"/>
                    </w:rPr>
                  </w:pPr>
                  <w:r>
                    <w:rPr>
                      <w:rFonts w:hint="eastAsia"/>
                      <w:b/>
                      <w:szCs w:val="21"/>
                    </w:rPr>
                    <w:t>已建工程许可排放量</w:t>
                  </w:r>
                </w:p>
              </w:tc>
              <w:tc>
                <w:tcPr>
                  <w:tcW w:w="1021" w:type="dxa"/>
                  <w:vAlign w:val="center"/>
                </w:tcPr>
                <w:p w14:paraId="520AC7C6">
                  <w:pPr>
                    <w:jc w:val="center"/>
                    <w:rPr>
                      <w:b/>
                      <w:kern w:val="0"/>
                      <w:szCs w:val="21"/>
                    </w:rPr>
                  </w:pPr>
                  <w:r>
                    <w:rPr>
                      <w:rFonts w:hint="eastAsia"/>
                      <w:b/>
                      <w:szCs w:val="21"/>
                    </w:rPr>
                    <w:t>在建工程</w:t>
                  </w:r>
                  <w:r>
                    <w:rPr>
                      <w:rFonts w:hint="eastAsia"/>
                      <w:b/>
                      <w:szCs w:val="20"/>
                    </w:rPr>
                    <w:t>环评批复量</w:t>
                  </w:r>
                </w:p>
              </w:tc>
              <w:tc>
                <w:tcPr>
                  <w:tcW w:w="994" w:type="dxa"/>
                  <w:vAlign w:val="center"/>
                </w:tcPr>
                <w:p w14:paraId="520AC7C7">
                  <w:pPr>
                    <w:widowControl/>
                    <w:jc w:val="center"/>
                    <w:rPr>
                      <w:b/>
                      <w:kern w:val="0"/>
                      <w:szCs w:val="21"/>
                    </w:rPr>
                  </w:pPr>
                  <w:r>
                    <w:rPr>
                      <w:b/>
                      <w:kern w:val="0"/>
                      <w:szCs w:val="21"/>
                    </w:rPr>
                    <w:t>本工程</w:t>
                  </w:r>
                </w:p>
                <w:p w14:paraId="520AC7C8">
                  <w:pPr>
                    <w:jc w:val="center"/>
                    <w:rPr>
                      <w:b/>
                      <w:kern w:val="0"/>
                      <w:szCs w:val="21"/>
                    </w:rPr>
                  </w:pPr>
                  <w:r>
                    <w:rPr>
                      <w:b/>
                      <w:kern w:val="0"/>
                      <w:szCs w:val="21"/>
                    </w:rPr>
                    <w:t>排放量</w:t>
                  </w:r>
                </w:p>
              </w:tc>
              <w:tc>
                <w:tcPr>
                  <w:tcW w:w="852" w:type="dxa"/>
                  <w:vAlign w:val="center"/>
                </w:tcPr>
                <w:p w14:paraId="520AC7C9">
                  <w:pPr>
                    <w:jc w:val="center"/>
                    <w:rPr>
                      <w:b/>
                      <w:kern w:val="0"/>
                      <w:szCs w:val="21"/>
                    </w:rPr>
                  </w:pPr>
                  <w:r>
                    <w:rPr>
                      <w:b/>
                      <w:kern w:val="0"/>
                      <w:szCs w:val="21"/>
                    </w:rPr>
                    <w:t>以新</w:t>
                  </w:r>
                  <w:r>
                    <w:rPr>
                      <w:rFonts w:hint="eastAsia"/>
                      <w:b/>
                      <w:kern w:val="0"/>
                      <w:szCs w:val="21"/>
                    </w:rPr>
                    <w:t>代</w:t>
                  </w:r>
                  <w:r>
                    <w:rPr>
                      <w:b/>
                      <w:kern w:val="0"/>
                      <w:szCs w:val="21"/>
                    </w:rPr>
                    <w:t>老削减量</w:t>
                  </w:r>
                </w:p>
              </w:tc>
              <w:tc>
                <w:tcPr>
                  <w:tcW w:w="1021" w:type="dxa"/>
                  <w:vAlign w:val="center"/>
                </w:tcPr>
                <w:p w14:paraId="520AC7CA">
                  <w:pPr>
                    <w:jc w:val="center"/>
                    <w:rPr>
                      <w:b/>
                      <w:kern w:val="0"/>
                      <w:szCs w:val="21"/>
                    </w:rPr>
                  </w:pPr>
                  <w:r>
                    <w:rPr>
                      <w:b/>
                      <w:kern w:val="0"/>
                      <w:szCs w:val="21"/>
                    </w:rPr>
                    <w:t>全厂排</w:t>
                  </w:r>
                </w:p>
                <w:p w14:paraId="520AC7CB">
                  <w:pPr>
                    <w:jc w:val="center"/>
                    <w:rPr>
                      <w:b/>
                      <w:kern w:val="0"/>
                      <w:szCs w:val="21"/>
                    </w:rPr>
                  </w:pPr>
                  <w:r>
                    <w:rPr>
                      <w:b/>
                      <w:kern w:val="0"/>
                      <w:szCs w:val="21"/>
                    </w:rPr>
                    <w:t>放总量</w:t>
                  </w:r>
                </w:p>
              </w:tc>
              <w:tc>
                <w:tcPr>
                  <w:tcW w:w="1024" w:type="dxa"/>
                  <w:vAlign w:val="center"/>
                </w:tcPr>
                <w:p w14:paraId="520AC7CC">
                  <w:pPr>
                    <w:jc w:val="center"/>
                    <w:rPr>
                      <w:b/>
                      <w:kern w:val="0"/>
                      <w:szCs w:val="21"/>
                    </w:rPr>
                  </w:pPr>
                  <w:r>
                    <w:rPr>
                      <w:rFonts w:hint="eastAsia"/>
                      <w:b/>
                      <w:kern w:val="0"/>
                      <w:szCs w:val="21"/>
                    </w:rPr>
                    <w:t>排放</w:t>
                  </w:r>
                </w:p>
                <w:p w14:paraId="520AC7CD">
                  <w:pPr>
                    <w:jc w:val="center"/>
                    <w:rPr>
                      <w:b/>
                      <w:kern w:val="0"/>
                      <w:szCs w:val="21"/>
                    </w:rPr>
                  </w:pPr>
                  <w:r>
                    <w:rPr>
                      <w:b/>
                      <w:kern w:val="0"/>
                      <w:szCs w:val="21"/>
                    </w:rPr>
                    <w:t>增减量</w:t>
                  </w:r>
                </w:p>
              </w:tc>
            </w:tr>
            <w:tr w14:paraId="520AC7D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69" w:hRule="atLeast"/>
                <w:jc w:val="center"/>
              </w:trPr>
              <w:tc>
                <w:tcPr>
                  <w:tcW w:w="1235" w:type="dxa"/>
                  <w:vAlign w:val="center"/>
                </w:tcPr>
                <w:p w14:paraId="520AC7CF">
                  <w:pPr>
                    <w:jc w:val="center"/>
                    <w:rPr>
                      <w:szCs w:val="21"/>
                      <w:lang w:val="pt-BR"/>
                    </w:rPr>
                  </w:pPr>
                  <w:r>
                    <w:rPr>
                      <w:szCs w:val="21"/>
                    </w:rPr>
                    <w:t>铬酸雾</w:t>
                  </w:r>
                </w:p>
              </w:tc>
              <w:tc>
                <w:tcPr>
                  <w:tcW w:w="994" w:type="dxa"/>
                  <w:vAlign w:val="center"/>
                </w:tcPr>
                <w:p w14:paraId="520AC7D0">
                  <w:pPr>
                    <w:pStyle w:val="50"/>
                    <w:rPr>
                      <w:color w:val="auto"/>
                      <w:kern w:val="2"/>
                    </w:rPr>
                  </w:pPr>
                  <w:r>
                    <w:rPr>
                      <w:rFonts w:eastAsia="等线"/>
                      <w:color w:val="auto"/>
                    </w:rPr>
                    <w:t>0.0079</w:t>
                  </w:r>
                </w:p>
              </w:tc>
              <w:tc>
                <w:tcPr>
                  <w:tcW w:w="994" w:type="dxa"/>
                  <w:vAlign w:val="center"/>
                </w:tcPr>
                <w:p w14:paraId="520AC7D1">
                  <w:pPr>
                    <w:jc w:val="center"/>
                    <w:rPr>
                      <w:szCs w:val="21"/>
                    </w:rPr>
                  </w:pPr>
                  <w:r>
                    <w:rPr>
                      <w:rFonts w:eastAsia="等线"/>
                      <w:szCs w:val="21"/>
                    </w:rPr>
                    <w:t>0.0079</w:t>
                  </w:r>
                </w:p>
              </w:tc>
              <w:tc>
                <w:tcPr>
                  <w:tcW w:w="1021" w:type="dxa"/>
                  <w:vAlign w:val="center"/>
                </w:tcPr>
                <w:p w14:paraId="520AC7D2">
                  <w:pPr>
                    <w:jc w:val="center"/>
                    <w:rPr>
                      <w:szCs w:val="21"/>
                    </w:rPr>
                  </w:pPr>
                  <w:r>
                    <w:rPr>
                      <w:rFonts w:eastAsia="等线"/>
                      <w:szCs w:val="21"/>
                    </w:rPr>
                    <w:t>/</w:t>
                  </w:r>
                </w:p>
              </w:tc>
              <w:tc>
                <w:tcPr>
                  <w:tcW w:w="994" w:type="dxa"/>
                  <w:vAlign w:val="center"/>
                </w:tcPr>
                <w:p w14:paraId="520AC7D3">
                  <w:pPr>
                    <w:jc w:val="center"/>
                    <w:rPr>
                      <w:szCs w:val="21"/>
                    </w:rPr>
                  </w:pPr>
                  <w:r>
                    <w:rPr>
                      <w:rFonts w:eastAsia="等线"/>
                      <w:szCs w:val="21"/>
                    </w:rPr>
                    <w:t>0</w:t>
                  </w:r>
                </w:p>
              </w:tc>
              <w:tc>
                <w:tcPr>
                  <w:tcW w:w="852" w:type="dxa"/>
                  <w:vAlign w:val="center"/>
                </w:tcPr>
                <w:p w14:paraId="520AC7D4">
                  <w:pPr>
                    <w:jc w:val="center"/>
                    <w:rPr>
                      <w:szCs w:val="21"/>
                    </w:rPr>
                  </w:pPr>
                  <w:r>
                    <w:rPr>
                      <w:rFonts w:eastAsia="等线"/>
                      <w:szCs w:val="21"/>
                    </w:rPr>
                    <w:t>0</w:t>
                  </w:r>
                </w:p>
              </w:tc>
              <w:tc>
                <w:tcPr>
                  <w:tcW w:w="1021" w:type="dxa"/>
                  <w:vAlign w:val="center"/>
                </w:tcPr>
                <w:p w14:paraId="520AC7D5">
                  <w:pPr>
                    <w:jc w:val="center"/>
                    <w:rPr>
                      <w:szCs w:val="21"/>
                    </w:rPr>
                  </w:pPr>
                  <w:r>
                    <w:rPr>
                      <w:rFonts w:eastAsia="等线"/>
                      <w:szCs w:val="21"/>
                    </w:rPr>
                    <w:t>0.0079</w:t>
                  </w:r>
                </w:p>
              </w:tc>
              <w:tc>
                <w:tcPr>
                  <w:tcW w:w="1024" w:type="dxa"/>
                  <w:vAlign w:val="center"/>
                </w:tcPr>
                <w:p w14:paraId="520AC7D6">
                  <w:pPr>
                    <w:jc w:val="center"/>
                    <w:rPr>
                      <w:szCs w:val="21"/>
                    </w:rPr>
                  </w:pPr>
                  <w:r>
                    <w:rPr>
                      <w:rFonts w:eastAsia="等线"/>
                      <w:szCs w:val="21"/>
                    </w:rPr>
                    <w:t>0</w:t>
                  </w:r>
                </w:p>
              </w:tc>
            </w:tr>
            <w:tr w14:paraId="520AC7E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235" w:type="dxa"/>
                  <w:vAlign w:val="center"/>
                </w:tcPr>
                <w:p w14:paraId="520AC7D8">
                  <w:pPr>
                    <w:jc w:val="center"/>
                    <w:rPr>
                      <w:szCs w:val="21"/>
                      <w:lang w:val="pt-BR"/>
                    </w:rPr>
                  </w:pPr>
                  <w:r>
                    <w:rPr>
                      <w:szCs w:val="21"/>
                    </w:rPr>
                    <w:t>硫酸雾</w:t>
                  </w:r>
                </w:p>
              </w:tc>
              <w:tc>
                <w:tcPr>
                  <w:tcW w:w="994" w:type="dxa"/>
                  <w:vAlign w:val="center"/>
                </w:tcPr>
                <w:p w14:paraId="520AC7D9">
                  <w:pPr>
                    <w:pStyle w:val="50"/>
                    <w:rPr>
                      <w:color w:val="auto"/>
                      <w:kern w:val="2"/>
                    </w:rPr>
                  </w:pPr>
                  <w:r>
                    <w:rPr>
                      <w:rFonts w:eastAsia="等线"/>
                      <w:color w:val="auto"/>
                      <w:lang w:val="zh-CN"/>
                    </w:rPr>
                    <w:t>2.243</w:t>
                  </w:r>
                </w:p>
              </w:tc>
              <w:tc>
                <w:tcPr>
                  <w:tcW w:w="994" w:type="dxa"/>
                  <w:vAlign w:val="center"/>
                </w:tcPr>
                <w:p w14:paraId="520AC7DA">
                  <w:pPr>
                    <w:jc w:val="center"/>
                    <w:rPr>
                      <w:szCs w:val="21"/>
                    </w:rPr>
                  </w:pPr>
                  <w:r>
                    <w:rPr>
                      <w:rFonts w:eastAsia="等线"/>
                      <w:kern w:val="0"/>
                      <w:szCs w:val="21"/>
                      <w:lang w:val="zh-CN"/>
                    </w:rPr>
                    <w:t>2.243</w:t>
                  </w:r>
                </w:p>
              </w:tc>
              <w:tc>
                <w:tcPr>
                  <w:tcW w:w="1021" w:type="dxa"/>
                  <w:vAlign w:val="center"/>
                </w:tcPr>
                <w:p w14:paraId="520AC7DB">
                  <w:pPr>
                    <w:jc w:val="center"/>
                    <w:rPr>
                      <w:szCs w:val="21"/>
                    </w:rPr>
                  </w:pPr>
                  <w:r>
                    <w:rPr>
                      <w:rFonts w:eastAsia="等线"/>
                      <w:szCs w:val="21"/>
                      <w:lang w:val="zh-CN"/>
                    </w:rPr>
                    <w:t>/</w:t>
                  </w:r>
                </w:p>
              </w:tc>
              <w:tc>
                <w:tcPr>
                  <w:tcW w:w="994" w:type="dxa"/>
                  <w:vAlign w:val="center"/>
                </w:tcPr>
                <w:p w14:paraId="520AC7DC">
                  <w:pPr>
                    <w:jc w:val="center"/>
                    <w:rPr>
                      <w:szCs w:val="21"/>
                    </w:rPr>
                  </w:pPr>
                  <w:r>
                    <w:rPr>
                      <w:rFonts w:eastAsia="等线"/>
                      <w:szCs w:val="21"/>
                    </w:rPr>
                    <w:t>0</w:t>
                  </w:r>
                </w:p>
              </w:tc>
              <w:tc>
                <w:tcPr>
                  <w:tcW w:w="852" w:type="dxa"/>
                  <w:vAlign w:val="center"/>
                </w:tcPr>
                <w:p w14:paraId="520AC7DD">
                  <w:pPr>
                    <w:jc w:val="center"/>
                    <w:rPr>
                      <w:szCs w:val="21"/>
                    </w:rPr>
                  </w:pPr>
                  <w:r>
                    <w:rPr>
                      <w:rFonts w:eastAsia="等线"/>
                      <w:szCs w:val="21"/>
                    </w:rPr>
                    <w:t>0</w:t>
                  </w:r>
                </w:p>
              </w:tc>
              <w:tc>
                <w:tcPr>
                  <w:tcW w:w="1021" w:type="dxa"/>
                  <w:vAlign w:val="center"/>
                </w:tcPr>
                <w:p w14:paraId="520AC7DE">
                  <w:pPr>
                    <w:jc w:val="center"/>
                    <w:rPr>
                      <w:szCs w:val="21"/>
                    </w:rPr>
                  </w:pPr>
                  <w:r>
                    <w:rPr>
                      <w:rFonts w:eastAsia="等线"/>
                      <w:kern w:val="0"/>
                      <w:szCs w:val="21"/>
                      <w:lang w:val="zh-CN"/>
                    </w:rPr>
                    <w:t>2.243</w:t>
                  </w:r>
                </w:p>
              </w:tc>
              <w:tc>
                <w:tcPr>
                  <w:tcW w:w="1024" w:type="dxa"/>
                  <w:vAlign w:val="center"/>
                </w:tcPr>
                <w:p w14:paraId="520AC7DF">
                  <w:pPr>
                    <w:jc w:val="center"/>
                    <w:rPr>
                      <w:szCs w:val="21"/>
                    </w:rPr>
                  </w:pPr>
                  <w:r>
                    <w:rPr>
                      <w:rFonts w:eastAsia="等线"/>
                      <w:szCs w:val="21"/>
                    </w:rPr>
                    <w:t>0</w:t>
                  </w:r>
                </w:p>
              </w:tc>
            </w:tr>
            <w:tr w14:paraId="520AC7E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235" w:type="dxa"/>
                  <w:vAlign w:val="center"/>
                </w:tcPr>
                <w:p w14:paraId="520AC7E1">
                  <w:pPr>
                    <w:jc w:val="center"/>
                    <w:rPr>
                      <w:szCs w:val="21"/>
                    </w:rPr>
                  </w:pPr>
                  <w:r>
                    <w:rPr>
                      <w:szCs w:val="21"/>
                    </w:rPr>
                    <w:t>氯化氢</w:t>
                  </w:r>
                </w:p>
              </w:tc>
              <w:tc>
                <w:tcPr>
                  <w:tcW w:w="994" w:type="dxa"/>
                  <w:vAlign w:val="center"/>
                </w:tcPr>
                <w:p w14:paraId="520AC7E2">
                  <w:pPr>
                    <w:pStyle w:val="50"/>
                    <w:rPr>
                      <w:color w:val="auto"/>
                      <w:kern w:val="2"/>
                    </w:rPr>
                  </w:pPr>
                  <w:r>
                    <w:rPr>
                      <w:rFonts w:eastAsia="等线"/>
                      <w:color w:val="auto"/>
                      <w:lang w:val="zh-CN"/>
                    </w:rPr>
                    <w:t>0.6769</w:t>
                  </w:r>
                </w:p>
              </w:tc>
              <w:tc>
                <w:tcPr>
                  <w:tcW w:w="994" w:type="dxa"/>
                  <w:vAlign w:val="center"/>
                </w:tcPr>
                <w:p w14:paraId="520AC7E3">
                  <w:pPr>
                    <w:jc w:val="center"/>
                    <w:rPr>
                      <w:szCs w:val="21"/>
                    </w:rPr>
                  </w:pPr>
                  <w:r>
                    <w:rPr>
                      <w:rFonts w:eastAsia="等线"/>
                      <w:kern w:val="0"/>
                      <w:szCs w:val="21"/>
                      <w:lang w:val="zh-CN"/>
                    </w:rPr>
                    <w:t>0.6769</w:t>
                  </w:r>
                </w:p>
              </w:tc>
              <w:tc>
                <w:tcPr>
                  <w:tcW w:w="1021" w:type="dxa"/>
                  <w:vAlign w:val="center"/>
                </w:tcPr>
                <w:p w14:paraId="520AC7E4">
                  <w:pPr>
                    <w:jc w:val="center"/>
                    <w:rPr>
                      <w:szCs w:val="21"/>
                    </w:rPr>
                  </w:pPr>
                  <w:r>
                    <w:rPr>
                      <w:rFonts w:eastAsia="等线"/>
                      <w:szCs w:val="21"/>
                      <w:lang w:val="zh-CN"/>
                    </w:rPr>
                    <w:t>/</w:t>
                  </w:r>
                </w:p>
              </w:tc>
              <w:tc>
                <w:tcPr>
                  <w:tcW w:w="994" w:type="dxa"/>
                  <w:vAlign w:val="center"/>
                </w:tcPr>
                <w:p w14:paraId="520AC7E5">
                  <w:pPr>
                    <w:jc w:val="center"/>
                    <w:rPr>
                      <w:szCs w:val="21"/>
                    </w:rPr>
                  </w:pPr>
                  <w:r>
                    <w:rPr>
                      <w:rFonts w:eastAsia="等线"/>
                      <w:szCs w:val="21"/>
                    </w:rPr>
                    <w:t>0</w:t>
                  </w:r>
                </w:p>
              </w:tc>
              <w:tc>
                <w:tcPr>
                  <w:tcW w:w="852" w:type="dxa"/>
                  <w:vAlign w:val="center"/>
                </w:tcPr>
                <w:p w14:paraId="520AC7E6">
                  <w:pPr>
                    <w:jc w:val="center"/>
                    <w:rPr>
                      <w:szCs w:val="21"/>
                    </w:rPr>
                  </w:pPr>
                  <w:r>
                    <w:rPr>
                      <w:rFonts w:eastAsia="等线"/>
                      <w:szCs w:val="21"/>
                    </w:rPr>
                    <w:t>0</w:t>
                  </w:r>
                </w:p>
              </w:tc>
              <w:tc>
                <w:tcPr>
                  <w:tcW w:w="1021" w:type="dxa"/>
                  <w:vAlign w:val="center"/>
                </w:tcPr>
                <w:p w14:paraId="520AC7E7">
                  <w:pPr>
                    <w:jc w:val="center"/>
                    <w:rPr>
                      <w:szCs w:val="21"/>
                    </w:rPr>
                  </w:pPr>
                  <w:r>
                    <w:rPr>
                      <w:rFonts w:eastAsia="等线"/>
                      <w:kern w:val="0"/>
                      <w:szCs w:val="21"/>
                      <w:lang w:val="zh-CN"/>
                    </w:rPr>
                    <w:t>0.6769</w:t>
                  </w:r>
                </w:p>
              </w:tc>
              <w:tc>
                <w:tcPr>
                  <w:tcW w:w="1024" w:type="dxa"/>
                  <w:vAlign w:val="center"/>
                </w:tcPr>
                <w:p w14:paraId="520AC7E8">
                  <w:pPr>
                    <w:jc w:val="center"/>
                    <w:rPr>
                      <w:szCs w:val="21"/>
                    </w:rPr>
                  </w:pPr>
                  <w:r>
                    <w:rPr>
                      <w:rFonts w:eastAsia="等线"/>
                      <w:szCs w:val="21"/>
                    </w:rPr>
                    <w:t>0</w:t>
                  </w:r>
                </w:p>
              </w:tc>
            </w:tr>
            <w:tr w14:paraId="520AC7F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235" w:type="dxa"/>
                  <w:vAlign w:val="center"/>
                </w:tcPr>
                <w:p w14:paraId="520AC7EA">
                  <w:pPr>
                    <w:jc w:val="center"/>
                    <w:rPr>
                      <w:szCs w:val="21"/>
                    </w:rPr>
                  </w:pPr>
                  <w:r>
                    <w:rPr>
                      <w:szCs w:val="21"/>
                    </w:rPr>
                    <w:t>氰化氢</w:t>
                  </w:r>
                </w:p>
              </w:tc>
              <w:tc>
                <w:tcPr>
                  <w:tcW w:w="994" w:type="dxa"/>
                  <w:vAlign w:val="center"/>
                </w:tcPr>
                <w:p w14:paraId="520AC7EB">
                  <w:pPr>
                    <w:pStyle w:val="50"/>
                    <w:rPr>
                      <w:color w:val="auto"/>
                      <w:kern w:val="2"/>
                    </w:rPr>
                  </w:pPr>
                  <w:r>
                    <w:rPr>
                      <w:rFonts w:eastAsia="等线"/>
                      <w:color w:val="auto"/>
                      <w:lang w:val="zh-CN"/>
                    </w:rPr>
                    <w:t>0.0041</w:t>
                  </w:r>
                </w:p>
              </w:tc>
              <w:tc>
                <w:tcPr>
                  <w:tcW w:w="994" w:type="dxa"/>
                  <w:vAlign w:val="center"/>
                </w:tcPr>
                <w:p w14:paraId="520AC7EC">
                  <w:pPr>
                    <w:jc w:val="center"/>
                    <w:rPr>
                      <w:szCs w:val="21"/>
                    </w:rPr>
                  </w:pPr>
                  <w:r>
                    <w:rPr>
                      <w:rFonts w:eastAsia="等线"/>
                      <w:kern w:val="0"/>
                      <w:szCs w:val="21"/>
                      <w:lang w:val="zh-CN"/>
                    </w:rPr>
                    <w:t>0.0041</w:t>
                  </w:r>
                </w:p>
              </w:tc>
              <w:tc>
                <w:tcPr>
                  <w:tcW w:w="1021" w:type="dxa"/>
                  <w:vAlign w:val="center"/>
                </w:tcPr>
                <w:p w14:paraId="520AC7ED">
                  <w:pPr>
                    <w:jc w:val="center"/>
                    <w:rPr>
                      <w:szCs w:val="21"/>
                    </w:rPr>
                  </w:pPr>
                  <w:r>
                    <w:rPr>
                      <w:rFonts w:eastAsia="等线"/>
                      <w:szCs w:val="21"/>
                      <w:lang w:val="zh-CN"/>
                    </w:rPr>
                    <w:t>/</w:t>
                  </w:r>
                </w:p>
              </w:tc>
              <w:tc>
                <w:tcPr>
                  <w:tcW w:w="994" w:type="dxa"/>
                  <w:vAlign w:val="center"/>
                </w:tcPr>
                <w:p w14:paraId="520AC7EE">
                  <w:pPr>
                    <w:jc w:val="center"/>
                    <w:rPr>
                      <w:szCs w:val="21"/>
                    </w:rPr>
                  </w:pPr>
                  <w:r>
                    <w:rPr>
                      <w:rFonts w:eastAsia="等线"/>
                      <w:szCs w:val="21"/>
                    </w:rPr>
                    <w:t>0</w:t>
                  </w:r>
                </w:p>
              </w:tc>
              <w:tc>
                <w:tcPr>
                  <w:tcW w:w="852" w:type="dxa"/>
                  <w:vAlign w:val="center"/>
                </w:tcPr>
                <w:p w14:paraId="520AC7EF">
                  <w:pPr>
                    <w:jc w:val="center"/>
                    <w:rPr>
                      <w:szCs w:val="21"/>
                    </w:rPr>
                  </w:pPr>
                  <w:r>
                    <w:rPr>
                      <w:rFonts w:eastAsia="等线"/>
                      <w:szCs w:val="21"/>
                    </w:rPr>
                    <w:t>0</w:t>
                  </w:r>
                </w:p>
              </w:tc>
              <w:tc>
                <w:tcPr>
                  <w:tcW w:w="1021" w:type="dxa"/>
                  <w:vAlign w:val="center"/>
                </w:tcPr>
                <w:p w14:paraId="520AC7F0">
                  <w:pPr>
                    <w:jc w:val="center"/>
                    <w:rPr>
                      <w:szCs w:val="21"/>
                    </w:rPr>
                  </w:pPr>
                  <w:r>
                    <w:rPr>
                      <w:rFonts w:eastAsia="等线"/>
                      <w:kern w:val="0"/>
                      <w:szCs w:val="21"/>
                      <w:lang w:val="zh-CN"/>
                    </w:rPr>
                    <w:t>0.0041</w:t>
                  </w:r>
                </w:p>
              </w:tc>
              <w:tc>
                <w:tcPr>
                  <w:tcW w:w="1024" w:type="dxa"/>
                  <w:vAlign w:val="center"/>
                </w:tcPr>
                <w:p w14:paraId="520AC7F1">
                  <w:pPr>
                    <w:jc w:val="center"/>
                    <w:rPr>
                      <w:szCs w:val="21"/>
                    </w:rPr>
                  </w:pPr>
                  <w:r>
                    <w:rPr>
                      <w:rFonts w:eastAsia="等线"/>
                      <w:szCs w:val="21"/>
                    </w:rPr>
                    <w:t>0</w:t>
                  </w:r>
                </w:p>
              </w:tc>
            </w:tr>
            <w:tr w14:paraId="520AC7F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235" w:type="dxa"/>
                  <w:vAlign w:val="center"/>
                </w:tcPr>
                <w:p w14:paraId="520AC7F3">
                  <w:pPr>
                    <w:jc w:val="center"/>
                    <w:rPr>
                      <w:szCs w:val="21"/>
                      <w:lang w:val="pt-BR"/>
                    </w:rPr>
                  </w:pPr>
                  <w:r>
                    <w:rPr>
                      <w:szCs w:val="21"/>
                    </w:rPr>
                    <w:t>氮氧化物</w:t>
                  </w:r>
                </w:p>
              </w:tc>
              <w:tc>
                <w:tcPr>
                  <w:tcW w:w="994" w:type="dxa"/>
                  <w:vAlign w:val="center"/>
                </w:tcPr>
                <w:p w14:paraId="520AC7F4">
                  <w:pPr>
                    <w:pStyle w:val="50"/>
                    <w:rPr>
                      <w:color w:val="auto"/>
                      <w:kern w:val="2"/>
                    </w:rPr>
                  </w:pPr>
                  <w:r>
                    <w:rPr>
                      <w:rFonts w:eastAsia="等线"/>
                      <w:color w:val="auto"/>
                      <w:lang w:val="zh-CN"/>
                    </w:rPr>
                    <w:t>2.035</w:t>
                  </w:r>
                </w:p>
              </w:tc>
              <w:tc>
                <w:tcPr>
                  <w:tcW w:w="994" w:type="dxa"/>
                  <w:vAlign w:val="center"/>
                </w:tcPr>
                <w:p w14:paraId="520AC7F5">
                  <w:pPr>
                    <w:jc w:val="center"/>
                    <w:rPr>
                      <w:szCs w:val="21"/>
                    </w:rPr>
                  </w:pPr>
                  <w:r>
                    <w:rPr>
                      <w:rFonts w:eastAsia="等线"/>
                      <w:kern w:val="0"/>
                      <w:szCs w:val="21"/>
                      <w:lang w:val="zh-CN"/>
                    </w:rPr>
                    <w:t>2.035</w:t>
                  </w:r>
                </w:p>
              </w:tc>
              <w:tc>
                <w:tcPr>
                  <w:tcW w:w="1021" w:type="dxa"/>
                  <w:vAlign w:val="center"/>
                </w:tcPr>
                <w:p w14:paraId="520AC7F6">
                  <w:pPr>
                    <w:jc w:val="center"/>
                    <w:rPr>
                      <w:szCs w:val="21"/>
                    </w:rPr>
                  </w:pPr>
                  <w:r>
                    <w:rPr>
                      <w:rFonts w:eastAsia="等线"/>
                      <w:szCs w:val="21"/>
                      <w:lang w:val="zh-CN"/>
                    </w:rPr>
                    <w:t>/</w:t>
                  </w:r>
                </w:p>
              </w:tc>
              <w:tc>
                <w:tcPr>
                  <w:tcW w:w="994" w:type="dxa"/>
                  <w:vAlign w:val="center"/>
                </w:tcPr>
                <w:p w14:paraId="520AC7F7">
                  <w:pPr>
                    <w:jc w:val="center"/>
                    <w:rPr>
                      <w:szCs w:val="21"/>
                    </w:rPr>
                  </w:pPr>
                  <w:r>
                    <w:rPr>
                      <w:rFonts w:eastAsia="等线"/>
                      <w:szCs w:val="21"/>
                    </w:rPr>
                    <w:t>0</w:t>
                  </w:r>
                </w:p>
              </w:tc>
              <w:tc>
                <w:tcPr>
                  <w:tcW w:w="852" w:type="dxa"/>
                  <w:vAlign w:val="center"/>
                </w:tcPr>
                <w:p w14:paraId="520AC7F8">
                  <w:pPr>
                    <w:jc w:val="center"/>
                    <w:rPr>
                      <w:szCs w:val="21"/>
                    </w:rPr>
                  </w:pPr>
                  <w:r>
                    <w:rPr>
                      <w:rFonts w:eastAsia="等线"/>
                      <w:szCs w:val="21"/>
                    </w:rPr>
                    <w:t>0</w:t>
                  </w:r>
                </w:p>
              </w:tc>
              <w:tc>
                <w:tcPr>
                  <w:tcW w:w="1021" w:type="dxa"/>
                  <w:vAlign w:val="center"/>
                </w:tcPr>
                <w:p w14:paraId="520AC7F9">
                  <w:pPr>
                    <w:jc w:val="center"/>
                    <w:rPr>
                      <w:szCs w:val="21"/>
                    </w:rPr>
                  </w:pPr>
                  <w:r>
                    <w:rPr>
                      <w:rFonts w:eastAsia="等线"/>
                      <w:kern w:val="0"/>
                      <w:szCs w:val="21"/>
                      <w:lang w:val="zh-CN"/>
                    </w:rPr>
                    <w:t>2.035</w:t>
                  </w:r>
                </w:p>
              </w:tc>
              <w:tc>
                <w:tcPr>
                  <w:tcW w:w="1024" w:type="dxa"/>
                  <w:vAlign w:val="center"/>
                </w:tcPr>
                <w:p w14:paraId="520AC7FA">
                  <w:pPr>
                    <w:jc w:val="center"/>
                    <w:rPr>
                      <w:szCs w:val="21"/>
                    </w:rPr>
                  </w:pPr>
                  <w:r>
                    <w:rPr>
                      <w:rFonts w:eastAsia="等线"/>
                      <w:szCs w:val="21"/>
                    </w:rPr>
                    <w:t>0</w:t>
                  </w:r>
                </w:p>
              </w:tc>
            </w:tr>
            <w:tr w14:paraId="520AC80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235" w:type="dxa"/>
                  <w:vAlign w:val="center"/>
                </w:tcPr>
                <w:p w14:paraId="520AC7FC">
                  <w:pPr>
                    <w:jc w:val="center"/>
                    <w:rPr>
                      <w:szCs w:val="21"/>
                      <w:lang w:val="pt-BR"/>
                    </w:rPr>
                  </w:pPr>
                  <w:r>
                    <w:rPr>
                      <w:szCs w:val="21"/>
                    </w:rPr>
                    <w:t>硫化氢</w:t>
                  </w:r>
                </w:p>
              </w:tc>
              <w:tc>
                <w:tcPr>
                  <w:tcW w:w="994" w:type="dxa"/>
                  <w:vAlign w:val="center"/>
                </w:tcPr>
                <w:p w14:paraId="520AC7FD">
                  <w:pPr>
                    <w:pStyle w:val="50"/>
                    <w:rPr>
                      <w:color w:val="auto"/>
                      <w:kern w:val="2"/>
                    </w:rPr>
                  </w:pPr>
                  <w:r>
                    <w:rPr>
                      <w:rFonts w:eastAsia="等线"/>
                      <w:color w:val="auto"/>
                      <w:lang w:val="zh-CN"/>
                    </w:rPr>
                    <w:t>0.0005</w:t>
                  </w:r>
                </w:p>
              </w:tc>
              <w:tc>
                <w:tcPr>
                  <w:tcW w:w="994" w:type="dxa"/>
                  <w:vAlign w:val="center"/>
                </w:tcPr>
                <w:p w14:paraId="520AC7FE">
                  <w:pPr>
                    <w:jc w:val="center"/>
                    <w:rPr>
                      <w:szCs w:val="21"/>
                    </w:rPr>
                  </w:pPr>
                  <w:r>
                    <w:rPr>
                      <w:rFonts w:eastAsia="等线"/>
                      <w:kern w:val="0"/>
                      <w:szCs w:val="21"/>
                      <w:lang w:val="zh-CN"/>
                    </w:rPr>
                    <w:t>0.00054</w:t>
                  </w:r>
                </w:p>
              </w:tc>
              <w:tc>
                <w:tcPr>
                  <w:tcW w:w="1021" w:type="dxa"/>
                  <w:vAlign w:val="center"/>
                </w:tcPr>
                <w:p w14:paraId="520AC7FF">
                  <w:pPr>
                    <w:jc w:val="center"/>
                    <w:rPr>
                      <w:szCs w:val="21"/>
                    </w:rPr>
                  </w:pPr>
                  <w:r>
                    <w:rPr>
                      <w:rFonts w:hint="eastAsia"/>
                      <w:szCs w:val="21"/>
                    </w:rPr>
                    <w:t>/</w:t>
                  </w:r>
                </w:p>
              </w:tc>
              <w:tc>
                <w:tcPr>
                  <w:tcW w:w="994" w:type="dxa"/>
                  <w:vAlign w:val="center"/>
                </w:tcPr>
                <w:p w14:paraId="520AC800">
                  <w:pPr>
                    <w:jc w:val="center"/>
                    <w:rPr>
                      <w:szCs w:val="21"/>
                    </w:rPr>
                  </w:pPr>
                  <w:r>
                    <w:rPr>
                      <w:rFonts w:eastAsia="等线"/>
                      <w:szCs w:val="21"/>
                    </w:rPr>
                    <w:t>0</w:t>
                  </w:r>
                  <w:r>
                    <w:rPr>
                      <w:rFonts w:hint="eastAsia" w:eastAsia="等线"/>
                      <w:szCs w:val="21"/>
                    </w:rPr>
                    <w:t>.00006</w:t>
                  </w:r>
                </w:p>
              </w:tc>
              <w:tc>
                <w:tcPr>
                  <w:tcW w:w="852" w:type="dxa"/>
                  <w:vAlign w:val="center"/>
                </w:tcPr>
                <w:p w14:paraId="520AC801">
                  <w:pPr>
                    <w:jc w:val="center"/>
                    <w:rPr>
                      <w:bCs/>
                    </w:rPr>
                  </w:pPr>
                  <w:r>
                    <w:rPr>
                      <w:rFonts w:eastAsia="等线"/>
                      <w:szCs w:val="21"/>
                    </w:rPr>
                    <w:t>0</w:t>
                  </w:r>
                  <w:r>
                    <w:rPr>
                      <w:rFonts w:hint="eastAsia" w:eastAsia="等线"/>
                      <w:szCs w:val="21"/>
                    </w:rPr>
                    <w:t>.00006</w:t>
                  </w:r>
                </w:p>
              </w:tc>
              <w:tc>
                <w:tcPr>
                  <w:tcW w:w="1021" w:type="dxa"/>
                  <w:vAlign w:val="center"/>
                </w:tcPr>
                <w:p w14:paraId="520AC802">
                  <w:pPr>
                    <w:jc w:val="center"/>
                    <w:rPr>
                      <w:szCs w:val="21"/>
                    </w:rPr>
                  </w:pPr>
                  <w:r>
                    <w:rPr>
                      <w:rFonts w:eastAsia="等线"/>
                      <w:kern w:val="0"/>
                      <w:szCs w:val="21"/>
                      <w:lang w:val="zh-CN"/>
                    </w:rPr>
                    <w:t>0.0005</w:t>
                  </w:r>
                </w:p>
              </w:tc>
              <w:tc>
                <w:tcPr>
                  <w:tcW w:w="1024" w:type="dxa"/>
                  <w:vAlign w:val="center"/>
                </w:tcPr>
                <w:p w14:paraId="520AC803">
                  <w:pPr>
                    <w:jc w:val="center"/>
                    <w:rPr>
                      <w:szCs w:val="21"/>
                    </w:rPr>
                  </w:pPr>
                  <w:r>
                    <w:rPr>
                      <w:rFonts w:eastAsia="等线"/>
                      <w:szCs w:val="21"/>
                    </w:rPr>
                    <w:t>0</w:t>
                  </w:r>
                </w:p>
              </w:tc>
            </w:tr>
            <w:tr w14:paraId="520AC80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235" w:type="dxa"/>
                  <w:vAlign w:val="center"/>
                </w:tcPr>
                <w:p w14:paraId="520AC805">
                  <w:pPr>
                    <w:jc w:val="center"/>
                    <w:rPr>
                      <w:szCs w:val="21"/>
                      <w:lang w:val="pt-BR"/>
                    </w:rPr>
                  </w:pPr>
                  <w:r>
                    <w:rPr>
                      <w:szCs w:val="21"/>
                    </w:rPr>
                    <w:t>颗粒物</w:t>
                  </w:r>
                </w:p>
              </w:tc>
              <w:tc>
                <w:tcPr>
                  <w:tcW w:w="994" w:type="dxa"/>
                  <w:vAlign w:val="center"/>
                </w:tcPr>
                <w:p w14:paraId="520AC806">
                  <w:pPr>
                    <w:pStyle w:val="50"/>
                    <w:rPr>
                      <w:color w:val="auto"/>
                      <w:kern w:val="2"/>
                    </w:rPr>
                  </w:pPr>
                  <w:r>
                    <w:rPr>
                      <w:color w:val="auto"/>
                      <w:lang w:val="zh-CN"/>
                    </w:rPr>
                    <w:t>1.9554</w:t>
                  </w:r>
                </w:p>
              </w:tc>
              <w:tc>
                <w:tcPr>
                  <w:tcW w:w="994" w:type="dxa"/>
                  <w:vAlign w:val="center"/>
                </w:tcPr>
                <w:p w14:paraId="520AC807">
                  <w:pPr>
                    <w:jc w:val="center"/>
                    <w:rPr>
                      <w:szCs w:val="21"/>
                    </w:rPr>
                  </w:pPr>
                  <w:r>
                    <w:rPr>
                      <w:kern w:val="0"/>
                      <w:szCs w:val="21"/>
                      <w:lang w:val="zh-CN"/>
                    </w:rPr>
                    <w:t>2.6009</w:t>
                  </w:r>
                </w:p>
              </w:tc>
              <w:tc>
                <w:tcPr>
                  <w:tcW w:w="1021" w:type="dxa"/>
                  <w:vAlign w:val="center"/>
                </w:tcPr>
                <w:p w14:paraId="520AC808">
                  <w:pPr>
                    <w:jc w:val="center"/>
                    <w:rPr>
                      <w:szCs w:val="21"/>
                    </w:rPr>
                  </w:pPr>
                  <w:r>
                    <w:rPr>
                      <w:rFonts w:hint="eastAsia"/>
                      <w:kern w:val="0"/>
                      <w:szCs w:val="21"/>
                      <w:lang w:val="zh-CN"/>
                    </w:rPr>
                    <w:t>0.0595</w:t>
                  </w:r>
                </w:p>
              </w:tc>
              <w:tc>
                <w:tcPr>
                  <w:tcW w:w="994" w:type="dxa"/>
                  <w:vAlign w:val="center"/>
                </w:tcPr>
                <w:p w14:paraId="520AC809">
                  <w:pPr>
                    <w:jc w:val="center"/>
                    <w:rPr>
                      <w:szCs w:val="21"/>
                    </w:rPr>
                  </w:pPr>
                  <w:r>
                    <w:rPr>
                      <w:rFonts w:eastAsia="等线"/>
                      <w:szCs w:val="21"/>
                    </w:rPr>
                    <w:t>0</w:t>
                  </w:r>
                </w:p>
              </w:tc>
              <w:tc>
                <w:tcPr>
                  <w:tcW w:w="852" w:type="dxa"/>
                  <w:vAlign w:val="center"/>
                </w:tcPr>
                <w:p w14:paraId="520AC80A">
                  <w:pPr>
                    <w:jc w:val="center"/>
                    <w:rPr>
                      <w:szCs w:val="21"/>
                    </w:rPr>
                  </w:pPr>
                  <w:r>
                    <w:rPr>
                      <w:rFonts w:eastAsia="等线"/>
                      <w:szCs w:val="21"/>
                    </w:rPr>
                    <w:t>0</w:t>
                  </w:r>
                </w:p>
              </w:tc>
              <w:tc>
                <w:tcPr>
                  <w:tcW w:w="1021" w:type="dxa"/>
                  <w:vAlign w:val="center"/>
                </w:tcPr>
                <w:p w14:paraId="520AC80B">
                  <w:pPr>
                    <w:jc w:val="center"/>
                    <w:rPr>
                      <w:szCs w:val="21"/>
                    </w:rPr>
                  </w:pPr>
                  <w:r>
                    <w:rPr>
                      <w:rFonts w:eastAsia="等线"/>
                      <w:szCs w:val="21"/>
                    </w:rPr>
                    <w:t>2.0</w:t>
                  </w:r>
                  <w:r>
                    <w:rPr>
                      <w:rFonts w:hint="eastAsia" w:eastAsia="等线"/>
                      <w:szCs w:val="21"/>
                    </w:rPr>
                    <w:t>14</w:t>
                  </w:r>
                  <w:r>
                    <w:rPr>
                      <w:rFonts w:eastAsia="等线"/>
                      <w:szCs w:val="21"/>
                    </w:rPr>
                    <w:t>9</w:t>
                  </w:r>
                </w:p>
              </w:tc>
              <w:tc>
                <w:tcPr>
                  <w:tcW w:w="1024" w:type="dxa"/>
                  <w:vAlign w:val="center"/>
                </w:tcPr>
                <w:p w14:paraId="520AC80C">
                  <w:pPr>
                    <w:jc w:val="center"/>
                    <w:rPr>
                      <w:szCs w:val="21"/>
                    </w:rPr>
                  </w:pPr>
                  <w:r>
                    <w:rPr>
                      <w:rFonts w:eastAsia="等线"/>
                      <w:szCs w:val="21"/>
                      <w:lang w:val="fr-FR"/>
                    </w:rPr>
                    <w:t>0</w:t>
                  </w:r>
                </w:p>
              </w:tc>
            </w:tr>
            <w:tr w14:paraId="520AC81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235" w:type="dxa"/>
                  <w:vAlign w:val="center"/>
                </w:tcPr>
                <w:p w14:paraId="520AC80E">
                  <w:pPr>
                    <w:jc w:val="center"/>
                    <w:rPr>
                      <w:szCs w:val="21"/>
                      <w:lang w:val="pt-BR"/>
                    </w:rPr>
                  </w:pPr>
                  <w:r>
                    <w:rPr>
                      <w:szCs w:val="21"/>
                    </w:rPr>
                    <w:t>氨</w:t>
                  </w:r>
                </w:p>
              </w:tc>
              <w:tc>
                <w:tcPr>
                  <w:tcW w:w="994" w:type="dxa"/>
                  <w:vAlign w:val="center"/>
                </w:tcPr>
                <w:p w14:paraId="520AC80F">
                  <w:pPr>
                    <w:pStyle w:val="50"/>
                    <w:rPr>
                      <w:color w:val="auto"/>
                      <w:kern w:val="2"/>
                    </w:rPr>
                  </w:pPr>
                  <w:r>
                    <w:rPr>
                      <w:color w:val="auto"/>
                      <w:lang w:val="zh-CN"/>
                    </w:rPr>
                    <w:t>/</w:t>
                  </w:r>
                </w:p>
              </w:tc>
              <w:tc>
                <w:tcPr>
                  <w:tcW w:w="994" w:type="dxa"/>
                  <w:vAlign w:val="center"/>
                </w:tcPr>
                <w:p w14:paraId="520AC810">
                  <w:pPr>
                    <w:jc w:val="center"/>
                    <w:rPr>
                      <w:szCs w:val="21"/>
                    </w:rPr>
                  </w:pPr>
                  <w:r>
                    <w:rPr>
                      <w:kern w:val="0"/>
                      <w:szCs w:val="21"/>
                      <w:lang w:val="zh-CN"/>
                    </w:rPr>
                    <w:t>/</w:t>
                  </w:r>
                </w:p>
              </w:tc>
              <w:tc>
                <w:tcPr>
                  <w:tcW w:w="1021" w:type="dxa"/>
                  <w:vAlign w:val="center"/>
                </w:tcPr>
                <w:p w14:paraId="520AC811">
                  <w:pPr>
                    <w:jc w:val="center"/>
                    <w:rPr>
                      <w:szCs w:val="21"/>
                      <w:highlight w:val="yellow"/>
                    </w:rPr>
                  </w:pPr>
                  <w:r>
                    <w:rPr>
                      <w:rFonts w:hint="eastAsia"/>
                      <w:kern w:val="0"/>
                      <w:szCs w:val="21"/>
                      <w:lang w:val="zh-CN"/>
                    </w:rPr>
                    <w:t>0.045</w:t>
                  </w:r>
                </w:p>
              </w:tc>
              <w:tc>
                <w:tcPr>
                  <w:tcW w:w="994" w:type="dxa"/>
                  <w:vAlign w:val="center"/>
                </w:tcPr>
                <w:p w14:paraId="520AC812">
                  <w:pPr>
                    <w:jc w:val="center"/>
                    <w:rPr>
                      <w:szCs w:val="21"/>
                    </w:rPr>
                  </w:pPr>
                  <w:r>
                    <w:rPr>
                      <w:rFonts w:hint="eastAsia" w:eastAsia="等线"/>
                      <w:szCs w:val="21"/>
                    </w:rPr>
                    <w:t>0</w:t>
                  </w:r>
                </w:p>
              </w:tc>
              <w:tc>
                <w:tcPr>
                  <w:tcW w:w="852" w:type="dxa"/>
                  <w:vAlign w:val="center"/>
                </w:tcPr>
                <w:p w14:paraId="520AC813">
                  <w:pPr>
                    <w:jc w:val="center"/>
                    <w:rPr>
                      <w:szCs w:val="21"/>
                    </w:rPr>
                  </w:pPr>
                  <w:r>
                    <w:rPr>
                      <w:rFonts w:eastAsia="等线"/>
                      <w:szCs w:val="21"/>
                      <w:lang w:val="pt-BR"/>
                    </w:rPr>
                    <w:t>0</w:t>
                  </w:r>
                </w:p>
              </w:tc>
              <w:tc>
                <w:tcPr>
                  <w:tcW w:w="1021" w:type="dxa"/>
                  <w:vAlign w:val="center"/>
                </w:tcPr>
                <w:p w14:paraId="520AC814">
                  <w:pPr>
                    <w:jc w:val="center"/>
                    <w:rPr>
                      <w:szCs w:val="21"/>
                    </w:rPr>
                  </w:pPr>
                  <w:r>
                    <w:rPr>
                      <w:rFonts w:eastAsia="等线"/>
                      <w:szCs w:val="21"/>
                    </w:rPr>
                    <w:t>0.045</w:t>
                  </w:r>
                </w:p>
              </w:tc>
              <w:tc>
                <w:tcPr>
                  <w:tcW w:w="1024" w:type="dxa"/>
                  <w:vAlign w:val="center"/>
                </w:tcPr>
                <w:p w14:paraId="520AC815">
                  <w:pPr>
                    <w:jc w:val="center"/>
                    <w:rPr>
                      <w:szCs w:val="21"/>
                    </w:rPr>
                  </w:pPr>
                  <w:r>
                    <w:rPr>
                      <w:rFonts w:hint="eastAsia" w:eastAsia="等线"/>
                      <w:szCs w:val="21"/>
                    </w:rPr>
                    <w:t>0</w:t>
                  </w:r>
                </w:p>
              </w:tc>
            </w:tr>
            <w:tr w14:paraId="520AC81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PrEx>
              <w:trPr>
                <w:trHeight w:val="369" w:hRule="atLeast"/>
                <w:jc w:val="center"/>
              </w:trPr>
              <w:tc>
                <w:tcPr>
                  <w:tcW w:w="1235" w:type="dxa"/>
                  <w:vAlign w:val="center"/>
                </w:tcPr>
                <w:p w14:paraId="520AC817">
                  <w:pPr>
                    <w:jc w:val="center"/>
                    <w:rPr>
                      <w:szCs w:val="21"/>
                    </w:rPr>
                  </w:pPr>
                  <w:r>
                    <w:rPr>
                      <w:szCs w:val="21"/>
                    </w:rPr>
                    <w:t>VOCs</w:t>
                  </w:r>
                </w:p>
              </w:tc>
              <w:tc>
                <w:tcPr>
                  <w:tcW w:w="994" w:type="dxa"/>
                  <w:vAlign w:val="center"/>
                </w:tcPr>
                <w:p w14:paraId="520AC818">
                  <w:pPr>
                    <w:pStyle w:val="50"/>
                    <w:rPr>
                      <w:color w:val="auto"/>
                    </w:rPr>
                  </w:pPr>
                  <w:r>
                    <w:rPr>
                      <w:rFonts w:hint="eastAsia"/>
                      <w:bCs/>
                      <w:color w:val="auto"/>
                      <w:lang w:val="zh-CN"/>
                    </w:rPr>
                    <w:t>3.3834</w:t>
                  </w:r>
                </w:p>
              </w:tc>
              <w:tc>
                <w:tcPr>
                  <w:tcW w:w="994" w:type="dxa"/>
                  <w:vAlign w:val="center"/>
                </w:tcPr>
                <w:p w14:paraId="520AC819">
                  <w:pPr>
                    <w:jc w:val="center"/>
                    <w:rPr>
                      <w:szCs w:val="21"/>
                    </w:rPr>
                  </w:pPr>
                  <w:r>
                    <w:rPr>
                      <w:bCs/>
                      <w:kern w:val="0"/>
                      <w:szCs w:val="21"/>
                      <w:lang w:val="zh-CN"/>
                    </w:rPr>
                    <w:t>4.9384</w:t>
                  </w:r>
                </w:p>
              </w:tc>
              <w:tc>
                <w:tcPr>
                  <w:tcW w:w="1021" w:type="dxa"/>
                  <w:vAlign w:val="center"/>
                </w:tcPr>
                <w:p w14:paraId="520AC81A">
                  <w:pPr>
                    <w:jc w:val="center"/>
                    <w:rPr>
                      <w:bCs/>
                    </w:rPr>
                  </w:pPr>
                  <w:r>
                    <w:rPr>
                      <w:rFonts w:hint="eastAsia"/>
                      <w:kern w:val="0"/>
                      <w:szCs w:val="21"/>
                      <w:lang w:val="zh-CN"/>
                    </w:rPr>
                    <w:t>0.6209</w:t>
                  </w:r>
                </w:p>
              </w:tc>
              <w:tc>
                <w:tcPr>
                  <w:tcW w:w="994" w:type="dxa"/>
                  <w:vAlign w:val="center"/>
                </w:tcPr>
                <w:p w14:paraId="520AC81B">
                  <w:pPr>
                    <w:jc w:val="center"/>
                  </w:pPr>
                  <w:r>
                    <w:rPr>
                      <w:rFonts w:eastAsia="等线"/>
                      <w:szCs w:val="21"/>
                      <w:lang w:val="pt-BR"/>
                    </w:rPr>
                    <w:t>0</w:t>
                  </w:r>
                  <w:r>
                    <w:rPr>
                      <w:rFonts w:hint="eastAsia" w:eastAsia="等线"/>
                      <w:szCs w:val="21"/>
                      <w:lang w:val="pt-BR"/>
                    </w:rPr>
                    <w:t>.0002</w:t>
                  </w:r>
                </w:p>
              </w:tc>
              <w:tc>
                <w:tcPr>
                  <w:tcW w:w="852" w:type="dxa"/>
                  <w:vAlign w:val="center"/>
                </w:tcPr>
                <w:p w14:paraId="520AC81C">
                  <w:pPr>
                    <w:jc w:val="center"/>
                    <w:rPr>
                      <w:bCs/>
                      <w:szCs w:val="21"/>
                    </w:rPr>
                  </w:pPr>
                  <w:r>
                    <w:rPr>
                      <w:rFonts w:eastAsia="等线"/>
                      <w:szCs w:val="21"/>
                      <w:lang w:val="pt-BR"/>
                    </w:rPr>
                    <w:t>0</w:t>
                  </w:r>
                  <w:r>
                    <w:rPr>
                      <w:rFonts w:hint="eastAsia" w:eastAsia="等线"/>
                      <w:szCs w:val="21"/>
                      <w:lang w:val="pt-BR"/>
                    </w:rPr>
                    <w:t>.0002</w:t>
                  </w:r>
                </w:p>
              </w:tc>
              <w:tc>
                <w:tcPr>
                  <w:tcW w:w="1021" w:type="dxa"/>
                  <w:vAlign w:val="center"/>
                </w:tcPr>
                <w:p w14:paraId="520AC81D">
                  <w:pPr>
                    <w:jc w:val="center"/>
                    <w:rPr>
                      <w:szCs w:val="21"/>
                    </w:rPr>
                  </w:pPr>
                  <w:r>
                    <w:rPr>
                      <w:rFonts w:eastAsia="等线"/>
                      <w:szCs w:val="21"/>
                    </w:rPr>
                    <w:t>4.0</w:t>
                  </w:r>
                  <w:r>
                    <w:rPr>
                      <w:rFonts w:hint="eastAsia" w:eastAsia="等线"/>
                      <w:szCs w:val="21"/>
                    </w:rPr>
                    <w:t>043</w:t>
                  </w:r>
                </w:p>
              </w:tc>
              <w:tc>
                <w:tcPr>
                  <w:tcW w:w="1024" w:type="dxa"/>
                  <w:vAlign w:val="center"/>
                </w:tcPr>
                <w:p w14:paraId="520AC81E">
                  <w:pPr>
                    <w:jc w:val="center"/>
                  </w:pPr>
                  <w:r>
                    <w:rPr>
                      <w:rFonts w:eastAsia="等线"/>
                      <w:szCs w:val="21"/>
                      <w:lang w:val="pt-BR"/>
                    </w:rPr>
                    <w:t>0</w:t>
                  </w:r>
                </w:p>
              </w:tc>
            </w:tr>
            <w:tr w14:paraId="61410F6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235" w:type="dxa"/>
                  <w:vAlign w:val="center"/>
                </w:tcPr>
                <w:p w14:paraId="1D44A856">
                  <w:pPr>
                    <w:jc w:val="center"/>
                    <w:rPr>
                      <w:szCs w:val="21"/>
                    </w:rPr>
                  </w:pPr>
                  <w:r>
                    <w:rPr>
                      <w:rFonts w:hint="eastAsia"/>
                      <w:szCs w:val="21"/>
                    </w:rPr>
                    <w:t>SO</w:t>
                  </w:r>
                  <w:r>
                    <w:rPr>
                      <w:rFonts w:hint="eastAsia"/>
                      <w:szCs w:val="21"/>
                      <w:vertAlign w:val="subscript"/>
                    </w:rPr>
                    <w:t>2</w:t>
                  </w:r>
                </w:p>
              </w:tc>
              <w:tc>
                <w:tcPr>
                  <w:tcW w:w="994" w:type="dxa"/>
                  <w:vAlign w:val="center"/>
                </w:tcPr>
                <w:p w14:paraId="6DFAB33F">
                  <w:pPr>
                    <w:pStyle w:val="50"/>
                    <w:rPr>
                      <w:bCs/>
                      <w:color w:val="auto"/>
                      <w:lang w:val="zh-CN"/>
                    </w:rPr>
                  </w:pPr>
                  <w:r>
                    <w:rPr>
                      <w:rFonts w:hint="eastAsia"/>
                      <w:bCs/>
                      <w:color w:val="auto"/>
                      <w:lang w:val="zh-CN"/>
                    </w:rPr>
                    <w:t>0.0351</w:t>
                  </w:r>
                </w:p>
              </w:tc>
              <w:tc>
                <w:tcPr>
                  <w:tcW w:w="994" w:type="dxa"/>
                  <w:vAlign w:val="center"/>
                </w:tcPr>
                <w:p w14:paraId="45BB6715">
                  <w:pPr>
                    <w:jc w:val="center"/>
                    <w:rPr>
                      <w:bCs/>
                      <w:kern w:val="0"/>
                      <w:szCs w:val="21"/>
                      <w:lang w:val="zh-CN"/>
                    </w:rPr>
                  </w:pPr>
                  <w:r>
                    <w:rPr>
                      <w:rFonts w:hint="eastAsia"/>
                      <w:bCs/>
                      <w:kern w:val="0"/>
                      <w:szCs w:val="21"/>
                      <w:lang w:val="zh-CN"/>
                    </w:rPr>
                    <w:t>0.0351</w:t>
                  </w:r>
                </w:p>
              </w:tc>
              <w:tc>
                <w:tcPr>
                  <w:tcW w:w="1021" w:type="dxa"/>
                  <w:vAlign w:val="center"/>
                </w:tcPr>
                <w:p w14:paraId="416E5962">
                  <w:pPr>
                    <w:jc w:val="center"/>
                    <w:rPr>
                      <w:kern w:val="0"/>
                      <w:szCs w:val="21"/>
                      <w:lang w:val="zh-CN"/>
                    </w:rPr>
                  </w:pPr>
                  <w:r>
                    <w:rPr>
                      <w:rFonts w:hint="eastAsia"/>
                      <w:kern w:val="0"/>
                      <w:szCs w:val="21"/>
                      <w:lang w:val="zh-CN"/>
                    </w:rPr>
                    <w:t>/</w:t>
                  </w:r>
                </w:p>
              </w:tc>
              <w:tc>
                <w:tcPr>
                  <w:tcW w:w="994" w:type="dxa"/>
                  <w:vAlign w:val="center"/>
                </w:tcPr>
                <w:p w14:paraId="4167ECC1">
                  <w:pPr>
                    <w:jc w:val="center"/>
                    <w:rPr>
                      <w:rFonts w:eastAsia="等线"/>
                      <w:szCs w:val="21"/>
                      <w:lang w:val="pt-BR"/>
                    </w:rPr>
                  </w:pPr>
                  <w:r>
                    <w:rPr>
                      <w:rFonts w:hint="eastAsia" w:eastAsia="等线"/>
                      <w:szCs w:val="21"/>
                      <w:lang w:val="pt-BR"/>
                    </w:rPr>
                    <w:t>0.0009</w:t>
                  </w:r>
                </w:p>
              </w:tc>
              <w:tc>
                <w:tcPr>
                  <w:tcW w:w="852" w:type="dxa"/>
                  <w:vAlign w:val="center"/>
                </w:tcPr>
                <w:p w14:paraId="4AF26E05">
                  <w:pPr>
                    <w:jc w:val="center"/>
                    <w:rPr>
                      <w:rFonts w:eastAsia="等线"/>
                      <w:szCs w:val="21"/>
                      <w:lang w:val="pt-BR"/>
                    </w:rPr>
                  </w:pPr>
                  <w:r>
                    <w:rPr>
                      <w:rFonts w:hint="eastAsia" w:eastAsia="等线"/>
                      <w:szCs w:val="21"/>
                      <w:lang w:val="pt-BR"/>
                    </w:rPr>
                    <w:t>0.0009</w:t>
                  </w:r>
                </w:p>
              </w:tc>
              <w:tc>
                <w:tcPr>
                  <w:tcW w:w="1021" w:type="dxa"/>
                  <w:vAlign w:val="center"/>
                </w:tcPr>
                <w:p w14:paraId="5173A1B6">
                  <w:pPr>
                    <w:jc w:val="center"/>
                    <w:rPr>
                      <w:rFonts w:eastAsia="等线"/>
                      <w:szCs w:val="21"/>
                    </w:rPr>
                  </w:pPr>
                  <w:r>
                    <w:rPr>
                      <w:rFonts w:hint="eastAsia" w:eastAsia="等线"/>
                      <w:szCs w:val="21"/>
                    </w:rPr>
                    <w:t>0.0351</w:t>
                  </w:r>
                </w:p>
              </w:tc>
              <w:tc>
                <w:tcPr>
                  <w:tcW w:w="1024" w:type="dxa"/>
                  <w:vAlign w:val="center"/>
                </w:tcPr>
                <w:p w14:paraId="5C0FB289">
                  <w:pPr>
                    <w:jc w:val="center"/>
                    <w:rPr>
                      <w:rFonts w:eastAsia="等线"/>
                      <w:szCs w:val="21"/>
                      <w:lang w:val="pt-BR"/>
                    </w:rPr>
                  </w:pPr>
                  <w:r>
                    <w:rPr>
                      <w:rFonts w:hint="eastAsia" w:eastAsia="等线"/>
                      <w:szCs w:val="21"/>
                      <w:lang w:val="pt-BR"/>
                    </w:rPr>
                    <w:t>0</w:t>
                  </w:r>
                </w:p>
              </w:tc>
            </w:tr>
          </w:tbl>
          <w:p w14:paraId="520AC820">
            <w:pPr>
              <w:spacing w:line="460" w:lineRule="exact"/>
              <w:ind w:firstLine="482" w:firstLineChars="200"/>
              <w:rPr>
                <w:b/>
                <w:sz w:val="24"/>
              </w:rPr>
            </w:pPr>
            <w:r>
              <w:rPr>
                <w:rFonts w:hint="eastAsia"/>
                <w:b/>
                <w:sz w:val="24"/>
              </w:rPr>
              <w:t>9、</w:t>
            </w:r>
            <w:r>
              <w:rPr>
                <w:b/>
                <w:sz w:val="24"/>
              </w:rPr>
              <w:t>监测要求</w:t>
            </w:r>
          </w:p>
          <w:p w14:paraId="520AC821">
            <w:pPr>
              <w:spacing w:line="460" w:lineRule="exact"/>
              <w:ind w:firstLine="480" w:firstLineChars="200"/>
              <w:rPr>
                <w:sz w:val="24"/>
              </w:rPr>
            </w:pPr>
            <w:r>
              <w:rPr>
                <w:sz w:val="24"/>
              </w:rPr>
              <w:t>根据本项目实际情况</w:t>
            </w:r>
            <w:r>
              <w:rPr>
                <w:rFonts w:hint="eastAsia"/>
                <w:sz w:val="24"/>
              </w:rPr>
              <w:t>及现有工程排污许可证自行监测要求</w:t>
            </w:r>
            <w:r>
              <w:rPr>
                <w:sz w:val="24"/>
              </w:rPr>
              <w:t>，并参照</w:t>
            </w:r>
            <w:r>
              <w:rPr>
                <w:rFonts w:hint="eastAsia"/>
                <w:bCs/>
                <w:sz w:val="24"/>
              </w:rPr>
              <w:t>《排污许可证申请与核发技术规范 铁路、船舶、航空航天和其他运输设备制造业》（HJ 1124-2020）、《排污单位自行监测技术指南 橡胶和塑料制品》</w:t>
            </w:r>
            <w:r>
              <w:fldChar w:fldCharType="begin"/>
            </w:r>
            <w:r>
              <w:instrText xml:space="preserve"> HYPERLINK "https://www.mee.gov.cn/ywgz/fgbz/bz/bzwb/jcffbz/202112/W020211206547863741730.pdf" </w:instrText>
            </w:r>
            <w:r>
              <w:fldChar w:fldCharType="separate"/>
            </w:r>
            <w:r>
              <w:rPr>
                <w:rStyle w:val="22"/>
                <w:rFonts w:hint="eastAsia"/>
                <w:bCs/>
                <w:color w:val="auto"/>
                <w:sz w:val="24"/>
              </w:rPr>
              <w:t>（HJ 1207—2021）</w:t>
            </w:r>
            <w:r>
              <w:rPr>
                <w:rStyle w:val="22"/>
                <w:rFonts w:hint="eastAsia"/>
                <w:bCs/>
                <w:color w:val="auto"/>
                <w:sz w:val="24"/>
              </w:rPr>
              <w:fldChar w:fldCharType="end"/>
            </w:r>
            <w:r>
              <w:rPr>
                <w:sz w:val="24"/>
              </w:rPr>
              <w:t>，评价提出项目在生产运行阶段的污染源监测计划，具体监测计划见下表。</w:t>
            </w:r>
          </w:p>
          <w:p w14:paraId="520AC822">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69</w:t>
            </w:r>
            <w:r>
              <w:rPr>
                <w:rFonts w:eastAsia="黑体"/>
                <w:sz w:val="24"/>
              </w:rPr>
              <w:t xml:space="preserve">                 污染源自行监测计划表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01"/>
              <w:gridCol w:w="709"/>
              <w:gridCol w:w="992"/>
              <w:gridCol w:w="992"/>
              <w:gridCol w:w="4841"/>
            </w:tblGrid>
            <w:tr w14:paraId="520AC82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10" w:type="dxa"/>
                  <w:gridSpan w:val="2"/>
                  <w:tcMar>
                    <w:top w:w="0" w:type="dxa"/>
                    <w:left w:w="28" w:type="dxa"/>
                    <w:bottom w:w="0" w:type="dxa"/>
                    <w:right w:w="28" w:type="dxa"/>
                  </w:tcMar>
                  <w:vAlign w:val="center"/>
                </w:tcPr>
                <w:p w14:paraId="520AC823">
                  <w:pPr>
                    <w:autoSpaceDE w:val="0"/>
                    <w:autoSpaceDN w:val="0"/>
                    <w:adjustRightInd w:val="0"/>
                    <w:snapToGrid w:val="0"/>
                    <w:jc w:val="center"/>
                    <w:rPr>
                      <w:b/>
                      <w:bCs/>
                      <w:szCs w:val="21"/>
                    </w:rPr>
                  </w:pPr>
                  <w:r>
                    <w:rPr>
                      <w:b/>
                      <w:bCs/>
                      <w:szCs w:val="21"/>
                    </w:rPr>
                    <w:t>监测指标</w:t>
                  </w:r>
                </w:p>
              </w:tc>
              <w:tc>
                <w:tcPr>
                  <w:tcW w:w="992" w:type="dxa"/>
                  <w:tcMar>
                    <w:top w:w="0" w:type="dxa"/>
                    <w:left w:w="28" w:type="dxa"/>
                    <w:bottom w:w="0" w:type="dxa"/>
                    <w:right w:w="28" w:type="dxa"/>
                  </w:tcMar>
                  <w:vAlign w:val="center"/>
                </w:tcPr>
                <w:p w14:paraId="520AC824">
                  <w:pPr>
                    <w:autoSpaceDE w:val="0"/>
                    <w:autoSpaceDN w:val="0"/>
                    <w:adjustRightInd w:val="0"/>
                    <w:snapToGrid w:val="0"/>
                    <w:jc w:val="center"/>
                    <w:rPr>
                      <w:b/>
                      <w:bCs/>
                      <w:szCs w:val="21"/>
                    </w:rPr>
                  </w:pPr>
                  <w:r>
                    <w:rPr>
                      <w:b/>
                      <w:bCs/>
                      <w:szCs w:val="21"/>
                    </w:rPr>
                    <w:t>监测点位</w:t>
                  </w:r>
                </w:p>
              </w:tc>
              <w:tc>
                <w:tcPr>
                  <w:tcW w:w="992" w:type="dxa"/>
                  <w:tcMar>
                    <w:top w:w="0" w:type="dxa"/>
                    <w:left w:w="28" w:type="dxa"/>
                    <w:bottom w:w="0" w:type="dxa"/>
                    <w:right w:w="28" w:type="dxa"/>
                  </w:tcMar>
                  <w:vAlign w:val="center"/>
                </w:tcPr>
                <w:p w14:paraId="520AC825">
                  <w:pPr>
                    <w:autoSpaceDE w:val="0"/>
                    <w:autoSpaceDN w:val="0"/>
                    <w:adjustRightInd w:val="0"/>
                    <w:snapToGrid w:val="0"/>
                    <w:jc w:val="center"/>
                    <w:rPr>
                      <w:b/>
                      <w:bCs/>
                      <w:szCs w:val="21"/>
                    </w:rPr>
                  </w:pPr>
                  <w:r>
                    <w:rPr>
                      <w:b/>
                      <w:bCs/>
                      <w:szCs w:val="21"/>
                    </w:rPr>
                    <w:t>监测频次</w:t>
                  </w:r>
                </w:p>
              </w:tc>
              <w:tc>
                <w:tcPr>
                  <w:tcW w:w="4841" w:type="dxa"/>
                  <w:tcMar>
                    <w:top w:w="0" w:type="dxa"/>
                    <w:left w:w="28" w:type="dxa"/>
                    <w:bottom w:w="0" w:type="dxa"/>
                    <w:right w:w="28" w:type="dxa"/>
                  </w:tcMar>
                  <w:vAlign w:val="center"/>
                </w:tcPr>
                <w:p w14:paraId="520AC826">
                  <w:pPr>
                    <w:autoSpaceDE w:val="0"/>
                    <w:autoSpaceDN w:val="0"/>
                    <w:adjustRightInd w:val="0"/>
                    <w:snapToGrid w:val="0"/>
                    <w:jc w:val="center"/>
                    <w:rPr>
                      <w:b/>
                      <w:bCs/>
                      <w:szCs w:val="21"/>
                    </w:rPr>
                  </w:pPr>
                  <w:r>
                    <w:rPr>
                      <w:b/>
                      <w:bCs/>
                      <w:szCs w:val="21"/>
                    </w:rPr>
                    <w:t>执行排放标准</w:t>
                  </w:r>
                </w:p>
              </w:tc>
            </w:tr>
            <w:tr w14:paraId="520AC82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35" w:type="dxa"/>
                  <w:gridSpan w:val="5"/>
                  <w:tcMar>
                    <w:top w:w="0" w:type="dxa"/>
                    <w:left w:w="28" w:type="dxa"/>
                    <w:bottom w:w="0" w:type="dxa"/>
                    <w:right w:w="28" w:type="dxa"/>
                  </w:tcMar>
                  <w:vAlign w:val="center"/>
                </w:tcPr>
                <w:p w14:paraId="520AC828">
                  <w:pPr>
                    <w:autoSpaceDE w:val="0"/>
                    <w:autoSpaceDN w:val="0"/>
                    <w:adjustRightInd w:val="0"/>
                    <w:snapToGrid w:val="0"/>
                    <w:jc w:val="center"/>
                    <w:rPr>
                      <w:b/>
                      <w:bCs/>
                      <w:szCs w:val="21"/>
                    </w:rPr>
                  </w:pPr>
                  <w:r>
                    <w:rPr>
                      <w:rFonts w:hint="eastAsia"/>
                      <w:b/>
                      <w:szCs w:val="21"/>
                    </w:rPr>
                    <w:t>建设路厂区</w:t>
                  </w:r>
                </w:p>
              </w:tc>
            </w:tr>
            <w:tr w14:paraId="2F204AE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35" w:type="dxa"/>
                  <w:gridSpan w:val="5"/>
                  <w:tcMar>
                    <w:top w:w="0" w:type="dxa"/>
                    <w:left w:w="28" w:type="dxa"/>
                    <w:bottom w:w="0" w:type="dxa"/>
                    <w:right w:w="28" w:type="dxa"/>
                  </w:tcMar>
                  <w:vAlign w:val="center"/>
                </w:tcPr>
                <w:p w14:paraId="07B11286">
                  <w:pPr>
                    <w:autoSpaceDE w:val="0"/>
                    <w:autoSpaceDN w:val="0"/>
                    <w:adjustRightInd w:val="0"/>
                    <w:snapToGrid w:val="0"/>
                    <w:jc w:val="center"/>
                    <w:rPr>
                      <w:b/>
                      <w:szCs w:val="21"/>
                    </w:rPr>
                  </w:pPr>
                  <w:r>
                    <w:rPr>
                      <w:b/>
                      <w:szCs w:val="21"/>
                    </w:rPr>
                    <w:t>有组织废气</w:t>
                  </w:r>
                </w:p>
              </w:tc>
            </w:tr>
            <w:tr w14:paraId="0CD0E69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tcMar>
                    <w:top w:w="0" w:type="dxa"/>
                    <w:left w:w="28" w:type="dxa"/>
                    <w:bottom w:w="0" w:type="dxa"/>
                    <w:right w:w="28" w:type="dxa"/>
                  </w:tcMar>
                  <w:vAlign w:val="center"/>
                </w:tcPr>
                <w:p w14:paraId="5744FFE4">
                  <w:pPr>
                    <w:autoSpaceDE w:val="0"/>
                    <w:autoSpaceDN w:val="0"/>
                    <w:adjustRightInd w:val="0"/>
                    <w:snapToGrid w:val="0"/>
                    <w:jc w:val="center"/>
                    <w:rPr>
                      <w:szCs w:val="21"/>
                      <w:lang w:val="pt-BR"/>
                    </w:rPr>
                  </w:pPr>
                  <w:r>
                    <w:rPr>
                      <w:rFonts w:hint="eastAsia"/>
                      <w:szCs w:val="21"/>
                      <w:lang w:val="pt-BR"/>
                    </w:rPr>
                    <w:t>颗粒物</w:t>
                  </w:r>
                </w:p>
              </w:tc>
              <w:tc>
                <w:tcPr>
                  <w:tcW w:w="709" w:type="dxa"/>
                  <w:vMerge w:val="restart"/>
                  <w:tcMar>
                    <w:top w:w="0" w:type="dxa"/>
                    <w:left w:w="28" w:type="dxa"/>
                    <w:bottom w:w="0" w:type="dxa"/>
                    <w:right w:w="28" w:type="dxa"/>
                  </w:tcMar>
                  <w:vAlign w:val="center"/>
                </w:tcPr>
                <w:p w14:paraId="0D19B4EF">
                  <w:pPr>
                    <w:autoSpaceDE w:val="0"/>
                    <w:autoSpaceDN w:val="0"/>
                    <w:adjustRightInd w:val="0"/>
                    <w:snapToGrid w:val="0"/>
                    <w:jc w:val="center"/>
                    <w:rPr>
                      <w:szCs w:val="21"/>
                    </w:rPr>
                  </w:pPr>
                  <w:r>
                    <w:rPr>
                      <w:szCs w:val="21"/>
                    </w:rPr>
                    <w:t>浓度、速率、废气量</w:t>
                  </w:r>
                </w:p>
              </w:tc>
              <w:tc>
                <w:tcPr>
                  <w:tcW w:w="992" w:type="dxa"/>
                  <w:tcMar>
                    <w:top w:w="0" w:type="dxa"/>
                    <w:left w:w="28" w:type="dxa"/>
                    <w:bottom w:w="0" w:type="dxa"/>
                    <w:right w:w="28" w:type="dxa"/>
                  </w:tcMar>
                  <w:vAlign w:val="center"/>
                </w:tcPr>
                <w:p w14:paraId="2E3EE5E7">
                  <w:pPr>
                    <w:autoSpaceDE w:val="0"/>
                    <w:autoSpaceDN w:val="0"/>
                    <w:adjustRightInd w:val="0"/>
                    <w:snapToGrid w:val="0"/>
                    <w:jc w:val="center"/>
                    <w:rPr>
                      <w:szCs w:val="21"/>
                    </w:rPr>
                  </w:pPr>
                  <w:r>
                    <w:rPr>
                      <w:rFonts w:hint="eastAsia"/>
                      <w:szCs w:val="21"/>
                    </w:rPr>
                    <w:t>排气筒DA019</w:t>
                  </w:r>
                </w:p>
              </w:tc>
              <w:tc>
                <w:tcPr>
                  <w:tcW w:w="992" w:type="dxa"/>
                  <w:tcMar>
                    <w:top w:w="0" w:type="dxa"/>
                    <w:left w:w="28" w:type="dxa"/>
                    <w:bottom w:w="0" w:type="dxa"/>
                    <w:right w:w="28" w:type="dxa"/>
                  </w:tcMar>
                  <w:vAlign w:val="center"/>
                </w:tcPr>
                <w:p w14:paraId="3E06A7C9">
                  <w:pPr>
                    <w:autoSpaceDE w:val="0"/>
                    <w:autoSpaceDN w:val="0"/>
                    <w:adjustRightInd w:val="0"/>
                    <w:snapToGrid w:val="0"/>
                    <w:jc w:val="center"/>
                    <w:rPr>
                      <w:szCs w:val="21"/>
                    </w:rPr>
                  </w:pPr>
                  <w:r>
                    <w:rPr>
                      <w:rFonts w:hint="eastAsia"/>
                      <w:szCs w:val="21"/>
                    </w:rPr>
                    <w:t>1次/年</w:t>
                  </w:r>
                </w:p>
              </w:tc>
              <w:tc>
                <w:tcPr>
                  <w:tcW w:w="4841" w:type="dxa"/>
                  <w:tcMar>
                    <w:top w:w="0" w:type="dxa"/>
                    <w:left w:w="28" w:type="dxa"/>
                    <w:bottom w:w="0" w:type="dxa"/>
                    <w:right w:w="28" w:type="dxa"/>
                  </w:tcMar>
                  <w:vAlign w:val="center"/>
                </w:tcPr>
                <w:p w14:paraId="205F8DD5">
                  <w:pPr>
                    <w:autoSpaceDE w:val="0"/>
                    <w:autoSpaceDN w:val="0"/>
                    <w:adjustRightInd w:val="0"/>
                    <w:snapToGrid w:val="0"/>
                    <w:jc w:val="center"/>
                    <w:rPr>
                      <w:szCs w:val="21"/>
                    </w:rPr>
                  </w:pPr>
                  <w:r>
                    <w:rPr>
                      <w:rFonts w:hint="eastAsia"/>
                      <w:bCs/>
                      <w:szCs w:val="21"/>
                    </w:rPr>
                    <w:t>《大气污染物综合排放标准》（GB16297-1996）表2</w:t>
                  </w:r>
                  <w:r>
                    <w:rPr>
                      <w:rFonts w:hint="eastAsia"/>
                      <w:szCs w:val="21"/>
                    </w:rPr>
                    <w:t>有组织颗粒物排放速率3.5kg/h（15m高排气筒）的标准限值要求，</w:t>
                  </w:r>
                  <w:r>
                    <w:rPr>
                      <w:rFonts w:hint="eastAsia"/>
                      <w:bCs/>
                      <w:szCs w:val="21"/>
                    </w:rPr>
                    <w:t>同时排放浓度均</w:t>
                  </w:r>
                  <w:r>
                    <w:rPr>
                      <w:rFonts w:hint="eastAsia"/>
                      <w:szCs w:val="21"/>
                    </w:rPr>
                    <w:t>满足《新乡市生态环境局关于进一步规范工业企业颗粒物排放限值的通知》有组织颗粒物排放浓度</w:t>
                  </w:r>
                  <w:r>
                    <w:rPr>
                      <w:szCs w:val="21"/>
                    </w:rPr>
                    <w:t>10mg/m</w:t>
                  </w:r>
                  <w:r>
                    <w:rPr>
                      <w:szCs w:val="21"/>
                      <w:vertAlign w:val="superscript"/>
                    </w:rPr>
                    <w:t>3</w:t>
                  </w:r>
                  <w:r>
                    <w:rPr>
                      <w:rFonts w:hint="eastAsia"/>
                      <w:szCs w:val="21"/>
                    </w:rPr>
                    <w:t>的标准限值要求</w:t>
                  </w:r>
                </w:p>
              </w:tc>
            </w:tr>
            <w:tr w14:paraId="520AC82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vMerge w:val="restart"/>
                  <w:tcMar>
                    <w:top w:w="0" w:type="dxa"/>
                    <w:left w:w="28" w:type="dxa"/>
                    <w:bottom w:w="0" w:type="dxa"/>
                    <w:right w:w="28" w:type="dxa"/>
                  </w:tcMar>
                  <w:vAlign w:val="center"/>
                </w:tcPr>
                <w:p w14:paraId="520AC82A">
                  <w:pPr>
                    <w:autoSpaceDE w:val="0"/>
                    <w:autoSpaceDN w:val="0"/>
                    <w:adjustRightInd w:val="0"/>
                    <w:snapToGrid w:val="0"/>
                    <w:jc w:val="center"/>
                    <w:rPr>
                      <w:szCs w:val="21"/>
                      <w:lang w:val="pt-BR"/>
                    </w:rPr>
                  </w:pPr>
                  <w:r>
                    <w:rPr>
                      <w:rFonts w:hint="eastAsia"/>
                      <w:szCs w:val="21"/>
                      <w:lang w:val="pt-BR"/>
                    </w:rPr>
                    <w:t>非甲烷总烃</w:t>
                  </w:r>
                </w:p>
              </w:tc>
              <w:tc>
                <w:tcPr>
                  <w:tcW w:w="709" w:type="dxa"/>
                  <w:vMerge w:val="continue"/>
                  <w:tcMar>
                    <w:top w:w="0" w:type="dxa"/>
                    <w:left w:w="28" w:type="dxa"/>
                    <w:bottom w:w="0" w:type="dxa"/>
                    <w:right w:w="28" w:type="dxa"/>
                  </w:tcMar>
                  <w:vAlign w:val="center"/>
                </w:tcPr>
                <w:p w14:paraId="520AC82B">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520AC82C">
                  <w:pPr>
                    <w:autoSpaceDE w:val="0"/>
                    <w:autoSpaceDN w:val="0"/>
                    <w:adjustRightInd w:val="0"/>
                    <w:snapToGrid w:val="0"/>
                    <w:jc w:val="center"/>
                    <w:rPr>
                      <w:szCs w:val="21"/>
                    </w:rPr>
                  </w:pPr>
                  <w:r>
                    <w:rPr>
                      <w:szCs w:val="21"/>
                    </w:rPr>
                    <w:t>排气筒DA0</w:t>
                  </w:r>
                  <w:r>
                    <w:rPr>
                      <w:rFonts w:hint="eastAsia"/>
                      <w:szCs w:val="21"/>
                    </w:rPr>
                    <w:t>25</w:t>
                  </w:r>
                </w:p>
              </w:tc>
              <w:tc>
                <w:tcPr>
                  <w:tcW w:w="992" w:type="dxa"/>
                  <w:vMerge w:val="restart"/>
                  <w:tcMar>
                    <w:top w:w="0" w:type="dxa"/>
                    <w:left w:w="28" w:type="dxa"/>
                    <w:bottom w:w="0" w:type="dxa"/>
                    <w:right w:w="28" w:type="dxa"/>
                  </w:tcMar>
                  <w:vAlign w:val="center"/>
                </w:tcPr>
                <w:p w14:paraId="520AC82D">
                  <w:pPr>
                    <w:autoSpaceDE w:val="0"/>
                    <w:autoSpaceDN w:val="0"/>
                    <w:adjustRightInd w:val="0"/>
                    <w:snapToGrid w:val="0"/>
                    <w:jc w:val="center"/>
                    <w:rPr>
                      <w:szCs w:val="21"/>
                    </w:rPr>
                  </w:pPr>
                  <w:r>
                    <w:rPr>
                      <w:rFonts w:hint="eastAsia"/>
                      <w:szCs w:val="21"/>
                    </w:rPr>
                    <w:t>1次/年</w:t>
                  </w:r>
                </w:p>
              </w:tc>
              <w:tc>
                <w:tcPr>
                  <w:tcW w:w="4841" w:type="dxa"/>
                  <w:vMerge w:val="restart"/>
                  <w:tcMar>
                    <w:top w:w="0" w:type="dxa"/>
                    <w:left w:w="28" w:type="dxa"/>
                    <w:bottom w:w="0" w:type="dxa"/>
                    <w:right w:w="28" w:type="dxa"/>
                  </w:tcMar>
                  <w:vAlign w:val="center"/>
                </w:tcPr>
                <w:p w14:paraId="520AC82E">
                  <w:pPr>
                    <w:autoSpaceDE w:val="0"/>
                    <w:autoSpaceDN w:val="0"/>
                    <w:adjustRightInd w:val="0"/>
                    <w:snapToGrid w:val="0"/>
                    <w:jc w:val="center"/>
                    <w:rPr>
                      <w:szCs w:val="21"/>
                    </w:rPr>
                  </w:pPr>
                  <w:r>
                    <w:rPr>
                      <w:rFonts w:hint="eastAsia"/>
                      <w:szCs w:val="21"/>
                    </w:rPr>
                    <w:t>《关于全省开展工业企业挥发性有机物专项治理工作中排放建议限值的通知》（豫环攻坚办[2017]162号）附件1其他行业有机废气排放口非甲烷总烃80mg/m</w:t>
                  </w:r>
                  <w:r>
                    <w:rPr>
                      <w:rFonts w:hint="eastAsia"/>
                      <w:szCs w:val="21"/>
                      <w:vertAlign w:val="superscript"/>
                    </w:rPr>
                    <w:t>3</w:t>
                  </w:r>
                  <w:r>
                    <w:rPr>
                      <w:rFonts w:hint="eastAsia"/>
                      <w:bCs/>
                      <w:szCs w:val="21"/>
                    </w:rPr>
                    <w:t>、处理效率70%</w:t>
                  </w:r>
                  <w:r>
                    <w:rPr>
                      <w:rFonts w:hint="eastAsia"/>
                      <w:szCs w:val="21"/>
                    </w:rPr>
                    <w:t>限值要求，</w:t>
                  </w:r>
                  <w:r>
                    <w:rPr>
                      <w:bCs/>
                      <w:szCs w:val="21"/>
                    </w:rPr>
                    <w:t>《河南省重污染天气通用行业应急减排措施制定技术指南》（2024年修订版）涉VOCs企业</w:t>
                  </w:r>
                  <w:r>
                    <w:rPr>
                      <w:rFonts w:hint="eastAsia"/>
                      <w:szCs w:val="21"/>
                    </w:rPr>
                    <w:t>非甲烷总烃有组织3</w:t>
                  </w:r>
                  <w:r>
                    <w:rPr>
                      <w:szCs w:val="21"/>
                    </w:rPr>
                    <w:t>0mg/m</w:t>
                  </w:r>
                  <w:r>
                    <w:rPr>
                      <w:szCs w:val="21"/>
                      <w:vertAlign w:val="superscript"/>
                    </w:rPr>
                    <w:t>3</w:t>
                  </w:r>
                  <w:r>
                    <w:rPr>
                      <w:rFonts w:hint="eastAsia"/>
                      <w:szCs w:val="21"/>
                    </w:rPr>
                    <w:t>的限值要求，《大气污染物综合排放标准》（GB16297-1996）表2二级非甲烷总烃有组织120mg/m</w:t>
                  </w:r>
                  <w:r>
                    <w:rPr>
                      <w:rFonts w:hint="eastAsia"/>
                      <w:szCs w:val="21"/>
                      <w:vertAlign w:val="superscript"/>
                    </w:rPr>
                    <w:t>3</w:t>
                  </w:r>
                  <w:r>
                    <w:rPr>
                      <w:rFonts w:hint="eastAsia"/>
                      <w:szCs w:val="21"/>
                    </w:rPr>
                    <w:t>、10kg/h（15m高排气筒）的限值要求</w:t>
                  </w:r>
                </w:p>
              </w:tc>
            </w:tr>
            <w:tr w14:paraId="520AC83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vMerge w:val="continue"/>
                  <w:tcMar>
                    <w:top w:w="0" w:type="dxa"/>
                    <w:left w:w="28" w:type="dxa"/>
                    <w:bottom w:w="0" w:type="dxa"/>
                    <w:right w:w="28" w:type="dxa"/>
                  </w:tcMar>
                  <w:vAlign w:val="center"/>
                </w:tcPr>
                <w:p w14:paraId="520AC830">
                  <w:pPr>
                    <w:autoSpaceDE w:val="0"/>
                    <w:autoSpaceDN w:val="0"/>
                    <w:adjustRightInd w:val="0"/>
                    <w:snapToGrid w:val="0"/>
                    <w:jc w:val="center"/>
                    <w:rPr>
                      <w:szCs w:val="21"/>
                      <w:highlight w:val="yellow"/>
                    </w:rPr>
                  </w:pPr>
                </w:p>
              </w:tc>
              <w:tc>
                <w:tcPr>
                  <w:tcW w:w="709" w:type="dxa"/>
                  <w:vMerge w:val="continue"/>
                  <w:tcMar>
                    <w:top w:w="0" w:type="dxa"/>
                    <w:left w:w="28" w:type="dxa"/>
                    <w:bottom w:w="0" w:type="dxa"/>
                    <w:right w:w="28" w:type="dxa"/>
                  </w:tcMar>
                  <w:vAlign w:val="center"/>
                </w:tcPr>
                <w:p w14:paraId="520AC831">
                  <w:pPr>
                    <w:autoSpaceDE w:val="0"/>
                    <w:autoSpaceDN w:val="0"/>
                    <w:adjustRightInd w:val="0"/>
                    <w:snapToGrid w:val="0"/>
                    <w:jc w:val="center"/>
                    <w:rPr>
                      <w:szCs w:val="21"/>
                      <w:highlight w:val="yellow"/>
                    </w:rPr>
                  </w:pPr>
                </w:p>
              </w:tc>
              <w:tc>
                <w:tcPr>
                  <w:tcW w:w="992" w:type="dxa"/>
                  <w:tcMar>
                    <w:top w:w="0" w:type="dxa"/>
                    <w:left w:w="28" w:type="dxa"/>
                    <w:bottom w:w="0" w:type="dxa"/>
                    <w:right w:w="28" w:type="dxa"/>
                  </w:tcMar>
                  <w:vAlign w:val="center"/>
                </w:tcPr>
                <w:p w14:paraId="520AC832">
                  <w:pPr>
                    <w:autoSpaceDE w:val="0"/>
                    <w:autoSpaceDN w:val="0"/>
                    <w:adjustRightInd w:val="0"/>
                    <w:snapToGrid w:val="0"/>
                    <w:jc w:val="center"/>
                    <w:rPr>
                      <w:szCs w:val="21"/>
                      <w:highlight w:val="yellow"/>
                    </w:rPr>
                  </w:pPr>
                  <w:r>
                    <w:rPr>
                      <w:szCs w:val="21"/>
                    </w:rPr>
                    <w:t>排气筒DA0</w:t>
                  </w:r>
                  <w:r>
                    <w:rPr>
                      <w:rFonts w:hint="eastAsia"/>
                      <w:szCs w:val="21"/>
                    </w:rPr>
                    <w:t>30</w:t>
                  </w:r>
                </w:p>
              </w:tc>
              <w:tc>
                <w:tcPr>
                  <w:tcW w:w="992" w:type="dxa"/>
                  <w:vMerge w:val="continue"/>
                  <w:tcMar>
                    <w:top w:w="0" w:type="dxa"/>
                    <w:left w:w="28" w:type="dxa"/>
                    <w:bottom w:w="0" w:type="dxa"/>
                    <w:right w:w="28" w:type="dxa"/>
                  </w:tcMar>
                  <w:vAlign w:val="center"/>
                </w:tcPr>
                <w:p w14:paraId="520AC833">
                  <w:pPr>
                    <w:autoSpaceDE w:val="0"/>
                    <w:autoSpaceDN w:val="0"/>
                    <w:adjustRightInd w:val="0"/>
                    <w:snapToGrid w:val="0"/>
                    <w:jc w:val="center"/>
                    <w:rPr>
                      <w:szCs w:val="21"/>
                      <w:highlight w:val="yellow"/>
                    </w:rPr>
                  </w:pPr>
                </w:p>
              </w:tc>
              <w:tc>
                <w:tcPr>
                  <w:tcW w:w="4841" w:type="dxa"/>
                  <w:vMerge w:val="continue"/>
                  <w:tcMar>
                    <w:top w:w="0" w:type="dxa"/>
                    <w:left w:w="28" w:type="dxa"/>
                    <w:bottom w:w="0" w:type="dxa"/>
                    <w:right w:w="28" w:type="dxa"/>
                  </w:tcMar>
                  <w:vAlign w:val="center"/>
                </w:tcPr>
                <w:p w14:paraId="520AC834">
                  <w:pPr>
                    <w:autoSpaceDE w:val="0"/>
                    <w:autoSpaceDN w:val="0"/>
                    <w:adjustRightInd w:val="0"/>
                    <w:snapToGrid w:val="0"/>
                    <w:jc w:val="center"/>
                    <w:rPr>
                      <w:szCs w:val="21"/>
                      <w:highlight w:val="yellow"/>
                    </w:rPr>
                  </w:pPr>
                </w:p>
              </w:tc>
            </w:tr>
            <w:tr w14:paraId="520AC83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35" w:type="dxa"/>
                  <w:gridSpan w:val="5"/>
                  <w:tcMar>
                    <w:top w:w="0" w:type="dxa"/>
                    <w:left w:w="28" w:type="dxa"/>
                    <w:bottom w:w="0" w:type="dxa"/>
                    <w:right w:w="28" w:type="dxa"/>
                  </w:tcMar>
                  <w:vAlign w:val="center"/>
                </w:tcPr>
                <w:p w14:paraId="520AC836">
                  <w:pPr>
                    <w:autoSpaceDE w:val="0"/>
                    <w:autoSpaceDN w:val="0"/>
                    <w:adjustRightInd w:val="0"/>
                    <w:snapToGrid w:val="0"/>
                    <w:jc w:val="center"/>
                    <w:rPr>
                      <w:szCs w:val="21"/>
                    </w:rPr>
                  </w:pPr>
                  <w:r>
                    <w:rPr>
                      <w:b/>
                      <w:szCs w:val="21"/>
                    </w:rPr>
                    <w:t>无组织废气</w:t>
                  </w:r>
                </w:p>
              </w:tc>
            </w:tr>
            <w:tr w14:paraId="520AC83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tcMar>
                    <w:top w:w="0" w:type="dxa"/>
                    <w:left w:w="28" w:type="dxa"/>
                    <w:bottom w:w="0" w:type="dxa"/>
                    <w:right w:w="28" w:type="dxa"/>
                  </w:tcMar>
                  <w:vAlign w:val="center"/>
                </w:tcPr>
                <w:p w14:paraId="520AC838">
                  <w:pPr>
                    <w:autoSpaceDE w:val="0"/>
                    <w:autoSpaceDN w:val="0"/>
                    <w:adjustRightInd w:val="0"/>
                    <w:snapToGrid w:val="0"/>
                    <w:jc w:val="center"/>
                    <w:rPr>
                      <w:szCs w:val="21"/>
                    </w:rPr>
                  </w:pPr>
                  <w:r>
                    <w:rPr>
                      <w:rFonts w:hint="eastAsia"/>
                      <w:szCs w:val="21"/>
                    </w:rPr>
                    <w:t>非甲烷总烃</w:t>
                  </w:r>
                </w:p>
              </w:tc>
              <w:tc>
                <w:tcPr>
                  <w:tcW w:w="709" w:type="dxa"/>
                  <w:tcMar>
                    <w:top w:w="0" w:type="dxa"/>
                    <w:left w:w="28" w:type="dxa"/>
                    <w:bottom w:w="0" w:type="dxa"/>
                    <w:right w:w="28" w:type="dxa"/>
                  </w:tcMar>
                  <w:vAlign w:val="center"/>
                </w:tcPr>
                <w:p w14:paraId="520AC839">
                  <w:pPr>
                    <w:autoSpaceDE w:val="0"/>
                    <w:autoSpaceDN w:val="0"/>
                    <w:adjustRightInd w:val="0"/>
                    <w:snapToGrid w:val="0"/>
                    <w:jc w:val="center"/>
                    <w:rPr>
                      <w:szCs w:val="21"/>
                    </w:rPr>
                  </w:pPr>
                  <w:r>
                    <w:rPr>
                      <w:szCs w:val="21"/>
                    </w:rPr>
                    <w:t>排放浓度</w:t>
                  </w:r>
                </w:p>
              </w:tc>
              <w:tc>
                <w:tcPr>
                  <w:tcW w:w="992" w:type="dxa"/>
                  <w:tcMar>
                    <w:top w:w="0" w:type="dxa"/>
                    <w:left w:w="28" w:type="dxa"/>
                    <w:bottom w:w="0" w:type="dxa"/>
                    <w:right w:w="28" w:type="dxa"/>
                  </w:tcMar>
                  <w:vAlign w:val="center"/>
                </w:tcPr>
                <w:p w14:paraId="520AC83A">
                  <w:pPr>
                    <w:autoSpaceDE w:val="0"/>
                    <w:autoSpaceDN w:val="0"/>
                    <w:adjustRightInd w:val="0"/>
                    <w:snapToGrid w:val="0"/>
                    <w:jc w:val="center"/>
                    <w:rPr>
                      <w:szCs w:val="21"/>
                    </w:rPr>
                  </w:pPr>
                  <w:r>
                    <w:rPr>
                      <w:szCs w:val="21"/>
                    </w:rPr>
                    <w:t>四周厂界</w:t>
                  </w:r>
                </w:p>
              </w:tc>
              <w:tc>
                <w:tcPr>
                  <w:tcW w:w="992" w:type="dxa"/>
                  <w:tcMar>
                    <w:top w:w="0" w:type="dxa"/>
                    <w:left w:w="28" w:type="dxa"/>
                    <w:bottom w:w="0" w:type="dxa"/>
                    <w:right w:w="28" w:type="dxa"/>
                  </w:tcMar>
                  <w:vAlign w:val="center"/>
                </w:tcPr>
                <w:p w14:paraId="520AC83B">
                  <w:pPr>
                    <w:autoSpaceDE w:val="0"/>
                    <w:autoSpaceDN w:val="0"/>
                    <w:adjustRightInd w:val="0"/>
                    <w:snapToGrid w:val="0"/>
                    <w:jc w:val="center"/>
                    <w:rPr>
                      <w:szCs w:val="21"/>
                    </w:rPr>
                  </w:pPr>
                  <w:r>
                    <w:rPr>
                      <w:rFonts w:hint="eastAsia"/>
                      <w:szCs w:val="21"/>
                    </w:rPr>
                    <w:t>1次/半年</w:t>
                  </w:r>
                </w:p>
              </w:tc>
              <w:tc>
                <w:tcPr>
                  <w:tcW w:w="4841" w:type="dxa"/>
                  <w:tcMar>
                    <w:top w:w="0" w:type="dxa"/>
                    <w:left w:w="28" w:type="dxa"/>
                    <w:bottom w:w="0" w:type="dxa"/>
                    <w:right w:w="28" w:type="dxa"/>
                  </w:tcMar>
                  <w:vAlign w:val="center"/>
                </w:tcPr>
                <w:p w14:paraId="520AC83C">
                  <w:pPr>
                    <w:autoSpaceDE w:val="0"/>
                    <w:autoSpaceDN w:val="0"/>
                    <w:adjustRightInd w:val="0"/>
                    <w:snapToGrid w:val="0"/>
                    <w:jc w:val="center"/>
                    <w:rPr>
                      <w:b/>
                      <w:szCs w:val="21"/>
                      <w:u w:val="single"/>
                    </w:rPr>
                  </w:pPr>
                  <w:r>
                    <w:rPr>
                      <w:rFonts w:hint="eastAsia"/>
                      <w:szCs w:val="21"/>
                    </w:rPr>
                    <w:t>《大气污染物综合排放标准》（GB16297-1996）表2二级</w:t>
                  </w:r>
                  <w:r>
                    <w:rPr>
                      <w:rFonts w:hint="eastAsia"/>
                      <w:bCs/>
                      <w:szCs w:val="21"/>
                    </w:rPr>
                    <w:t>非甲烷总烃无组织4</w:t>
                  </w:r>
                  <w:r>
                    <w:rPr>
                      <w:bCs/>
                      <w:szCs w:val="21"/>
                    </w:rPr>
                    <w:t>mg/m</w:t>
                  </w:r>
                  <w:r>
                    <w:rPr>
                      <w:bCs/>
                      <w:szCs w:val="21"/>
                      <w:vertAlign w:val="superscript"/>
                    </w:rPr>
                    <w:t>3</w:t>
                  </w:r>
                  <w:r>
                    <w:rPr>
                      <w:rFonts w:hint="eastAsia"/>
                      <w:szCs w:val="21"/>
                    </w:rPr>
                    <w:t>的限值要求、《关于全省开展工业企业挥发性有机物专项治理工作中排放建议值的通知》（豫环攻坚办[2017]162号）附件2-其他企业边界非甲烷总烃2mg/m</w:t>
                  </w:r>
                  <w:r>
                    <w:rPr>
                      <w:rFonts w:hint="eastAsia"/>
                      <w:szCs w:val="21"/>
                      <w:vertAlign w:val="superscript"/>
                    </w:rPr>
                    <w:t>3</w:t>
                  </w:r>
                  <w:r>
                    <w:rPr>
                      <w:rFonts w:hint="eastAsia"/>
                      <w:szCs w:val="21"/>
                    </w:rPr>
                    <w:t>的限值要求</w:t>
                  </w:r>
                </w:p>
              </w:tc>
            </w:tr>
            <w:tr w14:paraId="538F312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35" w:type="dxa"/>
                  <w:gridSpan w:val="5"/>
                  <w:tcMar>
                    <w:top w:w="0" w:type="dxa"/>
                    <w:left w:w="28" w:type="dxa"/>
                    <w:bottom w:w="0" w:type="dxa"/>
                    <w:right w:w="28" w:type="dxa"/>
                  </w:tcMar>
                  <w:vAlign w:val="center"/>
                </w:tcPr>
                <w:p w14:paraId="4F964984">
                  <w:pPr>
                    <w:autoSpaceDE w:val="0"/>
                    <w:autoSpaceDN w:val="0"/>
                    <w:adjustRightInd w:val="0"/>
                    <w:snapToGrid w:val="0"/>
                    <w:jc w:val="center"/>
                    <w:rPr>
                      <w:szCs w:val="21"/>
                    </w:rPr>
                  </w:pPr>
                  <w:r>
                    <w:rPr>
                      <w:rFonts w:hint="eastAsia"/>
                      <w:b/>
                      <w:szCs w:val="21"/>
                    </w:rPr>
                    <w:t>解放路厂区</w:t>
                  </w:r>
                </w:p>
              </w:tc>
            </w:tr>
            <w:tr w14:paraId="41557F5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35" w:type="dxa"/>
                  <w:gridSpan w:val="5"/>
                  <w:tcMar>
                    <w:top w:w="0" w:type="dxa"/>
                    <w:left w:w="28" w:type="dxa"/>
                    <w:bottom w:w="0" w:type="dxa"/>
                    <w:right w:w="28" w:type="dxa"/>
                  </w:tcMar>
                  <w:vAlign w:val="center"/>
                </w:tcPr>
                <w:p w14:paraId="418C6041">
                  <w:pPr>
                    <w:autoSpaceDE w:val="0"/>
                    <w:autoSpaceDN w:val="0"/>
                    <w:adjustRightInd w:val="0"/>
                    <w:snapToGrid w:val="0"/>
                    <w:jc w:val="center"/>
                    <w:rPr>
                      <w:szCs w:val="21"/>
                    </w:rPr>
                  </w:pPr>
                  <w:r>
                    <w:rPr>
                      <w:b/>
                      <w:szCs w:val="21"/>
                    </w:rPr>
                    <w:t>有组织废气</w:t>
                  </w:r>
                </w:p>
              </w:tc>
            </w:tr>
            <w:tr w14:paraId="5F520C7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tcMar>
                    <w:top w:w="0" w:type="dxa"/>
                    <w:left w:w="28" w:type="dxa"/>
                    <w:bottom w:w="0" w:type="dxa"/>
                    <w:right w:w="28" w:type="dxa"/>
                  </w:tcMar>
                  <w:vAlign w:val="center"/>
                </w:tcPr>
                <w:p w14:paraId="7900C2CA">
                  <w:pPr>
                    <w:autoSpaceDE w:val="0"/>
                    <w:autoSpaceDN w:val="0"/>
                    <w:adjustRightInd w:val="0"/>
                    <w:snapToGrid w:val="0"/>
                    <w:jc w:val="center"/>
                    <w:rPr>
                      <w:szCs w:val="21"/>
                    </w:rPr>
                  </w:pPr>
                  <w:r>
                    <w:rPr>
                      <w:rFonts w:hint="eastAsia"/>
                      <w:szCs w:val="21"/>
                      <w:lang w:val="pt-BR"/>
                    </w:rPr>
                    <w:t>非甲烷总烃</w:t>
                  </w:r>
                </w:p>
              </w:tc>
              <w:tc>
                <w:tcPr>
                  <w:tcW w:w="709" w:type="dxa"/>
                  <w:vMerge w:val="restart"/>
                  <w:tcMar>
                    <w:top w:w="0" w:type="dxa"/>
                    <w:left w:w="28" w:type="dxa"/>
                    <w:bottom w:w="0" w:type="dxa"/>
                    <w:right w:w="28" w:type="dxa"/>
                  </w:tcMar>
                  <w:vAlign w:val="center"/>
                </w:tcPr>
                <w:p w14:paraId="2D3DB300">
                  <w:pPr>
                    <w:autoSpaceDE w:val="0"/>
                    <w:autoSpaceDN w:val="0"/>
                    <w:adjustRightInd w:val="0"/>
                    <w:snapToGrid w:val="0"/>
                    <w:jc w:val="center"/>
                    <w:rPr>
                      <w:szCs w:val="21"/>
                    </w:rPr>
                  </w:pPr>
                  <w:r>
                    <w:rPr>
                      <w:szCs w:val="21"/>
                    </w:rPr>
                    <w:t>浓度、速率、废气量</w:t>
                  </w:r>
                </w:p>
              </w:tc>
              <w:tc>
                <w:tcPr>
                  <w:tcW w:w="992" w:type="dxa"/>
                  <w:vMerge w:val="restart"/>
                  <w:tcMar>
                    <w:top w:w="0" w:type="dxa"/>
                    <w:left w:w="28" w:type="dxa"/>
                    <w:bottom w:w="0" w:type="dxa"/>
                    <w:right w:w="28" w:type="dxa"/>
                  </w:tcMar>
                  <w:vAlign w:val="center"/>
                </w:tcPr>
                <w:p w14:paraId="3308C4F8">
                  <w:pPr>
                    <w:autoSpaceDE w:val="0"/>
                    <w:autoSpaceDN w:val="0"/>
                    <w:adjustRightInd w:val="0"/>
                    <w:snapToGrid w:val="0"/>
                    <w:jc w:val="center"/>
                    <w:rPr>
                      <w:szCs w:val="21"/>
                    </w:rPr>
                  </w:pPr>
                  <w:r>
                    <w:rPr>
                      <w:szCs w:val="21"/>
                    </w:rPr>
                    <w:t>排气筒DA0</w:t>
                  </w:r>
                  <w:r>
                    <w:rPr>
                      <w:rFonts w:hint="eastAsia"/>
                      <w:szCs w:val="21"/>
                    </w:rPr>
                    <w:t>19</w:t>
                  </w:r>
                </w:p>
              </w:tc>
              <w:tc>
                <w:tcPr>
                  <w:tcW w:w="992" w:type="dxa"/>
                  <w:tcMar>
                    <w:top w:w="0" w:type="dxa"/>
                    <w:left w:w="28" w:type="dxa"/>
                    <w:bottom w:w="0" w:type="dxa"/>
                    <w:right w:w="28" w:type="dxa"/>
                  </w:tcMar>
                  <w:vAlign w:val="center"/>
                </w:tcPr>
                <w:p w14:paraId="727919E2">
                  <w:pPr>
                    <w:autoSpaceDE w:val="0"/>
                    <w:autoSpaceDN w:val="0"/>
                    <w:adjustRightInd w:val="0"/>
                    <w:snapToGrid w:val="0"/>
                    <w:jc w:val="center"/>
                    <w:rPr>
                      <w:szCs w:val="21"/>
                    </w:rPr>
                  </w:pPr>
                  <w:r>
                    <w:rPr>
                      <w:rFonts w:hint="eastAsia"/>
                      <w:szCs w:val="21"/>
                    </w:rPr>
                    <w:t>1次/半年</w:t>
                  </w:r>
                </w:p>
              </w:tc>
              <w:tc>
                <w:tcPr>
                  <w:tcW w:w="4841" w:type="dxa"/>
                  <w:tcMar>
                    <w:top w:w="0" w:type="dxa"/>
                    <w:left w:w="28" w:type="dxa"/>
                    <w:bottom w:w="0" w:type="dxa"/>
                    <w:right w:w="28" w:type="dxa"/>
                  </w:tcMar>
                  <w:vAlign w:val="center"/>
                </w:tcPr>
                <w:p w14:paraId="2AE2F15B">
                  <w:pPr>
                    <w:autoSpaceDE w:val="0"/>
                    <w:autoSpaceDN w:val="0"/>
                    <w:adjustRightInd w:val="0"/>
                    <w:snapToGrid w:val="0"/>
                    <w:jc w:val="center"/>
                    <w:rPr>
                      <w:szCs w:val="21"/>
                    </w:rPr>
                  </w:pPr>
                  <w:r>
                    <w:rPr>
                      <w:rFonts w:hint="eastAsia"/>
                      <w:szCs w:val="21"/>
                    </w:rPr>
                    <w:t>《橡胶制品工业污染物排放标准》（GB27632-2011）中非甲烷总烃10</w:t>
                  </w:r>
                  <w:r>
                    <w:rPr>
                      <w:szCs w:val="21"/>
                    </w:rPr>
                    <w:t>mg/m</w:t>
                  </w:r>
                  <w:r>
                    <w:rPr>
                      <w:szCs w:val="21"/>
                      <w:vertAlign w:val="superscript"/>
                    </w:rPr>
                    <w:t>3</w:t>
                  </w:r>
                  <w:r>
                    <w:rPr>
                      <w:rFonts w:hint="eastAsia"/>
                      <w:szCs w:val="21"/>
                    </w:rPr>
                    <w:t>及</w:t>
                  </w:r>
                  <w:r>
                    <w:rPr>
                      <w:rFonts w:hint="eastAsia"/>
                      <w:bCs/>
                      <w:szCs w:val="21"/>
                    </w:rPr>
                    <w:t>基准排气量2000m</w:t>
                  </w:r>
                  <w:r>
                    <w:rPr>
                      <w:rFonts w:hint="eastAsia"/>
                      <w:bCs/>
                      <w:szCs w:val="21"/>
                      <w:vertAlign w:val="superscript"/>
                    </w:rPr>
                    <w:t>3</w:t>
                  </w:r>
                  <w:r>
                    <w:rPr>
                      <w:rFonts w:hint="eastAsia"/>
                      <w:bCs/>
                      <w:szCs w:val="21"/>
                    </w:rPr>
                    <w:t>/t胶</w:t>
                  </w:r>
                  <w:r>
                    <w:rPr>
                      <w:rFonts w:hint="eastAsia"/>
                      <w:szCs w:val="21"/>
                    </w:rPr>
                    <w:t>的标准限值要求</w:t>
                  </w:r>
                </w:p>
              </w:tc>
            </w:tr>
            <w:tr w14:paraId="3A5092D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tcMar>
                    <w:top w:w="0" w:type="dxa"/>
                    <w:left w:w="28" w:type="dxa"/>
                    <w:bottom w:w="0" w:type="dxa"/>
                    <w:right w:w="28" w:type="dxa"/>
                  </w:tcMar>
                  <w:vAlign w:val="center"/>
                </w:tcPr>
                <w:p w14:paraId="63561E22">
                  <w:pPr>
                    <w:autoSpaceDE w:val="0"/>
                    <w:autoSpaceDN w:val="0"/>
                    <w:adjustRightInd w:val="0"/>
                    <w:snapToGrid w:val="0"/>
                    <w:jc w:val="center"/>
                    <w:rPr>
                      <w:szCs w:val="21"/>
                    </w:rPr>
                  </w:pPr>
                  <w:r>
                    <w:rPr>
                      <w:rFonts w:hint="eastAsia"/>
                      <w:szCs w:val="21"/>
                      <w:lang w:val="pt-BR"/>
                    </w:rPr>
                    <w:t>硫化氢</w:t>
                  </w:r>
                </w:p>
              </w:tc>
              <w:tc>
                <w:tcPr>
                  <w:tcW w:w="709" w:type="dxa"/>
                  <w:vMerge w:val="continue"/>
                  <w:tcMar>
                    <w:top w:w="0" w:type="dxa"/>
                    <w:left w:w="28" w:type="dxa"/>
                    <w:bottom w:w="0" w:type="dxa"/>
                    <w:right w:w="28" w:type="dxa"/>
                  </w:tcMar>
                  <w:vAlign w:val="center"/>
                </w:tcPr>
                <w:p w14:paraId="79CEE60D">
                  <w:pPr>
                    <w:autoSpaceDE w:val="0"/>
                    <w:autoSpaceDN w:val="0"/>
                    <w:adjustRightInd w:val="0"/>
                    <w:snapToGrid w:val="0"/>
                    <w:jc w:val="center"/>
                    <w:rPr>
                      <w:szCs w:val="21"/>
                    </w:rPr>
                  </w:pPr>
                </w:p>
              </w:tc>
              <w:tc>
                <w:tcPr>
                  <w:tcW w:w="992" w:type="dxa"/>
                  <w:vMerge w:val="continue"/>
                  <w:tcMar>
                    <w:top w:w="0" w:type="dxa"/>
                    <w:left w:w="28" w:type="dxa"/>
                    <w:bottom w:w="0" w:type="dxa"/>
                    <w:right w:w="28" w:type="dxa"/>
                  </w:tcMar>
                  <w:vAlign w:val="center"/>
                </w:tcPr>
                <w:p w14:paraId="115C698D">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2149FE32">
                  <w:pPr>
                    <w:autoSpaceDE w:val="0"/>
                    <w:autoSpaceDN w:val="0"/>
                    <w:adjustRightInd w:val="0"/>
                    <w:snapToGrid w:val="0"/>
                    <w:jc w:val="center"/>
                    <w:rPr>
                      <w:szCs w:val="21"/>
                    </w:rPr>
                  </w:pPr>
                  <w:r>
                    <w:rPr>
                      <w:rFonts w:hint="eastAsia"/>
                      <w:szCs w:val="21"/>
                    </w:rPr>
                    <w:t>1次/年</w:t>
                  </w:r>
                </w:p>
              </w:tc>
              <w:tc>
                <w:tcPr>
                  <w:tcW w:w="4841" w:type="dxa"/>
                  <w:tcMar>
                    <w:top w:w="0" w:type="dxa"/>
                    <w:left w:w="28" w:type="dxa"/>
                    <w:bottom w:w="0" w:type="dxa"/>
                    <w:right w:w="28" w:type="dxa"/>
                  </w:tcMar>
                  <w:vAlign w:val="center"/>
                </w:tcPr>
                <w:p w14:paraId="2EA991F1">
                  <w:pPr>
                    <w:autoSpaceDE w:val="0"/>
                    <w:autoSpaceDN w:val="0"/>
                    <w:adjustRightInd w:val="0"/>
                    <w:snapToGrid w:val="0"/>
                    <w:jc w:val="center"/>
                    <w:rPr>
                      <w:szCs w:val="21"/>
                    </w:rPr>
                  </w:pPr>
                  <w:r>
                    <w:rPr>
                      <w:rFonts w:hint="eastAsia"/>
                      <w:bCs/>
                      <w:szCs w:val="21"/>
                    </w:rPr>
                    <w:t>《恶臭污染物排放标准》（GB 14554-93）表2 0.33</w:t>
                  </w:r>
                  <w:r>
                    <w:rPr>
                      <w:bCs/>
                      <w:szCs w:val="21"/>
                    </w:rPr>
                    <w:t>kg/h</w:t>
                  </w:r>
                  <w:r>
                    <w:rPr>
                      <w:rFonts w:hint="eastAsia"/>
                      <w:bCs/>
                      <w:szCs w:val="21"/>
                    </w:rPr>
                    <w:t>的限值要求</w:t>
                  </w:r>
                </w:p>
              </w:tc>
            </w:tr>
            <w:tr w14:paraId="431444C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tcMar>
                    <w:top w:w="0" w:type="dxa"/>
                    <w:left w:w="28" w:type="dxa"/>
                    <w:bottom w:w="0" w:type="dxa"/>
                    <w:right w:w="28" w:type="dxa"/>
                  </w:tcMar>
                  <w:vAlign w:val="center"/>
                </w:tcPr>
                <w:p w14:paraId="4444A247">
                  <w:pPr>
                    <w:autoSpaceDE w:val="0"/>
                    <w:autoSpaceDN w:val="0"/>
                    <w:adjustRightInd w:val="0"/>
                    <w:snapToGrid w:val="0"/>
                    <w:jc w:val="center"/>
                    <w:rPr>
                      <w:szCs w:val="21"/>
                      <w:lang w:val="pt-BR"/>
                    </w:rPr>
                  </w:pPr>
                  <w:r>
                    <w:rPr>
                      <w:rFonts w:hint="eastAsia"/>
                      <w:szCs w:val="21"/>
                      <w:lang w:val="pt-BR"/>
                    </w:rPr>
                    <w:t>臭气浓度</w:t>
                  </w:r>
                </w:p>
              </w:tc>
              <w:tc>
                <w:tcPr>
                  <w:tcW w:w="709" w:type="dxa"/>
                  <w:vMerge w:val="continue"/>
                  <w:tcMar>
                    <w:top w:w="0" w:type="dxa"/>
                    <w:left w:w="28" w:type="dxa"/>
                    <w:bottom w:w="0" w:type="dxa"/>
                    <w:right w:w="28" w:type="dxa"/>
                  </w:tcMar>
                  <w:vAlign w:val="center"/>
                </w:tcPr>
                <w:p w14:paraId="1812552A">
                  <w:pPr>
                    <w:autoSpaceDE w:val="0"/>
                    <w:autoSpaceDN w:val="0"/>
                    <w:adjustRightInd w:val="0"/>
                    <w:snapToGrid w:val="0"/>
                    <w:jc w:val="center"/>
                    <w:rPr>
                      <w:szCs w:val="21"/>
                    </w:rPr>
                  </w:pPr>
                </w:p>
              </w:tc>
              <w:tc>
                <w:tcPr>
                  <w:tcW w:w="992" w:type="dxa"/>
                  <w:vMerge w:val="continue"/>
                  <w:tcMar>
                    <w:top w:w="0" w:type="dxa"/>
                    <w:left w:w="28" w:type="dxa"/>
                    <w:bottom w:w="0" w:type="dxa"/>
                    <w:right w:w="28" w:type="dxa"/>
                  </w:tcMar>
                  <w:vAlign w:val="center"/>
                </w:tcPr>
                <w:p w14:paraId="1259D7CB">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1BB84EAE">
                  <w:pPr>
                    <w:autoSpaceDE w:val="0"/>
                    <w:autoSpaceDN w:val="0"/>
                    <w:adjustRightInd w:val="0"/>
                    <w:snapToGrid w:val="0"/>
                    <w:jc w:val="center"/>
                    <w:rPr>
                      <w:szCs w:val="21"/>
                    </w:rPr>
                  </w:pPr>
                  <w:r>
                    <w:rPr>
                      <w:rFonts w:hint="eastAsia"/>
                      <w:szCs w:val="21"/>
                    </w:rPr>
                    <w:t>1次/年</w:t>
                  </w:r>
                </w:p>
              </w:tc>
              <w:tc>
                <w:tcPr>
                  <w:tcW w:w="4841" w:type="dxa"/>
                  <w:tcMar>
                    <w:top w:w="0" w:type="dxa"/>
                    <w:left w:w="28" w:type="dxa"/>
                    <w:bottom w:w="0" w:type="dxa"/>
                    <w:right w:w="28" w:type="dxa"/>
                  </w:tcMar>
                  <w:vAlign w:val="center"/>
                </w:tcPr>
                <w:p w14:paraId="08AF2B14">
                  <w:pPr>
                    <w:autoSpaceDE w:val="0"/>
                    <w:autoSpaceDN w:val="0"/>
                    <w:adjustRightInd w:val="0"/>
                    <w:snapToGrid w:val="0"/>
                    <w:jc w:val="center"/>
                    <w:rPr>
                      <w:bCs/>
                      <w:szCs w:val="21"/>
                    </w:rPr>
                  </w:pPr>
                  <w:r>
                    <w:rPr>
                      <w:rFonts w:hint="eastAsia"/>
                      <w:bCs/>
                      <w:szCs w:val="21"/>
                    </w:rPr>
                    <w:t>《恶臭污染物排放标准》（GB 14554-93）表2 2000（无量纲）的限值要求</w:t>
                  </w:r>
                </w:p>
              </w:tc>
            </w:tr>
            <w:tr w14:paraId="3830477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tcMar>
                    <w:top w:w="0" w:type="dxa"/>
                    <w:left w:w="28" w:type="dxa"/>
                    <w:bottom w:w="0" w:type="dxa"/>
                    <w:right w:w="28" w:type="dxa"/>
                  </w:tcMar>
                  <w:vAlign w:val="center"/>
                </w:tcPr>
                <w:p w14:paraId="56CD85A6">
                  <w:pPr>
                    <w:autoSpaceDE w:val="0"/>
                    <w:autoSpaceDN w:val="0"/>
                    <w:adjustRightInd w:val="0"/>
                    <w:snapToGrid w:val="0"/>
                    <w:jc w:val="center"/>
                    <w:rPr>
                      <w:szCs w:val="21"/>
                    </w:rPr>
                  </w:pPr>
                  <w:r>
                    <w:rPr>
                      <w:rFonts w:hint="eastAsia"/>
                      <w:szCs w:val="21"/>
                    </w:rPr>
                    <w:t>SO</w:t>
                  </w:r>
                  <w:r>
                    <w:rPr>
                      <w:rFonts w:hint="eastAsia"/>
                      <w:szCs w:val="21"/>
                      <w:vertAlign w:val="subscript"/>
                    </w:rPr>
                    <w:t>2</w:t>
                  </w:r>
                </w:p>
              </w:tc>
              <w:tc>
                <w:tcPr>
                  <w:tcW w:w="709" w:type="dxa"/>
                  <w:vMerge w:val="continue"/>
                  <w:tcMar>
                    <w:top w:w="0" w:type="dxa"/>
                    <w:left w:w="28" w:type="dxa"/>
                    <w:bottom w:w="0" w:type="dxa"/>
                    <w:right w:w="28" w:type="dxa"/>
                  </w:tcMar>
                  <w:vAlign w:val="center"/>
                </w:tcPr>
                <w:p w14:paraId="258D1603">
                  <w:pPr>
                    <w:autoSpaceDE w:val="0"/>
                    <w:autoSpaceDN w:val="0"/>
                    <w:adjustRightInd w:val="0"/>
                    <w:snapToGrid w:val="0"/>
                    <w:jc w:val="center"/>
                    <w:rPr>
                      <w:szCs w:val="21"/>
                    </w:rPr>
                  </w:pPr>
                </w:p>
              </w:tc>
              <w:tc>
                <w:tcPr>
                  <w:tcW w:w="992" w:type="dxa"/>
                  <w:vMerge w:val="continue"/>
                  <w:tcMar>
                    <w:top w:w="0" w:type="dxa"/>
                    <w:left w:w="28" w:type="dxa"/>
                    <w:bottom w:w="0" w:type="dxa"/>
                    <w:right w:w="28" w:type="dxa"/>
                  </w:tcMar>
                  <w:vAlign w:val="center"/>
                </w:tcPr>
                <w:p w14:paraId="3092295D">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72499811">
                  <w:pPr>
                    <w:autoSpaceDE w:val="0"/>
                    <w:autoSpaceDN w:val="0"/>
                    <w:adjustRightInd w:val="0"/>
                    <w:snapToGrid w:val="0"/>
                    <w:jc w:val="center"/>
                    <w:rPr>
                      <w:szCs w:val="21"/>
                    </w:rPr>
                  </w:pPr>
                  <w:r>
                    <w:rPr>
                      <w:rFonts w:hint="eastAsia"/>
                      <w:szCs w:val="21"/>
                    </w:rPr>
                    <w:t>1次/年</w:t>
                  </w:r>
                </w:p>
              </w:tc>
              <w:tc>
                <w:tcPr>
                  <w:tcW w:w="4841" w:type="dxa"/>
                  <w:tcMar>
                    <w:top w:w="0" w:type="dxa"/>
                    <w:left w:w="28" w:type="dxa"/>
                    <w:bottom w:w="0" w:type="dxa"/>
                    <w:right w:w="28" w:type="dxa"/>
                  </w:tcMar>
                  <w:vAlign w:val="center"/>
                </w:tcPr>
                <w:p w14:paraId="0C5BC8BA">
                  <w:pPr>
                    <w:autoSpaceDE w:val="0"/>
                    <w:autoSpaceDN w:val="0"/>
                    <w:adjustRightInd w:val="0"/>
                    <w:snapToGrid w:val="0"/>
                    <w:jc w:val="center"/>
                    <w:rPr>
                      <w:szCs w:val="21"/>
                    </w:rPr>
                  </w:pPr>
                  <w:r>
                    <w:rPr>
                      <w:rFonts w:hint="eastAsia"/>
                      <w:szCs w:val="21"/>
                    </w:rPr>
                    <w:t>《大气污染物综合排放标准》（GB16297-1996）表2二级</w:t>
                  </w:r>
                  <w:r>
                    <w:rPr>
                      <w:rFonts w:hint="eastAsia"/>
                      <w:bCs/>
                      <w:szCs w:val="21"/>
                    </w:rPr>
                    <w:t>SO</w:t>
                  </w:r>
                  <w:r>
                    <w:rPr>
                      <w:rFonts w:hint="eastAsia"/>
                      <w:bCs/>
                      <w:szCs w:val="21"/>
                      <w:vertAlign w:val="subscript"/>
                    </w:rPr>
                    <w:t>2</w:t>
                  </w:r>
                  <w:r>
                    <w:rPr>
                      <w:rFonts w:hint="eastAsia"/>
                      <w:bCs/>
                      <w:szCs w:val="21"/>
                    </w:rPr>
                    <w:t xml:space="preserve"> 550mg/m</w:t>
                  </w:r>
                  <w:r>
                    <w:rPr>
                      <w:rFonts w:hint="eastAsia"/>
                      <w:bCs/>
                      <w:szCs w:val="21"/>
                      <w:vertAlign w:val="superscript"/>
                    </w:rPr>
                    <w:t>3</w:t>
                  </w:r>
                  <w:r>
                    <w:rPr>
                      <w:rFonts w:hint="eastAsia"/>
                      <w:szCs w:val="21"/>
                    </w:rPr>
                    <w:t>的标准限值要求，同时</w:t>
                  </w:r>
                  <w:r>
                    <w:rPr>
                      <w:bCs/>
                      <w:szCs w:val="21"/>
                    </w:rPr>
                    <w:t>能够满足</w:t>
                  </w:r>
                  <w:r>
                    <w:rPr>
                      <w:rFonts w:hint="eastAsia"/>
                      <w:bCs/>
                      <w:szCs w:val="21"/>
                    </w:rPr>
                    <w:t>《新乡市环境污染防治攻坚指挥部办公室关于规范焚烧炉正常运行的环保管理意见》废气焚烧炉（SO</w:t>
                  </w:r>
                  <w:r>
                    <w:rPr>
                      <w:rFonts w:hint="eastAsia"/>
                      <w:bCs/>
                      <w:szCs w:val="21"/>
                      <w:vertAlign w:val="subscript"/>
                    </w:rPr>
                    <w:t>2</w:t>
                  </w:r>
                  <w:r>
                    <w:rPr>
                      <w:rFonts w:hint="eastAsia"/>
                      <w:bCs/>
                      <w:szCs w:val="21"/>
                    </w:rPr>
                    <w:t xml:space="preserve"> 20mg/m</w:t>
                  </w:r>
                  <w:r>
                    <w:rPr>
                      <w:rFonts w:hint="eastAsia"/>
                      <w:bCs/>
                      <w:szCs w:val="21"/>
                      <w:vertAlign w:val="superscript"/>
                    </w:rPr>
                    <w:t>3</w:t>
                  </w:r>
                  <w:r>
                    <w:rPr>
                      <w:rFonts w:hint="eastAsia"/>
                      <w:bCs/>
                      <w:szCs w:val="21"/>
                    </w:rPr>
                    <w:t>）的限值要求</w:t>
                  </w:r>
                </w:p>
              </w:tc>
            </w:tr>
            <w:tr w14:paraId="17CD406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35" w:type="dxa"/>
                  <w:gridSpan w:val="5"/>
                  <w:tcMar>
                    <w:top w:w="0" w:type="dxa"/>
                    <w:left w:w="28" w:type="dxa"/>
                    <w:bottom w:w="0" w:type="dxa"/>
                    <w:right w:w="28" w:type="dxa"/>
                  </w:tcMar>
                  <w:vAlign w:val="center"/>
                </w:tcPr>
                <w:p w14:paraId="54107E61">
                  <w:pPr>
                    <w:autoSpaceDE w:val="0"/>
                    <w:autoSpaceDN w:val="0"/>
                    <w:adjustRightInd w:val="0"/>
                    <w:snapToGrid w:val="0"/>
                    <w:jc w:val="center"/>
                    <w:rPr>
                      <w:szCs w:val="21"/>
                    </w:rPr>
                  </w:pPr>
                  <w:r>
                    <w:rPr>
                      <w:rFonts w:hint="eastAsia"/>
                      <w:b/>
                      <w:szCs w:val="21"/>
                    </w:rPr>
                    <w:t>无</w:t>
                  </w:r>
                  <w:r>
                    <w:rPr>
                      <w:b/>
                      <w:szCs w:val="21"/>
                    </w:rPr>
                    <w:t>组织废气</w:t>
                  </w:r>
                </w:p>
              </w:tc>
            </w:tr>
            <w:tr w14:paraId="7BC035E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tcMar>
                    <w:top w:w="0" w:type="dxa"/>
                    <w:left w:w="28" w:type="dxa"/>
                    <w:bottom w:w="0" w:type="dxa"/>
                    <w:right w:w="28" w:type="dxa"/>
                  </w:tcMar>
                  <w:vAlign w:val="center"/>
                </w:tcPr>
                <w:p w14:paraId="6C1C2520">
                  <w:pPr>
                    <w:autoSpaceDE w:val="0"/>
                    <w:autoSpaceDN w:val="0"/>
                    <w:adjustRightInd w:val="0"/>
                    <w:snapToGrid w:val="0"/>
                    <w:jc w:val="center"/>
                    <w:rPr>
                      <w:szCs w:val="21"/>
                    </w:rPr>
                  </w:pPr>
                  <w:r>
                    <w:rPr>
                      <w:rFonts w:hint="eastAsia"/>
                      <w:szCs w:val="21"/>
                      <w:lang w:val="pt-BR"/>
                    </w:rPr>
                    <w:t>非甲烷总烃</w:t>
                  </w:r>
                </w:p>
              </w:tc>
              <w:tc>
                <w:tcPr>
                  <w:tcW w:w="709" w:type="dxa"/>
                  <w:vMerge w:val="restart"/>
                  <w:tcMar>
                    <w:top w:w="0" w:type="dxa"/>
                    <w:left w:w="28" w:type="dxa"/>
                    <w:bottom w:w="0" w:type="dxa"/>
                    <w:right w:w="28" w:type="dxa"/>
                  </w:tcMar>
                  <w:vAlign w:val="center"/>
                </w:tcPr>
                <w:p w14:paraId="0EC91B56">
                  <w:pPr>
                    <w:autoSpaceDE w:val="0"/>
                    <w:autoSpaceDN w:val="0"/>
                    <w:adjustRightInd w:val="0"/>
                    <w:snapToGrid w:val="0"/>
                    <w:jc w:val="center"/>
                    <w:rPr>
                      <w:szCs w:val="21"/>
                    </w:rPr>
                  </w:pPr>
                  <w:r>
                    <w:rPr>
                      <w:szCs w:val="21"/>
                    </w:rPr>
                    <w:t>排放浓度</w:t>
                  </w:r>
                </w:p>
              </w:tc>
              <w:tc>
                <w:tcPr>
                  <w:tcW w:w="992" w:type="dxa"/>
                  <w:vMerge w:val="restart"/>
                  <w:tcMar>
                    <w:top w:w="0" w:type="dxa"/>
                    <w:left w:w="28" w:type="dxa"/>
                    <w:bottom w:w="0" w:type="dxa"/>
                    <w:right w:w="28" w:type="dxa"/>
                  </w:tcMar>
                  <w:vAlign w:val="center"/>
                </w:tcPr>
                <w:p w14:paraId="542A7C7F">
                  <w:pPr>
                    <w:autoSpaceDE w:val="0"/>
                    <w:autoSpaceDN w:val="0"/>
                    <w:adjustRightInd w:val="0"/>
                    <w:snapToGrid w:val="0"/>
                    <w:jc w:val="center"/>
                    <w:rPr>
                      <w:szCs w:val="21"/>
                    </w:rPr>
                  </w:pPr>
                  <w:r>
                    <w:rPr>
                      <w:szCs w:val="21"/>
                    </w:rPr>
                    <w:t>四周厂界</w:t>
                  </w:r>
                </w:p>
              </w:tc>
              <w:tc>
                <w:tcPr>
                  <w:tcW w:w="992" w:type="dxa"/>
                  <w:tcMar>
                    <w:top w:w="0" w:type="dxa"/>
                    <w:left w:w="28" w:type="dxa"/>
                    <w:bottom w:w="0" w:type="dxa"/>
                    <w:right w:w="28" w:type="dxa"/>
                  </w:tcMar>
                  <w:vAlign w:val="center"/>
                </w:tcPr>
                <w:p w14:paraId="7CF6EE32">
                  <w:pPr>
                    <w:autoSpaceDE w:val="0"/>
                    <w:autoSpaceDN w:val="0"/>
                    <w:adjustRightInd w:val="0"/>
                    <w:snapToGrid w:val="0"/>
                    <w:jc w:val="center"/>
                    <w:rPr>
                      <w:szCs w:val="21"/>
                    </w:rPr>
                  </w:pPr>
                  <w:r>
                    <w:rPr>
                      <w:rFonts w:hint="eastAsia"/>
                      <w:szCs w:val="21"/>
                    </w:rPr>
                    <w:t>1次/年</w:t>
                  </w:r>
                </w:p>
              </w:tc>
              <w:tc>
                <w:tcPr>
                  <w:tcW w:w="4841" w:type="dxa"/>
                  <w:tcMar>
                    <w:top w:w="0" w:type="dxa"/>
                    <w:left w:w="28" w:type="dxa"/>
                    <w:bottom w:w="0" w:type="dxa"/>
                    <w:right w:w="28" w:type="dxa"/>
                  </w:tcMar>
                  <w:vAlign w:val="center"/>
                </w:tcPr>
                <w:p w14:paraId="281D011B">
                  <w:pPr>
                    <w:autoSpaceDE w:val="0"/>
                    <w:autoSpaceDN w:val="0"/>
                    <w:adjustRightInd w:val="0"/>
                    <w:snapToGrid w:val="0"/>
                    <w:jc w:val="center"/>
                    <w:rPr>
                      <w:szCs w:val="21"/>
                    </w:rPr>
                  </w:pPr>
                  <w:r>
                    <w:rPr>
                      <w:rFonts w:hint="eastAsia"/>
                      <w:szCs w:val="21"/>
                    </w:rPr>
                    <w:t>《橡胶制品工业污染物排放标准》（GB27632-2011）中</w:t>
                  </w:r>
                  <w:r>
                    <w:rPr>
                      <w:rFonts w:hint="eastAsia"/>
                      <w:bCs/>
                      <w:szCs w:val="21"/>
                    </w:rPr>
                    <w:t>非甲烷总烃无组织4</w:t>
                  </w:r>
                  <w:r>
                    <w:rPr>
                      <w:bCs/>
                      <w:szCs w:val="21"/>
                    </w:rPr>
                    <w:t>mg/m</w:t>
                  </w:r>
                  <w:r>
                    <w:rPr>
                      <w:bCs/>
                      <w:szCs w:val="21"/>
                      <w:vertAlign w:val="superscript"/>
                    </w:rPr>
                    <w:t>3</w:t>
                  </w:r>
                  <w:r>
                    <w:rPr>
                      <w:rFonts w:hint="eastAsia"/>
                      <w:szCs w:val="21"/>
                    </w:rPr>
                    <w:t>的限值要求、同时满足《</w:t>
                  </w:r>
                  <w:r>
                    <w:rPr>
                      <w:szCs w:val="21"/>
                    </w:rPr>
                    <w:t>关于全省开展工业企业挥发性有机物专项治理工作中排放建议值的通知》（豫环攻坚办（2017）162号）</w:t>
                  </w:r>
                  <w:r>
                    <w:rPr>
                      <w:rFonts w:hint="eastAsia"/>
                      <w:szCs w:val="21"/>
                    </w:rPr>
                    <w:t>附件2-其他企业边界2</w:t>
                  </w:r>
                  <w:r>
                    <w:rPr>
                      <w:bCs/>
                      <w:szCs w:val="21"/>
                    </w:rPr>
                    <w:t>mg/m</w:t>
                  </w:r>
                  <w:r>
                    <w:rPr>
                      <w:bCs/>
                      <w:szCs w:val="21"/>
                      <w:vertAlign w:val="superscript"/>
                    </w:rPr>
                    <w:t>3</w:t>
                  </w:r>
                  <w:r>
                    <w:rPr>
                      <w:bCs/>
                      <w:szCs w:val="21"/>
                    </w:rPr>
                    <w:t>的限值要求</w:t>
                  </w:r>
                </w:p>
              </w:tc>
            </w:tr>
            <w:tr w14:paraId="7C25DB0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tcMar>
                    <w:top w:w="0" w:type="dxa"/>
                    <w:left w:w="28" w:type="dxa"/>
                    <w:bottom w:w="0" w:type="dxa"/>
                    <w:right w:w="28" w:type="dxa"/>
                  </w:tcMar>
                  <w:vAlign w:val="center"/>
                </w:tcPr>
                <w:p w14:paraId="28549979">
                  <w:pPr>
                    <w:autoSpaceDE w:val="0"/>
                    <w:autoSpaceDN w:val="0"/>
                    <w:adjustRightInd w:val="0"/>
                    <w:snapToGrid w:val="0"/>
                    <w:jc w:val="center"/>
                    <w:rPr>
                      <w:szCs w:val="21"/>
                    </w:rPr>
                  </w:pPr>
                  <w:r>
                    <w:rPr>
                      <w:rFonts w:hint="eastAsia"/>
                      <w:szCs w:val="21"/>
                      <w:lang w:val="pt-BR"/>
                    </w:rPr>
                    <w:t>硫化氢</w:t>
                  </w:r>
                </w:p>
              </w:tc>
              <w:tc>
                <w:tcPr>
                  <w:tcW w:w="709" w:type="dxa"/>
                  <w:vMerge w:val="continue"/>
                  <w:tcMar>
                    <w:top w:w="0" w:type="dxa"/>
                    <w:left w:w="28" w:type="dxa"/>
                    <w:bottom w:w="0" w:type="dxa"/>
                    <w:right w:w="28" w:type="dxa"/>
                  </w:tcMar>
                  <w:vAlign w:val="center"/>
                </w:tcPr>
                <w:p w14:paraId="509079AE">
                  <w:pPr>
                    <w:autoSpaceDE w:val="0"/>
                    <w:autoSpaceDN w:val="0"/>
                    <w:adjustRightInd w:val="0"/>
                    <w:snapToGrid w:val="0"/>
                    <w:jc w:val="center"/>
                    <w:rPr>
                      <w:szCs w:val="21"/>
                    </w:rPr>
                  </w:pPr>
                </w:p>
              </w:tc>
              <w:tc>
                <w:tcPr>
                  <w:tcW w:w="992" w:type="dxa"/>
                  <w:vMerge w:val="continue"/>
                  <w:tcMar>
                    <w:top w:w="0" w:type="dxa"/>
                    <w:left w:w="28" w:type="dxa"/>
                    <w:bottom w:w="0" w:type="dxa"/>
                    <w:right w:w="28" w:type="dxa"/>
                  </w:tcMar>
                  <w:vAlign w:val="center"/>
                </w:tcPr>
                <w:p w14:paraId="5198EBAD">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72963DBC">
                  <w:pPr>
                    <w:autoSpaceDE w:val="0"/>
                    <w:autoSpaceDN w:val="0"/>
                    <w:adjustRightInd w:val="0"/>
                    <w:snapToGrid w:val="0"/>
                    <w:jc w:val="center"/>
                    <w:rPr>
                      <w:szCs w:val="21"/>
                    </w:rPr>
                  </w:pPr>
                  <w:r>
                    <w:rPr>
                      <w:rFonts w:hint="eastAsia"/>
                      <w:szCs w:val="21"/>
                    </w:rPr>
                    <w:t>1次/年</w:t>
                  </w:r>
                </w:p>
              </w:tc>
              <w:tc>
                <w:tcPr>
                  <w:tcW w:w="4841" w:type="dxa"/>
                  <w:tcMar>
                    <w:top w:w="0" w:type="dxa"/>
                    <w:left w:w="28" w:type="dxa"/>
                    <w:bottom w:w="0" w:type="dxa"/>
                    <w:right w:w="28" w:type="dxa"/>
                  </w:tcMar>
                  <w:vAlign w:val="center"/>
                </w:tcPr>
                <w:p w14:paraId="08CB5919">
                  <w:pPr>
                    <w:autoSpaceDE w:val="0"/>
                    <w:autoSpaceDN w:val="0"/>
                    <w:adjustRightInd w:val="0"/>
                    <w:snapToGrid w:val="0"/>
                    <w:jc w:val="center"/>
                    <w:rPr>
                      <w:szCs w:val="21"/>
                    </w:rPr>
                  </w:pPr>
                  <w:r>
                    <w:rPr>
                      <w:rFonts w:hint="eastAsia"/>
                      <w:bCs/>
                      <w:szCs w:val="21"/>
                    </w:rPr>
                    <w:t>《恶臭污染物排放标准》（GB 14554-93）表1中硫化氢0.06</w:t>
                  </w:r>
                  <w:r>
                    <w:rPr>
                      <w:bCs/>
                      <w:szCs w:val="21"/>
                    </w:rPr>
                    <w:t>mg/m</w:t>
                  </w:r>
                  <w:r>
                    <w:rPr>
                      <w:bCs/>
                      <w:szCs w:val="21"/>
                      <w:vertAlign w:val="superscript"/>
                    </w:rPr>
                    <w:t>3</w:t>
                  </w:r>
                  <w:r>
                    <w:rPr>
                      <w:rFonts w:hint="eastAsia"/>
                      <w:szCs w:val="21"/>
                    </w:rPr>
                    <w:t>的限值要求</w:t>
                  </w:r>
                </w:p>
              </w:tc>
            </w:tr>
            <w:tr w14:paraId="15C9C25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01" w:type="dxa"/>
                  <w:tcMar>
                    <w:top w:w="0" w:type="dxa"/>
                    <w:left w:w="28" w:type="dxa"/>
                    <w:bottom w:w="0" w:type="dxa"/>
                    <w:right w:w="28" w:type="dxa"/>
                  </w:tcMar>
                  <w:vAlign w:val="center"/>
                </w:tcPr>
                <w:p w14:paraId="1DA70231">
                  <w:pPr>
                    <w:autoSpaceDE w:val="0"/>
                    <w:autoSpaceDN w:val="0"/>
                    <w:adjustRightInd w:val="0"/>
                    <w:snapToGrid w:val="0"/>
                    <w:jc w:val="center"/>
                    <w:rPr>
                      <w:szCs w:val="21"/>
                      <w:lang w:val="pt-BR"/>
                    </w:rPr>
                  </w:pPr>
                  <w:r>
                    <w:rPr>
                      <w:rFonts w:hint="eastAsia"/>
                      <w:szCs w:val="21"/>
                      <w:lang w:val="pt-BR"/>
                    </w:rPr>
                    <w:t>臭气浓度</w:t>
                  </w:r>
                </w:p>
              </w:tc>
              <w:tc>
                <w:tcPr>
                  <w:tcW w:w="709" w:type="dxa"/>
                  <w:vMerge w:val="continue"/>
                  <w:tcMar>
                    <w:top w:w="0" w:type="dxa"/>
                    <w:left w:w="28" w:type="dxa"/>
                    <w:bottom w:w="0" w:type="dxa"/>
                    <w:right w:w="28" w:type="dxa"/>
                  </w:tcMar>
                  <w:vAlign w:val="center"/>
                </w:tcPr>
                <w:p w14:paraId="2B0BE6EC">
                  <w:pPr>
                    <w:autoSpaceDE w:val="0"/>
                    <w:autoSpaceDN w:val="0"/>
                    <w:adjustRightInd w:val="0"/>
                    <w:snapToGrid w:val="0"/>
                    <w:jc w:val="center"/>
                    <w:rPr>
                      <w:szCs w:val="21"/>
                    </w:rPr>
                  </w:pPr>
                </w:p>
              </w:tc>
              <w:tc>
                <w:tcPr>
                  <w:tcW w:w="992" w:type="dxa"/>
                  <w:vMerge w:val="continue"/>
                  <w:tcMar>
                    <w:top w:w="0" w:type="dxa"/>
                    <w:left w:w="28" w:type="dxa"/>
                    <w:bottom w:w="0" w:type="dxa"/>
                    <w:right w:w="28" w:type="dxa"/>
                  </w:tcMar>
                  <w:vAlign w:val="center"/>
                </w:tcPr>
                <w:p w14:paraId="02A6AC67">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4F309587">
                  <w:pPr>
                    <w:autoSpaceDE w:val="0"/>
                    <w:autoSpaceDN w:val="0"/>
                    <w:adjustRightInd w:val="0"/>
                    <w:snapToGrid w:val="0"/>
                    <w:jc w:val="center"/>
                    <w:rPr>
                      <w:szCs w:val="21"/>
                    </w:rPr>
                  </w:pPr>
                  <w:r>
                    <w:rPr>
                      <w:rFonts w:hint="eastAsia"/>
                      <w:szCs w:val="21"/>
                    </w:rPr>
                    <w:t>1次/年</w:t>
                  </w:r>
                </w:p>
              </w:tc>
              <w:tc>
                <w:tcPr>
                  <w:tcW w:w="4841" w:type="dxa"/>
                  <w:tcMar>
                    <w:top w:w="0" w:type="dxa"/>
                    <w:left w:w="28" w:type="dxa"/>
                    <w:bottom w:w="0" w:type="dxa"/>
                    <w:right w:w="28" w:type="dxa"/>
                  </w:tcMar>
                  <w:vAlign w:val="center"/>
                </w:tcPr>
                <w:p w14:paraId="15E53909">
                  <w:pPr>
                    <w:autoSpaceDE w:val="0"/>
                    <w:autoSpaceDN w:val="0"/>
                    <w:adjustRightInd w:val="0"/>
                    <w:snapToGrid w:val="0"/>
                    <w:jc w:val="center"/>
                    <w:rPr>
                      <w:bCs/>
                      <w:szCs w:val="21"/>
                    </w:rPr>
                  </w:pPr>
                  <w:r>
                    <w:rPr>
                      <w:rFonts w:hint="eastAsia"/>
                      <w:bCs/>
                      <w:szCs w:val="21"/>
                    </w:rPr>
                    <w:t>《恶臭污染物排放标准》（GB 14554-93）表1中</w:t>
                  </w:r>
                  <w:r>
                    <w:rPr>
                      <w:bCs/>
                      <w:szCs w:val="21"/>
                    </w:rPr>
                    <w:t>臭气浓度</w:t>
                  </w:r>
                  <w:r>
                    <w:rPr>
                      <w:rFonts w:hint="eastAsia"/>
                      <w:bCs/>
                      <w:szCs w:val="21"/>
                    </w:rPr>
                    <w:t>20</w:t>
                  </w:r>
                  <w:r>
                    <w:rPr>
                      <w:bCs/>
                      <w:szCs w:val="21"/>
                    </w:rPr>
                    <w:t>（</w:t>
                  </w:r>
                  <w:r>
                    <w:rPr>
                      <w:rFonts w:hint="eastAsia"/>
                      <w:bCs/>
                      <w:szCs w:val="21"/>
                    </w:rPr>
                    <w:t>无量纲</w:t>
                  </w:r>
                  <w:r>
                    <w:rPr>
                      <w:bCs/>
                      <w:szCs w:val="21"/>
                    </w:rPr>
                    <w:t>）</w:t>
                  </w:r>
                  <w:r>
                    <w:rPr>
                      <w:rFonts w:hint="eastAsia"/>
                      <w:szCs w:val="21"/>
                    </w:rPr>
                    <w:t>的限值要求</w:t>
                  </w:r>
                </w:p>
              </w:tc>
            </w:tr>
          </w:tbl>
          <w:p w14:paraId="520AC83E">
            <w:pPr>
              <w:snapToGrid w:val="0"/>
              <w:spacing w:line="460" w:lineRule="exact"/>
              <w:ind w:firstLine="482" w:firstLineChars="200"/>
              <w:rPr>
                <w:b/>
                <w:sz w:val="24"/>
              </w:rPr>
            </w:pPr>
            <w:r>
              <w:rPr>
                <w:b/>
                <w:sz w:val="24"/>
              </w:rPr>
              <w:t>三、噪声</w:t>
            </w:r>
          </w:p>
          <w:p w14:paraId="520AC83F">
            <w:pPr>
              <w:pStyle w:val="48"/>
              <w:snapToGrid w:val="0"/>
              <w:spacing w:line="460" w:lineRule="exact"/>
              <w:ind w:firstLine="482" w:firstLineChars="200"/>
              <w:rPr>
                <w:b/>
                <w:sz w:val="24"/>
                <w:lang w:val="en-US"/>
              </w:rPr>
            </w:pPr>
            <w:r>
              <w:rPr>
                <w:b/>
                <w:sz w:val="24"/>
                <w:lang w:val="en-US"/>
              </w:rPr>
              <w:t>1、噪声源情况</w:t>
            </w:r>
          </w:p>
          <w:p w14:paraId="520AC841">
            <w:pPr>
              <w:pStyle w:val="48"/>
              <w:snapToGrid w:val="0"/>
              <w:spacing w:line="460" w:lineRule="exact"/>
              <w:ind w:firstLine="480" w:firstLineChars="200"/>
              <w:rPr>
                <w:bCs/>
                <w:spacing w:val="-10"/>
                <w:sz w:val="24"/>
                <w:highlight w:val="yellow"/>
              </w:rPr>
            </w:pPr>
            <w:r>
              <w:rPr>
                <w:rFonts w:hint="eastAsia"/>
                <w:sz w:val="24"/>
                <w:lang w:val="en-US"/>
              </w:rPr>
              <w:t>本</w:t>
            </w:r>
            <w:r>
              <w:rPr>
                <w:sz w:val="24"/>
                <w:lang w:val="en-US"/>
              </w:rPr>
              <w:t>项目高噪声设备主要为</w:t>
            </w:r>
            <w:r>
              <w:rPr>
                <w:rFonts w:hint="eastAsia"/>
                <w:sz w:val="24"/>
                <w:lang w:val="en-US"/>
              </w:rPr>
              <w:t>卧式加工中心（四轴）、滑油冲洗试验台、液压高低压冲击试验台</w:t>
            </w:r>
            <w:r>
              <w:rPr>
                <w:sz w:val="24"/>
                <w:lang w:val="en-US"/>
              </w:rPr>
              <w:t>等，声源强度在</w:t>
            </w:r>
            <w:r>
              <w:rPr>
                <w:rFonts w:hint="eastAsia"/>
                <w:sz w:val="24"/>
                <w:lang w:val="en-US"/>
              </w:rPr>
              <w:t>8</w:t>
            </w:r>
            <w:r>
              <w:rPr>
                <w:sz w:val="24"/>
                <w:lang w:val="en-US"/>
              </w:rPr>
              <w:t>0</w:t>
            </w:r>
            <w:r>
              <w:rPr>
                <w:rFonts w:hint="eastAsia"/>
                <w:sz w:val="24"/>
                <w:lang w:val="en-US"/>
              </w:rPr>
              <w:t>-90</w:t>
            </w:r>
            <w:r>
              <w:rPr>
                <w:sz w:val="24"/>
                <w:lang w:val="en-US"/>
              </w:rPr>
              <w:t>dB</w:t>
            </w:r>
            <w:r>
              <w:rPr>
                <w:rFonts w:hint="eastAsia"/>
                <w:sz w:val="24"/>
                <w:lang w:val="en-US"/>
              </w:rPr>
              <w:t>(</w:t>
            </w:r>
            <w:r>
              <w:rPr>
                <w:sz w:val="24"/>
                <w:lang w:val="en-US"/>
              </w:rPr>
              <w:t>A</w:t>
            </w:r>
            <w:r>
              <w:rPr>
                <w:rFonts w:hint="eastAsia"/>
                <w:sz w:val="24"/>
                <w:lang w:val="en-US"/>
              </w:rPr>
              <w:t>)</w:t>
            </w:r>
            <w:r>
              <w:rPr>
                <w:sz w:val="24"/>
                <w:lang w:val="en-US"/>
              </w:rPr>
              <w:t>之间，声源强度及治理效果见</w:t>
            </w:r>
            <w:r>
              <w:rPr>
                <w:rFonts w:hint="eastAsia"/>
                <w:sz w:val="24"/>
                <w:lang w:val="en-US"/>
              </w:rPr>
              <w:t>下表</w:t>
            </w:r>
            <w:r>
              <w:rPr>
                <w:sz w:val="24"/>
                <w:lang w:val="en-US"/>
              </w:rPr>
              <w:t>。</w:t>
            </w:r>
          </w:p>
        </w:tc>
      </w:tr>
    </w:tbl>
    <w:p w14:paraId="520AC843">
      <w:pPr>
        <w:adjustRightInd w:val="0"/>
        <w:snapToGrid w:val="0"/>
        <w:rPr>
          <w:rFonts w:ascii="宋体" w:cs="宋体"/>
          <w:b/>
          <w:kern w:val="0"/>
          <w:sz w:val="15"/>
          <w:szCs w:val="15"/>
          <w:highlight w:val="yellow"/>
        </w:rPr>
        <w:sectPr>
          <w:pgSz w:w="11907" w:h="16840"/>
          <w:pgMar w:top="1701" w:right="1531" w:bottom="2127" w:left="1531" w:header="851" w:footer="851" w:gutter="0"/>
          <w:cols w:space="720" w:num="1"/>
          <w:docGrid w:linePitch="312" w:charSpace="0"/>
        </w:sectPr>
      </w:pPr>
    </w:p>
    <w:tbl>
      <w:tblPr>
        <w:tblStyle w:val="18"/>
        <w:tblW w:w="52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07"/>
        <w:gridCol w:w="12967"/>
      </w:tblGrid>
      <w:tr w14:paraId="520ACA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699" w:type="dxa"/>
            <w:tcMar>
              <w:left w:w="28" w:type="dxa"/>
              <w:right w:w="28" w:type="dxa"/>
            </w:tcMar>
            <w:vAlign w:val="center"/>
          </w:tcPr>
          <w:p w14:paraId="520AC844">
            <w:pPr>
              <w:adjustRightInd w:val="0"/>
              <w:snapToGrid w:val="0"/>
              <w:jc w:val="center"/>
              <w:rPr>
                <w:rFonts w:hint="eastAsia" w:ascii="宋体" w:hAnsi="宋体" w:cs="宋体"/>
                <w:bCs/>
                <w:szCs w:val="21"/>
              </w:rPr>
            </w:pPr>
            <w:r>
              <w:rPr>
                <w:rFonts w:hint="eastAsia" w:ascii="宋体" w:hAnsi="宋体" w:cs="宋体"/>
                <w:bCs/>
                <w:szCs w:val="21"/>
              </w:rPr>
              <w:t>运营</w:t>
            </w:r>
          </w:p>
          <w:p w14:paraId="520AC845">
            <w:pPr>
              <w:adjustRightInd w:val="0"/>
              <w:snapToGrid w:val="0"/>
              <w:jc w:val="center"/>
              <w:rPr>
                <w:rFonts w:hint="eastAsia" w:ascii="宋体" w:hAnsi="宋体" w:cs="宋体"/>
                <w:bCs/>
                <w:szCs w:val="21"/>
              </w:rPr>
            </w:pPr>
            <w:r>
              <w:rPr>
                <w:rFonts w:hint="eastAsia" w:ascii="宋体" w:hAnsi="宋体" w:cs="宋体"/>
                <w:bCs/>
                <w:szCs w:val="21"/>
              </w:rPr>
              <w:t>期环</w:t>
            </w:r>
          </w:p>
          <w:p w14:paraId="520AC846">
            <w:pPr>
              <w:adjustRightInd w:val="0"/>
              <w:snapToGrid w:val="0"/>
              <w:jc w:val="center"/>
              <w:rPr>
                <w:rFonts w:hint="eastAsia" w:ascii="宋体" w:hAnsi="宋体" w:cs="宋体"/>
                <w:bCs/>
                <w:szCs w:val="21"/>
              </w:rPr>
            </w:pPr>
            <w:r>
              <w:rPr>
                <w:rFonts w:hint="eastAsia" w:ascii="宋体" w:hAnsi="宋体" w:cs="宋体"/>
                <w:bCs/>
                <w:szCs w:val="21"/>
              </w:rPr>
              <w:t>境影</w:t>
            </w:r>
          </w:p>
          <w:p w14:paraId="520AC847">
            <w:pPr>
              <w:adjustRightInd w:val="0"/>
              <w:snapToGrid w:val="0"/>
              <w:jc w:val="center"/>
              <w:rPr>
                <w:rFonts w:hint="eastAsia" w:ascii="宋体" w:hAnsi="宋体" w:cs="宋体"/>
                <w:bCs/>
                <w:szCs w:val="21"/>
              </w:rPr>
            </w:pPr>
            <w:r>
              <w:rPr>
                <w:rFonts w:hint="eastAsia" w:ascii="宋体" w:hAnsi="宋体" w:cs="宋体"/>
                <w:bCs/>
                <w:szCs w:val="21"/>
              </w:rPr>
              <w:t>响和</w:t>
            </w:r>
          </w:p>
          <w:p w14:paraId="520AC848">
            <w:pPr>
              <w:adjustRightInd w:val="0"/>
              <w:snapToGrid w:val="0"/>
              <w:jc w:val="center"/>
              <w:rPr>
                <w:rFonts w:hint="eastAsia" w:ascii="宋体" w:hAnsi="宋体" w:cs="宋体"/>
                <w:bCs/>
                <w:szCs w:val="21"/>
              </w:rPr>
            </w:pPr>
            <w:r>
              <w:rPr>
                <w:rFonts w:hint="eastAsia" w:ascii="宋体" w:hAnsi="宋体" w:cs="宋体"/>
                <w:bCs/>
                <w:szCs w:val="21"/>
              </w:rPr>
              <w:t>保护</w:t>
            </w:r>
          </w:p>
          <w:p w14:paraId="520AC849">
            <w:pPr>
              <w:adjustRightInd w:val="0"/>
              <w:snapToGrid w:val="0"/>
              <w:jc w:val="center"/>
              <w:rPr>
                <w:rFonts w:hint="eastAsia" w:ascii="宋体" w:hAnsi="宋体" w:cs="宋体"/>
                <w:bCs/>
                <w:szCs w:val="21"/>
                <w:highlight w:val="yellow"/>
              </w:rPr>
            </w:pPr>
            <w:r>
              <w:rPr>
                <w:rFonts w:hint="eastAsia" w:ascii="宋体" w:hAnsi="宋体" w:cs="宋体"/>
                <w:bCs/>
                <w:szCs w:val="21"/>
              </w:rPr>
              <w:t>措施</w:t>
            </w:r>
          </w:p>
        </w:tc>
        <w:tc>
          <w:tcPr>
            <w:tcW w:w="12813" w:type="dxa"/>
          </w:tcPr>
          <w:p w14:paraId="520AC84A">
            <w:pPr>
              <w:pStyle w:val="6"/>
              <w:spacing w:line="520" w:lineRule="exact"/>
              <w:ind w:firstLine="480"/>
              <w:rPr>
                <w:rFonts w:eastAsia="黑体"/>
                <w:b w:val="0"/>
                <w:sz w:val="24"/>
              </w:rPr>
            </w:pPr>
            <w:r>
              <w:rPr>
                <w:rFonts w:hint="eastAsia" w:eastAsia="黑体"/>
                <w:b w:val="0"/>
                <w:kern w:val="2"/>
                <w:sz w:val="24"/>
                <w:szCs w:val="24"/>
              </w:rPr>
              <w:t>表70</w:t>
            </w:r>
            <w:r>
              <w:rPr>
                <w:rFonts w:eastAsia="黑体"/>
                <w:b w:val="0"/>
                <w:kern w:val="2"/>
                <w:sz w:val="24"/>
                <w:szCs w:val="24"/>
              </w:rPr>
              <w:t xml:space="preserve"> </w:t>
            </w:r>
            <w:r>
              <w:rPr>
                <w:rFonts w:hint="eastAsia" w:eastAsia="黑体"/>
                <w:b w:val="0"/>
                <w:kern w:val="2"/>
                <w:sz w:val="24"/>
                <w:szCs w:val="24"/>
              </w:rPr>
              <w:t xml:space="preserve">             </w:t>
            </w:r>
            <w:r>
              <w:rPr>
                <w:rFonts w:eastAsia="黑体"/>
                <w:b w:val="0"/>
                <w:kern w:val="2"/>
                <w:sz w:val="24"/>
                <w:szCs w:val="24"/>
              </w:rPr>
              <w:t xml:space="preserve">   </w:t>
            </w:r>
            <w:r>
              <w:rPr>
                <w:rFonts w:hint="eastAsia" w:eastAsia="黑体"/>
                <w:b w:val="0"/>
                <w:kern w:val="2"/>
                <w:sz w:val="24"/>
                <w:szCs w:val="24"/>
              </w:rPr>
              <w:t>工业企业</w:t>
            </w:r>
            <w:r>
              <w:rPr>
                <w:rFonts w:eastAsia="黑体"/>
                <w:b w:val="0"/>
                <w:kern w:val="2"/>
                <w:sz w:val="24"/>
                <w:szCs w:val="24"/>
              </w:rPr>
              <w:t>噪声源强调查清单</w:t>
            </w:r>
            <w:r>
              <w:rPr>
                <w:rFonts w:hint="eastAsia" w:eastAsia="黑体"/>
                <w:b w:val="0"/>
                <w:kern w:val="2"/>
                <w:sz w:val="24"/>
                <w:szCs w:val="24"/>
              </w:rPr>
              <w:t>（室内声源）</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387"/>
              <w:gridCol w:w="801"/>
              <w:gridCol w:w="859"/>
              <w:gridCol w:w="1148"/>
              <w:gridCol w:w="717"/>
              <w:gridCol w:w="1005"/>
              <w:gridCol w:w="574"/>
              <w:gridCol w:w="574"/>
              <w:gridCol w:w="719"/>
              <w:gridCol w:w="1002"/>
              <w:gridCol w:w="1148"/>
              <w:gridCol w:w="717"/>
              <w:gridCol w:w="1148"/>
              <w:gridCol w:w="1005"/>
              <w:gridCol w:w="948"/>
            </w:tblGrid>
            <w:tr w14:paraId="520AC857">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tblHeader/>
                <w:jc w:val="center"/>
              </w:trPr>
              <w:tc>
                <w:tcPr>
                  <w:tcW w:w="152" w:type="pct"/>
                  <w:vMerge w:val="restart"/>
                  <w:tcBorders>
                    <w:tl2br w:val="nil"/>
                    <w:tr2bl w:val="nil"/>
                  </w:tcBorders>
                  <w:vAlign w:val="center"/>
                </w:tcPr>
                <w:p w14:paraId="520AC84B">
                  <w:pPr>
                    <w:pStyle w:val="46"/>
                    <w:adjustRightInd w:val="0"/>
                    <w:snapToGrid w:val="0"/>
                    <w:rPr>
                      <w:rFonts w:cs="Times New Roman"/>
                      <w:color w:val="auto"/>
                      <w:szCs w:val="21"/>
                    </w:rPr>
                  </w:pPr>
                  <w:r>
                    <w:rPr>
                      <w:rFonts w:cs="Times New Roman"/>
                      <w:color w:val="auto"/>
                      <w:szCs w:val="21"/>
                    </w:rPr>
                    <w:t>序号</w:t>
                  </w:r>
                </w:p>
              </w:tc>
              <w:tc>
                <w:tcPr>
                  <w:tcW w:w="314" w:type="pct"/>
                  <w:vMerge w:val="restart"/>
                  <w:tcBorders>
                    <w:tl2br w:val="nil"/>
                    <w:tr2bl w:val="nil"/>
                  </w:tcBorders>
                  <w:vAlign w:val="center"/>
                </w:tcPr>
                <w:p w14:paraId="520AC84C">
                  <w:pPr>
                    <w:pStyle w:val="46"/>
                    <w:adjustRightInd w:val="0"/>
                    <w:snapToGrid w:val="0"/>
                    <w:rPr>
                      <w:rFonts w:cs="Times New Roman"/>
                      <w:color w:val="auto"/>
                      <w:szCs w:val="21"/>
                    </w:rPr>
                  </w:pPr>
                  <w:r>
                    <w:rPr>
                      <w:rFonts w:cs="Times New Roman"/>
                      <w:color w:val="auto"/>
                      <w:szCs w:val="21"/>
                    </w:rPr>
                    <w:t>建筑物名称</w:t>
                  </w:r>
                </w:p>
              </w:tc>
              <w:tc>
                <w:tcPr>
                  <w:tcW w:w="337" w:type="pct"/>
                  <w:vMerge w:val="restart"/>
                  <w:tcBorders>
                    <w:tl2br w:val="nil"/>
                    <w:tr2bl w:val="nil"/>
                  </w:tcBorders>
                  <w:vAlign w:val="center"/>
                </w:tcPr>
                <w:p w14:paraId="520AC84D">
                  <w:pPr>
                    <w:pStyle w:val="46"/>
                    <w:adjustRightInd w:val="0"/>
                    <w:snapToGrid w:val="0"/>
                    <w:rPr>
                      <w:rFonts w:cs="Times New Roman"/>
                      <w:color w:val="auto"/>
                      <w:szCs w:val="21"/>
                    </w:rPr>
                  </w:pPr>
                  <w:r>
                    <w:rPr>
                      <w:rFonts w:cs="Times New Roman"/>
                      <w:color w:val="auto"/>
                      <w:szCs w:val="21"/>
                    </w:rPr>
                    <w:t>声源名称</w:t>
                  </w:r>
                </w:p>
              </w:tc>
              <w:tc>
                <w:tcPr>
                  <w:tcW w:w="450" w:type="pct"/>
                  <w:vMerge w:val="restart"/>
                  <w:tcBorders>
                    <w:tl2br w:val="nil"/>
                    <w:tr2bl w:val="nil"/>
                  </w:tcBorders>
                  <w:vAlign w:val="center"/>
                </w:tcPr>
                <w:p w14:paraId="520AC84E">
                  <w:pPr>
                    <w:pStyle w:val="46"/>
                    <w:adjustRightInd w:val="0"/>
                    <w:snapToGrid w:val="0"/>
                    <w:rPr>
                      <w:rFonts w:cs="Times New Roman"/>
                      <w:color w:val="auto"/>
                      <w:szCs w:val="21"/>
                    </w:rPr>
                  </w:pPr>
                  <w:r>
                    <w:rPr>
                      <w:bCs/>
                      <w:color w:val="auto"/>
                      <w:szCs w:val="21"/>
                    </w:rPr>
                    <w:t>(声压级/距声源距离)/ ([dB(A)]/m)</w:t>
                  </w:r>
                </w:p>
              </w:tc>
              <w:tc>
                <w:tcPr>
                  <w:tcW w:w="281" w:type="pct"/>
                  <w:vMerge w:val="restart"/>
                  <w:tcBorders>
                    <w:tl2br w:val="nil"/>
                    <w:tr2bl w:val="nil"/>
                  </w:tcBorders>
                  <w:vAlign w:val="center"/>
                </w:tcPr>
                <w:p w14:paraId="520AC84F">
                  <w:pPr>
                    <w:pStyle w:val="46"/>
                    <w:adjustRightInd w:val="0"/>
                    <w:snapToGrid w:val="0"/>
                    <w:rPr>
                      <w:rFonts w:cs="Times New Roman"/>
                      <w:color w:val="auto"/>
                      <w:szCs w:val="21"/>
                    </w:rPr>
                  </w:pPr>
                  <w:r>
                    <w:rPr>
                      <w:color w:val="auto"/>
                    </w:rPr>
                    <w:t>台数(台)</w:t>
                  </w:r>
                </w:p>
              </w:tc>
              <w:tc>
                <w:tcPr>
                  <w:tcW w:w="394" w:type="pct"/>
                  <w:vMerge w:val="restart"/>
                  <w:tcBorders>
                    <w:tl2br w:val="nil"/>
                    <w:tr2bl w:val="nil"/>
                  </w:tcBorders>
                  <w:vAlign w:val="center"/>
                </w:tcPr>
                <w:p w14:paraId="520AC850">
                  <w:pPr>
                    <w:pStyle w:val="46"/>
                    <w:adjustRightInd w:val="0"/>
                    <w:snapToGrid w:val="0"/>
                    <w:rPr>
                      <w:rFonts w:cs="Times New Roman"/>
                      <w:color w:val="auto"/>
                      <w:szCs w:val="21"/>
                    </w:rPr>
                  </w:pPr>
                  <w:r>
                    <w:rPr>
                      <w:bCs/>
                      <w:color w:val="auto"/>
                      <w:szCs w:val="21"/>
                    </w:rPr>
                    <w:t>声源控制措施</w:t>
                  </w:r>
                </w:p>
              </w:tc>
              <w:tc>
                <w:tcPr>
                  <w:tcW w:w="732" w:type="pct"/>
                  <w:gridSpan w:val="3"/>
                  <w:tcBorders>
                    <w:tl2br w:val="nil"/>
                    <w:tr2bl w:val="nil"/>
                  </w:tcBorders>
                  <w:vAlign w:val="center"/>
                </w:tcPr>
                <w:p w14:paraId="520AC851">
                  <w:pPr>
                    <w:pStyle w:val="46"/>
                    <w:adjustRightInd w:val="0"/>
                    <w:snapToGrid w:val="0"/>
                    <w:rPr>
                      <w:rFonts w:cs="Times New Roman"/>
                      <w:color w:val="auto"/>
                      <w:szCs w:val="21"/>
                    </w:rPr>
                  </w:pPr>
                  <w:r>
                    <w:rPr>
                      <w:rFonts w:cs="Times New Roman"/>
                      <w:color w:val="auto"/>
                      <w:szCs w:val="21"/>
                    </w:rPr>
                    <w:t>空间相对位置</w:t>
                  </w:r>
                  <w:r>
                    <w:rPr>
                      <w:rFonts w:hint="eastAsia" w:cs="Times New Roman"/>
                      <w:color w:val="auto"/>
                      <w:szCs w:val="21"/>
                    </w:rPr>
                    <w:t>*</w:t>
                  </w:r>
                  <w:r>
                    <w:rPr>
                      <w:rFonts w:cs="Times New Roman"/>
                      <w:color w:val="auto"/>
                      <w:szCs w:val="21"/>
                    </w:rPr>
                    <w:t>/m</w:t>
                  </w:r>
                </w:p>
              </w:tc>
              <w:tc>
                <w:tcPr>
                  <w:tcW w:w="393" w:type="pct"/>
                  <w:vMerge w:val="restart"/>
                  <w:tcBorders>
                    <w:tl2br w:val="nil"/>
                    <w:tr2bl w:val="nil"/>
                  </w:tcBorders>
                  <w:vAlign w:val="center"/>
                </w:tcPr>
                <w:p w14:paraId="520AC852">
                  <w:pPr>
                    <w:pStyle w:val="46"/>
                    <w:adjustRightInd w:val="0"/>
                    <w:snapToGrid w:val="0"/>
                    <w:rPr>
                      <w:rFonts w:cs="Times New Roman"/>
                      <w:color w:val="auto"/>
                      <w:szCs w:val="21"/>
                    </w:rPr>
                  </w:pPr>
                  <w:r>
                    <w:rPr>
                      <w:rFonts w:cs="Times New Roman"/>
                      <w:color w:val="auto"/>
                      <w:szCs w:val="21"/>
                    </w:rPr>
                    <w:t>距室内边界距离/m</w:t>
                  </w:r>
                </w:p>
              </w:tc>
              <w:tc>
                <w:tcPr>
                  <w:tcW w:w="450" w:type="pct"/>
                  <w:vMerge w:val="restart"/>
                  <w:tcBorders>
                    <w:tl2br w:val="nil"/>
                    <w:tr2bl w:val="nil"/>
                  </w:tcBorders>
                  <w:vAlign w:val="center"/>
                </w:tcPr>
                <w:p w14:paraId="520AC853">
                  <w:pPr>
                    <w:pStyle w:val="46"/>
                    <w:adjustRightInd w:val="0"/>
                    <w:snapToGrid w:val="0"/>
                    <w:rPr>
                      <w:rFonts w:cs="Times New Roman"/>
                      <w:color w:val="auto"/>
                      <w:szCs w:val="21"/>
                    </w:rPr>
                  </w:pPr>
                  <w:r>
                    <w:rPr>
                      <w:bCs/>
                      <w:color w:val="auto"/>
                      <w:szCs w:val="21"/>
                    </w:rPr>
                    <w:t>室内边界声压级/dB(A)</w:t>
                  </w:r>
                </w:p>
              </w:tc>
              <w:tc>
                <w:tcPr>
                  <w:tcW w:w="281" w:type="pct"/>
                  <w:vMerge w:val="restart"/>
                  <w:tcBorders>
                    <w:tl2br w:val="nil"/>
                    <w:tr2bl w:val="nil"/>
                  </w:tcBorders>
                  <w:vAlign w:val="center"/>
                </w:tcPr>
                <w:p w14:paraId="520AC854">
                  <w:pPr>
                    <w:pStyle w:val="46"/>
                    <w:adjustRightInd w:val="0"/>
                    <w:snapToGrid w:val="0"/>
                    <w:rPr>
                      <w:rFonts w:cs="Times New Roman"/>
                      <w:color w:val="auto"/>
                      <w:szCs w:val="21"/>
                    </w:rPr>
                  </w:pPr>
                  <w:r>
                    <w:rPr>
                      <w:rFonts w:cs="Times New Roman"/>
                      <w:color w:val="auto"/>
                      <w:szCs w:val="21"/>
                    </w:rPr>
                    <w:t>运行时段</w:t>
                  </w:r>
                </w:p>
              </w:tc>
              <w:tc>
                <w:tcPr>
                  <w:tcW w:w="450" w:type="pct"/>
                  <w:vMerge w:val="restart"/>
                  <w:tcBorders>
                    <w:tl2br w:val="nil"/>
                    <w:tr2bl w:val="nil"/>
                  </w:tcBorders>
                  <w:vAlign w:val="center"/>
                </w:tcPr>
                <w:p w14:paraId="520AC855">
                  <w:pPr>
                    <w:pStyle w:val="46"/>
                    <w:adjustRightInd w:val="0"/>
                    <w:snapToGrid w:val="0"/>
                    <w:rPr>
                      <w:rFonts w:cs="Times New Roman"/>
                      <w:color w:val="auto"/>
                      <w:szCs w:val="21"/>
                    </w:rPr>
                  </w:pPr>
                  <w:r>
                    <w:rPr>
                      <w:rFonts w:cs="Times New Roman"/>
                      <w:color w:val="auto"/>
                      <w:szCs w:val="21"/>
                    </w:rPr>
                    <w:t>建筑物插入损失/dB(A)</w:t>
                  </w:r>
                </w:p>
              </w:tc>
              <w:tc>
                <w:tcPr>
                  <w:tcW w:w="766" w:type="pct"/>
                  <w:gridSpan w:val="2"/>
                  <w:tcBorders>
                    <w:tl2br w:val="nil"/>
                    <w:tr2bl w:val="nil"/>
                  </w:tcBorders>
                  <w:vAlign w:val="center"/>
                </w:tcPr>
                <w:p w14:paraId="520AC856">
                  <w:pPr>
                    <w:pStyle w:val="46"/>
                    <w:adjustRightInd w:val="0"/>
                    <w:snapToGrid w:val="0"/>
                    <w:rPr>
                      <w:rFonts w:cs="Times New Roman"/>
                      <w:color w:val="auto"/>
                      <w:szCs w:val="21"/>
                    </w:rPr>
                  </w:pPr>
                  <w:r>
                    <w:rPr>
                      <w:rFonts w:cs="Times New Roman"/>
                      <w:color w:val="auto"/>
                      <w:szCs w:val="21"/>
                    </w:rPr>
                    <w:t>建筑物外噪声</w:t>
                  </w:r>
                </w:p>
              </w:tc>
            </w:tr>
            <w:tr w14:paraId="520AC867">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tblHeader/>
                <w:jc w:val="center"/>
              </w:trPr>
              <w:tc>
                <w:tcPr>
                  <w:tcW w:w="152" w:type="pct"/>
                  <w:vMerge w:val="continue"/>
                  <w:tcBorders>
                    <w:tl2br w:val="nil"/>
                    <w:tr2bl w:val="nil"/>
                  </w:tcBorders>
                  <w:vAlign w:val="center"/>
                </w:tcPr>
                <w:p w14:paraId="520AC858">
                  <w:pPr>
                    <w:pStyle w:val="46"/>
                    <w:adjustRightInd w:val="0"/>
                    <w:snapToGrid w:val="0"/>
                    <w:rPr>
                      <w:rFonts w:cs="Times New Roman"/>
                      <w:color w:val="auto"/>
                      <w:szCs w:val="21"/>
                    </w:rPr>
                  </w:pPr>
                </w:p>
              </w:tc>
              <w:tc>
                <w:tcPr>
                  <w:tcW w:w="314" w:type="pct"/>
                  <w:vMerge w:val="continue"/>
                  <w:tcBorders>
                    <w:tl2br w:val="nil"/>
                    <w:tr2bl w:val="nil"/>
                  </w:tcBorders>
                  <w:vAlign w:val="center"/>
                </w:tcPr>
                <w:p w14:paraId="520AC859">
                  <w:pPr>
                    <w:pStyle w:val="46"/>
                    <w:adjustRightInd w:val="0"/>
                    <w:snapToGrid w:val="0"/>
                    <w:rPr>
                      <w:rFonts w:cs="Times New Roman"/>
                      <w:color w:val="auto"/>
                      <w:szCs w:val="21"/>
                    </w:rPr>
                  </w:pPr>
                </w:p>
              </w:tc>
              <w:tc>
                <w:tcPr>
                  <w:tcW w:w="337" w:type="pct"/>
                  <w:vMerge w:val="continue"/>
                  <w:tcBorders>
                    <w:tl2br w:val="nil"/>
                    <w:tr2bl w:val="nil"/>
                  </w:tcBorders>
                  <w:vAlign w:val="center"/>
                </w:tcPr>
                <w:p w14:paraId="520AC85A">
                  <w:pPr>
                    <w:pStyle w:val="46"/>
                    <w:adjustRightInd w:val="0"/>
                    <w:snapToGrid w:val="0"/>
                    <w:rPr>
                      <w:rFonts w:cs="Times New Roman"/>
                      <w:color w:val="auto"/>
                      <w:szCs w:val="21"/>
                    </w:rPr>
                  </w:pPr>
                </w:p>
              </w:tc>
              <w:tc>
                <w:tcPr>
                  <w:tcW w:w="450" w:type="pct"/>
                  <w:vMerge w:val="continue"/>
                  <w:tcBorders>
                    <w:tl2br w:val="nil"/>
                    <w:tr2bl w:val="nil"/>
                  </w:tcBorders>
                  <w:vAlign w:val="center"/>
                </w:tcPr>
                <w:p w14:paraId="520AC85B">
                  <w:pPr>
                    <w:pStyle w:val="46"/>
                    <w:adjustRightInd w:val="0"/>
                    <w:snapToGrid w:val="0"/>
                    <w:rPr>
                      <w:rFonts w:cs="Times New Roman"/>
                      <w:color w:val="auto"/>
                      <w:szCs w:val="21"/>
                    </w:rPr>
                  </w:pPr>
                </w:p>
              </w:tc>
              <w:tc>
                <w:tcPr>
                  <w:tcW w:w="281" w:type="pct"/>
                  <w:vMerge w:val="continue"/>
                  <w:tcBorders>
                    <w:tl2br w:val="nil"/>
                    <w:tr2bl w:val="nil"/>
                  </w:tcBorders>
                  <w:vAlign w:val="center"/>
                </w:tcPr>
                <w:p w14:paraId="520AC85C">
                  <w:pPr>
                    <w:pStyle w:val="46"/>
                    <w:adjustRightInd w:val="0"/>
                    <w:snapToGrid w:val="0"/>
                    <w:rPr>
                      <w:rFonts w:cs="Times New Roman"/>
                      <w:color w:val="auto"/>
                      <w:szCs w:val="21"/>
                    </w:rPr>
                  </w:pPr>
                </w:p>
              </w:tc>
              <w:tc>
                <w:tcPr>
                  <w:tcW w:w="394" w:type="pct"/>
                  <w:vMerge w:val="continue"/>
                  <w:tcBorders>
                    <w:tl2br w:val="nil"/>
                    <w:tr2bl w:val="nil"/>
                  </w:tcBorders>
                  <w:vAlign w:val="center"/>
                </w:tcPr>
                <w:p w14:paraId="520AC85D">
                  <w:pPr>
                    <w:pStyle w:val="46"/>
                    <w:adjustRightInd w:val="0"/>
                    <w:snapToGrid w:val="0"/>
                    <w:rPr>
                      <w:rFonts w:cs="Times New Roman"/>
                      <w:color w:val="auto"/>
                      <w:szCs w:val="21"/>
                    </w:rPr>
                  </w:pPr>
                </w:p>
              </w:tc>
              <w:tc>
                <w:tcPr>
                  <w:tcW w:w="225" w:type="pct"/>
                  <w:tcBorders>
                    <w:tl2br w:val="nil"/>
                    <w:tr2bl w:val="nil"/>
                  </w:tcBorders>
                  <w:vAlign w:val="center"/>
                </w:tcPr>
                <w:p w14:paraId="520AC85E">
                  <w:pPr>
                    <w:pStyle w:val="46"/>
                    <w:adjustRightInd w:val="0"/>
                    <w:snapToGrid w:val="0"/>
                    <w:rPr>
                      <w:rFonts w:cs="Times New Roman"/>
                      <w:color w:val="auto"/>
                      <w:szCs w:val="21"/>
                    </w:rPr>
                  </w:pPr>
                  <w:r>
                    <w:rPr>
                      <w:rFonts w:cs="Times New Roman"/>
                      <w:color w:val="auto"/>
                      <w:szCs w:val="21"/>
                    </w:rPr>
                    <w:t>X</w:t>
                  </w:r>
                </w:p>
              </w:tc>
              <w:tc>
                <w:tcPr>
                  <w:tcW w:w="225" w:type="pct"/>
                  <w:tcBorders>
                    <w:tl2br w:val="nil"/>
                    <w:tr2bl w:val="nil"/>
                  </w:tcBorders>
                  <w:vAlign w:val="center"/>
                </w:tcPr>
                <w:p w14:paraId="520AC85F">
                  <w:pPr>
                    <w:pStyle w:val="46"/>
                    <w:adjustRightInd w:val="0"/>
                    <w:snapToGrid w:val="0"/>
                    <w:rPr>
                      <w:rFonts w:cs="Times New Roman"/>
                      <w:color w:val="auto"/>
                      <w:szCs w:val="21"/>
                    </w:rPr>
                  </w:pPr>
                  <w:r>
                    <w:rPr>
                      <w:rFonts w:cs="Times New Roman"/>
                      <w:color w:val="auto"/>
                      <w:szCs w:val="21"/>
                    </w:rPr>
                    <w:t>Y</w:t>
                  </w:r>
                </w:p>
              </w:tc>
              <w:tc>
                <w:tcPr>
                  <w:tcW w:w="282" w:type="pct"/>
                  <w:tcBorders>
                    <w:tl2br w:val="nil"/>
                    <w:tr2bl w:val="nil"/>
                  </w:tcBorders>
                  <w:vAlign w:val="center"/>
                </w:tcPr>
                <w:p w14:paraId="520AC860">
                  <w:pPr>
                    <w:pStyle w:val="46"/>
                    <w:adjustRightInd w:val="0"/>
                    <w:snapToGrid w:val="0"/>
                    <w:rPr>
                      <w:rFonts w:cs="Times New Roman"/>
                      <w:color w:val="auto"/>
                      <w:szCs w:val="21"/>
                    </w:rPr>
                  </w:pPr>
                  <w:r>
                    <w:rPr>
                      <w:rFonts w:cs="Times New Roman"/>
                      <w:color w:val="auto"/>
                      <w:szCs w:val="21"/>
                    </w:rPr>
                    <w:t>Z</w:t>
                  </w:r>
                </w:p>
              </w:tc>
              <w:tc>
                <w:tcPr>
                  <w:tcW w:w="393" w:type="pct"/>
                  <w:vMerge w:val="continue"/>
                  <w:tcBorders>
                    <w:tl2br w:val="nil"/>
                    <w:tr2bl w:val="nil"/>
                  </w:tcBorders>
                  <w:vAlign w:val="center"/>
                </w:tcPr>
                <w:p w14:paraId="520AC861">
                  <w:pPr>
                    <w:pStyle w:val="46"/>
                    <w:adjustRightInd w:val="0"/>
                    <w:snapToGrid w:val="0"/>
                    <w:rPr>
                      <w:rFonts w:cs="Times New Roman"/>
                      <w:color w:val="auto"/>
                      <w:szCs w:val="21"/>
                    </w:rPr>
                  </w:pPr>
                </w:p>
              </w:tc>
              <w:tc>
                <w:tcPr>
                  <w:tcW w:w="450" w:type="pct"/>
                  <w:vMerge w:val="continue"/>
                  <w:tcBorders>
                    <w:tl2br w:val="nil"/>
                    <w:tr2bl w:val="nil"/>
                  </w:tcBorders>
                  <w:vAlign w:val="center"/>
                </w:tcPr>
                <w:p w14:paraId="520AC862">
                  <w:pPr>
                    <w:pStyle w:val="46"/>
                    <w:adjustRightInd w:val="0"/>
                    <w:snapToGrid w:val="0"/>
                    <w:rPr>
                      <w:rFonts w:cs="Times New Roman"/>
                      <w:color w:val="auto"/>
                      <w:szCs w:val="21"/>
                    </w:rPr>
                  </w:pPr>
                </w:p>
              </w:tc>
              <w:tc>
                <w:tcPr>
                  <w:tcW w:w="281" w:type="pct"/>
                  <w:vMerge w:val="continue"/>
                  <w:tcBorders>
                    <w:tl2br w:val="nil"/>
                    <w:tr2bl w:val="nil"/>
                  </w:tcBorders>
                  <w:vAlign w:val="center"/>
                </w:tcPr>
                <w:p w14:paraId="520AC863">
                  <w:pPr>
                    <w:pStyle w:val="46"/>
                    <w:adjustRightInd w:val="0"/>
                    <w:snapToGrid w:val="0"/>
                    <w:rPr>
                      <w:rFonts w:cs="Times New Roman"/>
                      <w:color w:val="auto"/>
                      <w:szCs w:val="21"/>
                    </w:rPr>
                  </w:pPr>
                </w:p>
              </w:tc>
              <w:tc>
                <w:tcPr>
                  <w:tcW w:w="450" w:type="pct"/>
                  <w:vMerge w:val="continue"/>
                  <w:tcBorders>
                    <w:tl2br w:val="nil"/>
                    <w:tr2bl w:val="nil"/>
                  </w:tcBorders>
                  <w:vAlign w:val="center"/>
                </w:tcPr>
                <w:p w14:paraId="520AC864">
                  <w:pPr>
                    <w:pStyle w:val="46"/>
                    <w:adjustRightInd w:val="0"/>
                    <w:snapToGrid w:val="0"/>
                    <w:rPr>
                      <w:rFonts w:cs="Times New Roman"/>
                      <w:color w:val="auto"/>
                      <w:szCs w:val="21"/>
                    </w:rPr>
                  </w:pPr>
                </w:p>
              </w:tc>
              <w:tc>
                <w:tcPr>
                  <w:tcW w:w="394" w:type="pct"/>
                  <w:tcBorders>
                    <w:tl2br w:val="nil"/>
                    <w:tr2bl w:val="nil"/>
                  </w:tcBorders>
                  <w:vAlign w:val="center"/>
                </w:tcPr>
                <w:p w14:paraId="520AC865">
                  <w:pPr>
                    <w:pStyle w:val="46"/>
                    <w:adjustRightInd w:val="0"/>
                    <w:snapToGrid w:val="0"/>
                    <w:rPr>
                      <w:rFonts w:cs="Times New Roman"/>
                      <w:color w:val="auto"/>
                      <w:szCs w:val="21"/>
                    </w:rPr>
                  </w:pPr>
                  <w:r>
                    <w:rPr>
                      <w:rFonts w:cs="Times New Roman"/>
                      <w:color w:val="auto"/>
                      <w:szCs w:val="21"/>
                    </w:rPr>
                    <w:t>声压级/dB(A)</w:t>
                  </w:r>
                </w:p>
              </w:tc>
              <w:tc>
                <w:tcPr>
                  <w:tcW w:w="372" w:type="pct"/>
                  <w:tcBorders>
                    <w:tl2br w:val="nil"/>
                    <w:tr2bl w:val="nil"/>
                  </w:tcBorders>
                  <w:vAlign w:val="center"/>
                </w:tcPr>
                <w:p w14:paraId="520AC866">
                  <w:pPr>
                    <w:pStyle w:val="46"/>
                    <w:adjustRightInd w:val="0"/>
                    <w:snapToGrid w:val="0"/>
                    <w:rPr>
                      <w:rFonts w:cs="Times New Roman"/>
                      <w:color w:val="auto"/>
                      <w:szCs w:val="21"/>
                    </w:rPr>
                  </w:pPr>
                  <w:r>
                    <w:rPr>
                      <w:rFonts w:cs="Times New Roman"/>
                      <w:color w:val="auto"/>
                      <w:szCs w:val="21"/>
                    </w:rPr>
                    <w:t>建筑物外距离</w:t>
                  </w:r>
                  <w:r>
                    <w:rPr>
                      <w:rFonts w:hint="eastAsia" w:cs="Times New Roman"/>
                      <w:color w:val="auto"/>
                      <w:szCs w:val="21"/>
                    </w:rPr>
                    <w:t>/m</w:t>
                  </w:r>
                </w:p>
              </w:tc>
            </w:tr>
            <w:tr w14:paraId="520AC86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5000" w:type="pct"/>
                  <w:gridSpan w:val="15"/>
                  <w:tcBorders>
                    <w:tl2br w:val="nil"/>
                    <w:tr2bl w:val="nil"/>
                  </w:tcBorders>
                  <w:vAlign w:val="center"/>
                </w:tcPr>
                <w:p w14:paraId="520AC868">
                  <w:pPr>
                    <w:pStyle w:val="41"/>
                    <w:adjustRightInd w:val="0"/>
                    <w:snapToGrid w:val="0"/>
                    <w:contextualSpacing w:val="0"/>
                    <w:rPr>
                      <w:b/>
                      <w:bCs/>
                      <w:highlight w:val="yellow"/>
                    </w:rPr>
                  </w:pPr>
                  <w:r>
                    <w:rPr>
                      <w:rFonts w:hint="eastAsia"/>
                      <w:b/>
                      <w:bCs/>
                    </w:rPr>
                    <w:t>建设路厂区</w:t>
                  </w:r>
                </w:p>
              </w:tc>
            </w:tr>
            <w:tr w14:paraId="520AC87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restart"/>
                  <w:tcBorders>
                    <w:tl2br w:val="nil"/>
                    <w:tr2bl w:val="nil"/>
                  </w:tcBorders>
                  <w:vAlign w:val="center"/>
                </w:tcPr>
                <w:p w14:paraId="520AC86A">
                  <w:pPr>
                    <w:pStyle w:val="41"/>
                    <w:adjustRightInd w:val="0"/>
                    <w:snapToGrid w:val="0"/>
                    <w:contextualSpacing w:val="0"/>
                  </w:pPr>
                  <w:r>
                    <w:rPr>
                      <w:rFonts w:hint="eastAsia"/>
                    </w:rPr>
                    <w:t>1</w:t>
                  </w:r>
                </w:p>
              </w:tc>
              <w:tc>
                <w:tcPr>
                  <w:tcW w:w="314" w:type="pct"/>
                  <w:vMerge w:val="restart"/>
                  <w:tcBorders>
                    <w:tl2br w:val="nil"/>
                    <w:tr2bl w:val="nil"/>
                  </w:tcBorders>
                  <w:vAlign w:val="center"/>
                </w:tcPr>
                <w:p w14:paraId="520AC86B">
                  <w:pPr>
                    <w:pStyle w:val="41"/>
                    <w:adjustRightInd w:val="0"/>
                    <w:snapToGrid w:val="0"/>
                    <w:contextualSpacing w:val="0"/>
                    <w:rPr>
                      <w:highlight w:val="yellow"/>
                    </w:rPr>
                  </w:pPr>
                  <w:r>
                    <w:rPr>
                      <w:rFonts w:hint="eastAsia"/>
                      <w:szCs w:val="22"/>
                    </w:rPr>
                    <w:t>1</w:t>
                  </w:r>
                  <w:r>
                    <w:rPr>
                      <w:szCs w:val="22"/>
                    </w:rPr>
                    <w:t>53-1</w:t>
                  </w:r>
                  <w:r>
                    <w:rPr>
                      <w:rFonts w:hint="eastAsia"/>
                      <w:szCs w:val="22"/>
                    </w:rPr>
                    <w:t>厂房</w:t>
                  </w:r>
                </w:p>
              </w:tc>
              <w:tc>
                <w:tcPr>
                  <w:tcW w:w="337" w:type="pct"/>
                  <w:vMerge w:val="restart"/>
                  <w:tcBorders>
                    <w:tl2br w:val="nil"/>
                    <w:tr2bl w:val="nil"/>
                  </w:tcBorders>
                  <w:vAlign w:val="center"/>
                </w:tcPr>
                <w:p w14:paraId="520AC86C">
                  <w:pPr>
                    <w:pStyle w:val="41"/>
                    <w:adjustRightInd w:val="0"/>
                    <w:snapToGrid w:val="0"/>
                    <w:contextualSpacing w:val="0"/>
                    <w:rPr>
                      <w:highlight w:val="yellow"/>
                    </w:rPr>
                  </w:pPr>
                  <w:r>
                    <w:rPr>
                      <w:rFonts w:hint="eastAsia"/>
                    </w:rPr>
                    <w:t>卧式加工中心（四轴）</w:t>
                  </w:r>
                </w:p>
              </w:tc>
              <w:tc>
                <w:tcPr>
                  <w:tcW w:w="450" w:type="pct"/>
                  <w:vMerge w:val="restart"/>
                  <w:tcBorders>
                    <w:tl2br w:val="nil"/>
                    <w:tr2bl w:val="nil"/>
                  </w:tcBorders>
                  <w:vAlign w:val="center"/>
                </w:tcPr>
                <w:p w14:paraId="520AC86D">
                  <w:pPr>
                    <w:pStyle w:val="41"/>
                    <w:adjustRightInd w:val="0"/>
                    <w:snapToGrid w:val="0"/>
                    <w:contextualSpacing w:val="0"/>
                    <w:rPr>
                      <w:kern w:val="2"/>
                    </w:rPr>
                  </w:pPr>
                  <w:r>
                    <w:rPr>
                      <w:rFonts w:hint="eastAsia"/>
                    </w:rPr>
                    <w:t>90/1</w:t>
                  </w:r>
                </w:p>
              </w:tc>
              <w:tc>
                <w:tcPr>
                  <w:tcW w:w="281" w:type="pct"/>
                  <w:vMerge w:val="restart"/>
                  <w:tcBorders>
                    <w:tl2br w:val="nil"/>
                    <w:tr2bl w:val="nil"/>
                  </w:tcBorders>
                  <w:vAlign w:val="center"/>
                </w:tcPr>
                <w:p w14:paraId="520AC86E">
                  <w:pPr>
                    <w:pStyle w:val="41"/>
                    <w:adjustRightInd w:val="0"/>
                    <w:snapToGrid w:val="0"/>
                    <w:contextualSpacing w:val="0"/>
                    <w:rPr>
                      <w:kern w:val="2"/>
                      <w:lang w:val="en-US"/>
                    </w:rPr>
                  </w:pPr>
                  <w:r>
                    <w:rPr>
                      <w:rFonts w:hint="eastAsia"/>
                    </w:rPr>
                    <w:t>1</w:t>
                  </w:r>
                </w:p>
              </w:tc>
              <w:tc>
                <w:tcPr>
                  <w:tcW w:w="394" w:type="pct"/>
                  <w:vMerge w:val="restart"/>
                  <w:tcBorders>
                    <w:tl2br w:val="nil"/>
                    <w:tr2bl w:val="nil"/>
                  </w:tcBorders>
                  <w:vAlign w:val="center"/>
                </w:tcPr>
                <w:p w14:paraId="520AC86F">
                  <w:pPr>
                    <w:adjustRightInd w:val="0"/>
                    <w:snapToGrid w:val="0"/>
                    <w:jc w:val="center"/>
                    <w:rPr>
                      <w:kern w:val="0"/>
                      <w:szCs w:val="21"/>
                      <w:highlight w:val="yellow"/>
                    </w:rPr>
                  </w:pPr>
                  <w:r>
                    <w:t>基础减振、厂房隔声</w:t>
                  </w:r>
                </w:p>
              </w:tc>
              <w:tc>
                <w:tcPr>
                  <w:tcW w:w="225" w:type="pct"/>
                  <w:vMerge w:val="restart"/>
                  <w:tcBorders>
                    <w:tl2br w:val="nil"/>
                    <w:tr2bl w:val="nil"/>
                  </w:tcBorders>
                  <w:vAlign w:val="center"/>
                </w:tcPr>
                <w:p w14:paraId="520AC870">
                  <w:pPr>
                    <w:adjustRightInd w:val="0"/>
                    <w:snapToGrid w:val="0"/>
                    <w:jc w:val="center"/>
                    <w:rPr>
                      <w:szCs w:val="21"/>
                    </w:rPr>
                  </w:pPr>
                  <w:r>
                    <w:rPr>
                      <w:rFonts w:hint="eastAsia"/>
                      <w:szCs w:val="21"/>
                    </w:rPr>
                    <w:t>88</w:t>
                  </w:r>
                </w:p>
              </w:tc>
              <w:tc>
                <w:tcPr>
                  <w:tcW w:w="225" w:type="pct"/>
                  <w:vMerge w:val="restart"/>
                  <w:tcBorders>
                    <w:tl2br w:val="nil"/>
                    <w:tr2bl w:val="nil"/>
                  </w:tcBorders>
                  <w:vAlign w:val="center"/>
                </w:tcPr>
                <w:p w14:paraId="520AC871">
                  <w:pPr>
                    <w:adjustRightInd w:val="0"/>
                    <w:snapToGrid w:val="0"/>
                    <w:jc w:val="center"/>
                    <w:rPr>
                      <w:szCs w:val="21"/>
                    </w:rPr>
                  </w:pPr>
                  <w:r>
                    <w:rPr>
                      <w:rFonts w:hint="eastAsia"/>
                      <w:szCs w:val="21"/>
                    </w:rPr>
                    <w:t>86</w:t>
                  </w:r>
                </w:p>
              </w:tc>
              <w:tc>
                <w:tcPr>
                  <w:tcW w:w="282" w:type="pct"/>
                  <w:vMerge w:val="restart"/>
                  <w:tcBorders>
                    <w:tl2br w:val="nil"/>
                    <w:tr2bl w:val="nil"/>
                  </w:tcBorders>
                  <w:vAlign w:val="center"/>
                </w:tcPr>
                <w:p w14:paraId="520AC872">
                  <w:pPr>
                    <w:adjustRightInd w:val="0"/>
                    <w:snapToGrid w:val="0"/>
                    <w:jc w:val="center"/>
                    <w:rPr>
                      <w:szCs w:val="21"/>
                    </w:rPr>
                  </w:pPr>
                  <w:r>
                    <w:rPr>
                      <w:rFonts w:hint="eastAsia"/>
                      <w:szCs w:val="21"/>
                    </w:rPr>
                    <w:t>0.2</w:t>
                  </w:r>
                </w:p>
              </w:tc>
              <w:tc>
                <w:tcPr>
                  <w:tcW w:w="393" w:type="pct"/>
                  <w:tcBorders>
                    <w:tl2br w:val="nil"/>
                    <w:tr2bl w:val="nil"/>
                  </w:tcBorders>
                  <w:vAlign w:val="center"/>
                </w:tcPr>
                <w:p w14:paraId="520AC873">
                  <w:pPr>
                    <w:adjustRightInd w:val="0"/>
                    <w:snapToGrid w:val="0"/>
                    <w:jc w:val="center"/>
                    <w:rPr>
                      <w:szCs w:val="21"/>
                    </w:rPr>
                  </w:pPr>
                  <w:r>
                    <w:rPr>
                      <w:szCs w:val="21"/>
                    </w:rPr>
                    <w:t>东</w:t>
                  </w:r>
                  <w:r>
                    <w:rPr>
                      <w:rFonts w:hint="eastAsia"/>
                      <w:szCs w:val="21"/>
                    </w:rPr>
                    <w:t>8</w:t>
                  </w:r>
                </w:p>
              </w:tc>
              <w:tc>
                <w:tcPr>
                  <w:tcW w:w="450" w:type="pct"/>
                  <w:tcBorders>
                    <w:tl2br w:val="nil"/>
                    <w:tr2bl w:val="nil"/>
                  </w:tcBorders>
                  <w:vAlign w:val="center"/>
                </w:tcPr>
                <w:p w14:paraId="520AC874">
                  <w:pPr>
                    <w:adjustRightInd w:val="0"/>
                    <w:snapToGrid w:val="0"/>
                    <w:jc w:val="center"/>
                    <w:rPr>
                      <w:szCs w:val="21"/>
                    </w:rPr>
                  </w:pPr>
                  <w:r>
                    <w:rPr>
                      <w:rFonts w:hint="eastAsia"/>
                      <w:szCs w:val="21"/>
                    </w:rPr>
                    <w:t>71.9</w:t>
                  </w:r>
                </w:p>
              </w:tc>
              <w:tc>
                <w:tcPr>
                  <w:tcW w:w="281" w:type="pct"/>
                  <w:vMerge w:val="restart"/>
                  <w:tcBorders>
                    <w:tl2br w:val="nil"/>
                    <w:tr2bl w:val="nil"/>
                  </w:tcBorders>
                  <w:vAlign w:val="center"/>
                </w:tcPr>
                <w:p w14:paraId="520AC875">
                  <w:pPr>
                    <w:pStyle w:val="41"/>
                    <w:adjustRightInd w:val="0"/>
                    <w:snapToGrid w:val="0"/>
                    <w:contextualSpacing w:val="0"/>
                    <w:rPr>
                      <w:kern w:val="2"/>
                      <w:lang w:val="en-US"/>
                    </w:rPr>
                  </w:pPr>
                  <w:r>
                    <w:rPr>
                      <w:rFonts w:hint="eastAsia"/>
                    </w:rPr>
                    <w:t>昼夜</w:t>
                  </w:r>
                </w:p>
              </w:tc>
              <w:tc>
                <w:tcPr>
                  <w:tcW w:w="450" w:type="pct"/>
                  <w:vMerge w:val="restart"/>
                  <w:tcBorders>
                    <w:tl2br w:val="nil"/>
                    <w:tr2bl w:val="nil"/>
                  </w:tcBorders>
                  <w:vAlign w:val="center"/>
                </w:tcPr>
                <w:p w14:paraId="520AC876">
                  <w:pPr>
                    <w:pStyle w:val="41"/>
                    <w:adjustRightInd w:val="0"/>
                    <w:snapToGrid w:val="0"/>
                    <w:contextualSpacing w:val="0"/>
                    <w:rPr>
                      <w:lang w:val="en-US"/>
                    </w:rPr>
                  </w:pPr>
                  <w:r>
                    <w:rPr>
                      <w:rFonts w:hint="eastAsia"/>
                      <w:lang w:val="en-US"/>
                    </w:rPr>
                    <w:t>25</w:t>
                  </w:r>
                </w:p>
              </w:tc>
              <w:tc>
                <w:tcPr>
                  <w:tcW w:w="394" w:type="pct"/>
                  <w:tcBorders>
                    <w:tl2br w:val="nil"/>
                    <w:tr2bl w:val="nil"/>
                  </w:tcBorders>
                  <w:vAlign w:val="center"/>
                </w:tcPr>
                <w:p w14:paraId="520AC877">
                  <w:pPr>
                    <w:pStyle w:val="41"/>
                    <w:adjustRightInd w:val="0"/>
                    <w:snapToGrid w:val="0"/>
                    <w:contextualSpacing w:val="0"/>
                  </w:pPr>
                  <w:r>
                    <w:rPr>
                      <w:rFonts w:hint="eastAsia"/>
                    </w:rPr>
                    <w:t>46.9</w:t>
                  </w:r>
                </w:p>
              </w:tc>
              <w:tc>
                <w:tcPr>
                  <w:tcW w:w="372" w:type="pct"/>
                  <w:tcBorders>
                    <w:tl2br w:val="nil"/>
                    <w:tr2bl w:val="nil"/>
                  </w:tcBorders>
                  <w:vAlign w:val="center"/>
                </w:tcPr>
                <w:p w14:paraId="520AC878">
                  <w:pPr>
                    <w:pStyle w:val="41"/>
                    <w:adjustRightInd w:val="0"/>
                    <w:snapToGrid w:val="0"/>
                    <w:contextualSpacing w:val="0"/>
                    <w:rPr>
                      <w:lang w:val="en-US"/>
                    </w:rPr>
                  </w:pPr>
                  <w:r>
                    <w:rPr>
                      <w:rFonts w:hint="eastAsia"/>
                    </w:rPr>
                    <w:t>1</w:t>
                  </w:r>
                </w:p>
              </w:tc>
            </w:tr>
            <w:tr w14:paraId="520AC88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87A">
                  <w:pPr>
                    <w:pStyle w:val="41"/>
                    <w:adjustRightInd w:val="0"/>
                    <w:snapToGrid w:val="0"/>
                    <w:contextualSpacing w:val="0"/>
                  </w:pPr>
                </w:p>
              </w:tc>
              <w:tc>
                <w:tcPr>
                  <w:tcW w:w="314" w:type="pct"/>
                  <w:vMerge w:val="continue"/>
                  <w:tcBorders>
                    <w:tl2br w:val="nil"/>
                    <w:tr2bl w:val="nil"/>
                  </w:tcBorders>
                  <w:vAlign w:val="center"/>
                </w:tcPr>
                <w:p w14:paraId="520AC87B">
                  <w:pPr>
                    <w:pStyle w:val="41"/>
                    <w:adjustRightInd w:val="0"/>
                    <w:snapToGrid w:val="0"/>
                    <w:contextualSpacing w:val="0"/>
                    <w:rPr>
                      <w:highlight w:val="yellow"/>
                    </w:rPr>
                  </w:pPr>
                </w:p>
              </w:tc>
              <w:tc>
                <w:tcPr>
                  <w:tcW w:w="337" w:type="pct"/>
                  <w:vMerge w:val="continue"/>
                  <w:tcBorders>
                    <w:tl2br w:val="nil"/>
                    <w:tr2bl w:val="nil"/>
                  </w:tcBorders>
                  <w:vAlign w:val="center"/>
                </w:tcPr>
                <w:p w14:paraId="520AC87C">
                  <w:pPr>
                    <w:pStyle w:val="41"/>
                    <w:adjustRightInd w:val="0"/>
                    <w:snapToGrid w:val="0"/>
                    <w:contextualSpacing w:val="0"/>
                    <w:rPr>
                      <w:highlight w:val="yellow"/>
                    </w:rPr>
                  </w:pPr>
                </w:p>
              </w:tc>
              <w:tc>
                <w:tcPr>
                  <w:tcW w:w="450" w:type="pct"/>
                  <w:vMerge w:val="continue"/>
                  <w:tcBorders>
                    <w:tl2br w:val="nil"/>
                    <w:tr2bl w:val="nil"/>
                  </w:tcBorders>
                  <w:vAlign w:val="center"/>
                </w:tcPr>
                <w:p w14:paraId="520AC87D">
                  <w:pPr>
                    <w:pStyle w:val="41"/>
                    <w:adjustRightInd w:val="0"/>
                    <w:snapToGrid w:val="0"/>
                    <w:contextualSpacing w:val="0"/>
                    <w:rPr>
                      <w:kern w:val="2"/>
                    </w:rPr>
                  </w:pPr>
                </w:p>
              </w:tc>
              <w:tc>
                <w:tcPr>
                  <w:tcW w:w="281" w:type="pct"/>
                  <w:vMerge w:val="continue"/>
                  <w:tcBorders>
                    <w:tl2br w:val="nil"/>
                    <w:tr2bl w:val="nil"/>
                  </w:tcBorders>
                  <w:vAlign w:val="center"/>
                </w:tcPr>
                <w:p w14:paraId="520AC87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87F">
                  <w:pPr>
                    <w:adjustRightInd w:val="0"/>
                    <w:snapToGrid w:val="0"/>
                    <w:jc w:val="center"/>
                    <w:rPr>
                      <w:kern w:val="0"/>
                      <w:szCs w:val="21"/>
                      <w:highlight w:val="yellow"/>
                    </w:rPr>
                  </w:pPr>
                </w:p>
              </w:tc>
              <w:tc>
                <w:tcPr>
                  <w:tcW w:w="225" w:type="pct"/>
                  <w:vMerge w:val="continue"/>
                  <w:tcBorders>
                    <w:tl2br w:val="nil"/>
                    <w:tr2bl w:val="nil"/>
                  </w:tcBorders>
                  <w:vAlign w:val="center"/>
                </w:tcPr>
                <w:p w14:paraId="520AC880">
                  <w:pPr>
                    <w:adjustRightInd w:val="0"/>
                    <w:snapToGrid w:val="0"/>
                    <w:jc w:val="center"/>
                    <w:rPr>
                      <w:szCs w:val="21"/>
                      <w:highlight w:val="yellow"/>
                    </w:rPr>
                  </w:pPr>
                </w:p>
              </w:tc>
              <w:tc>
                <w:tcPr>
                  <w:tcW w:w="225" w:type="pct"/>
                  <w:vMerge w:val="continue"/>
                  <w:tcBorders>
                    <w:tl2br w:val="nil"/>
                    <w:tr2bl w:val="nil"/>
                  </w:tcBorders>
                  <w:vAlign w:val="center"/>
                </w:tcPr>
                <w:p w14:paraId="520AC881">
                  <w:pPr>
                    <w:adjustRightInd w:val="0"/>
                    <w:snapToGrid w:val="0"/>
                    <w:jc w:val="center"/>
                    <w:rPr>
                      <w:szCs w:val="21"/>
                      <w:highlight w:val="yellow"/>
                    </w:rPr>
                  </w:pPr>
                </w:p>
              </w:tc>
              <w:tc>
                <w:tcPr>
                  <w:tcW w:w="282" w:type="pct"/>
                  <w:vMerge w:val="continue"/>
                  <w:tcBorders>
                    <w:tl2br w:val="nil"/>
                    <w:tr2bl w:val="nil"/>
                  </w:tcBorders>
                  <w:vAlign w:val="center"/>
                </w:tcPr>
                <w:p w14:paraId="520AC882">
                  <w:pPr>
                    <w:adjustRightInd w:val="0"/>
                    <w:snapToGrid w:val="0"/>
                    <w:jc w:val="center"/>
                    <w:rPr>
                      <w:szCs w:val="21"/>
                    </w:rPr>
                  </w:pPr>
                </w:p>
              </w:tc>
              <w:tc>
                <w:tcPr>
                  <w:tcW w:w="393" w:type="pct"/>
                  <w:tcBorders>
                    <w:tl2br w:val="nil"/>
                    <w:tr2bl w:val="nil"/>
                  </w:tcBorders>
                  <w:vAlign w:val="center"/>
                </w:tcPr>
                <w:p w14:paraId="520AC883">
                  <w:pPr>
                    <w:adjustRightInd w:val="0"/>
                    <w:snapToGrid w:val="0"/>
                    <w:jc w:val="center"/>
                    <w:rPr>
                      <w:szCs w:val="21"/>
                    </w:rPr>
                  </w:pPr>
                  <w:r>
                    <w:rPr>
                      <w:szCs w:val="21"/>
                    </w:rPr>
                    <w:t>西</w:t>
                  </w:r>
                  <w:r>
                    <w:rPr>
                      <w:rFonts w:hint="eastAsia"/>
                      <w:szCs w:val="21"/>
                    </w:rPr>
                    <w:t>45</w:t>
                  </w:r>
                </w:p>
              </w:tc>
              <w:tc>
                <w:tcPr>
                  <w:tcW w:w="450" w:type="pct"/>
                  <w:tcBorders>
                    <w:tl2br w:val="nil"/>
                    <w:tr2bl w:val="nil"/>
                  </w:tcBorders>
                  <w:vAlign w:val="center"/>
                </w:tcPr>
                <w:p w14:paraId="520AC884">
                  <w:pPr>
                    <w:adjustRightInd w:val="0"/>
                    <w:snapToGrid w:val="0"/>
                    <w:jc w:val="center"/>
                    <w:rPr>
                      <w:szCs w:val="21"/>
                    </w:rPr>
                  </w:pPr>
                  <w:r>
                    <w:rPr>
                      <w:rFonts w:hint="eastAsia"/>
                      <w:szCs w:val="21"/>
                    </w:rPr>
                    <w:t>56.9</w:t>
                  </w:r>
                </w:p>
              </w:tc>
              <w:tc>
                <w:tcPr>
                  <w:tcW w:w="281" w:type="pct"/>
                  <w:vMerge w:val="continue"/>
                  <w:tcBorders>
                    <w:tl2br w:val="nil"/>
                    <w:tr2bl w:val="nil"/>
                  </w:tcBorders>
                  <w:vAlign w:val="center"/>
                </w:tcPr>
                <w:p w14:paraId="520AC885">
                  <w:pPr>
                    <w:pStyle w:val="41"/>
                    <w:adjustRightInd w:val="0"/>
                    <w:snapToGrid w:val="0"/>
                    <w:contextualSpacing w:val="0"/>
                    <w:rPr>
                      <w:kern w:val="2"/>
                      <w:lang w:val="en-US"/>
                    </w:rPr>
                  </w:pPr>
                </w:p>
              </w:tc>
              <w:tc>
                <w:tcPr>
                  <w:tcW w:w="450" w:type="pct"/>
                  <w:vMerge w:val="continue"/>
                  <w:tcBorders>
                    <w:tl2br w:val="nil"/>
                    <w:tr2bl w:val="nil"/>
                  </w:tcBorders>
                  <w:vAlign w:val="center"/>
                </w:tcPr>
                <w:p w14:paraId="520AC886">
                  <w:pPr>
                    <w:pStyle w:val="41"/>
                    <w:adjustRightInd w:val="0"/>
                    <w:snapToGrid w:val="0"/>
                    <w:contextualSpacing w:val="0"/>
                    <w:rPr>
                      <w:lang w:val="en-US"/>
                    </w:rPr>
                  </w:pPr>
                </w:p>
              </w:tc>
              <w:tc>
                <w:tcPr>
                  <w:tcW w:w="394" w:type="pct"/>
                  <w:tcBorders>
                    <w:tl2br w:val="nil"/>
                    <w:tr2bl w:val="nil"/>
                  </w:tcBorders>
                  <w:vAlign w:val="center"/>
                </w:tcPr>
                <w:p w14:paraId="520AC887">
                  <w:pPr>
                    <w:pStyle w:val="41"/>
                    <w:adjustRightInd w:val="0"/>
                    <w:snapToGrid w:val="0"/>
                    <w:contextualSpacing w:val="0"/>
                  </w:pPr>
                  <w:r>
                    <w:rPr>
                      <w:rFonts w:hint="eastAsia"/>
                    </w:rPr>
                    <w:t>31.9</w:t>
                  </w:r>
                </w:p>
              </w:tc>
              <w:tc>
                <w:tcPr>
                  <w:tcW w:w="372" w:type="pct"/>
                  <w:tcBorders>
                    <w:tl2br w:val="nil"/>
                    <w:tr2bl w:val="nil"/>
                  </w:tcBorders>
                  <w:vAlign w:val="center"/>
                </w:tcPr>
                <w:p w14:paraId="520AC888">
                  <w:pPr>
                    <w:pStyle w:val="41"/>
                    <w:adjustRightInd w:val="0"/>
                    <w:snapToGrid w:val="0"/>
                    <w:contextualSpacing w:val="0"/>
                    <w:rPr>
                      <w:lang w:val="en-US"/>
                    </w:rPr>
                  </w:pPr>
                  <w:r>
                    <w:rPr>
                      <w:rFonts w:hint="eastAsia"/>
                    </w:rPr>
                    <w:t>1</w:t>
                  </w:r>
                </w:p>
              </w:tc>
            </w:tr>
            <w:tr w14:paraId="520AC89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88A">
                  <w:pPr>
                    <w:pStyle w:val="41"/>
                    <w:adjustRightInd w:val="0"/>
                    <w:snapToGrid w:val="0"/>
                    <w:contextualSpacing w:val="0"/>
                  </w:pPr>
                </w:p>
              </w:tc>
              <w:tc>
                <w:tcPr>
                  <w:tcW w:w="314" w:type="pct"/>
                  <w:vMerge w:val="continue"/>
                  <w:tcBorders>
                    <w:tl2br w:val="nil"/>
                    <w:tr2bl w:val="nil"/>
                  </w:tcBorders>
                  <w:vAlign w:val="center"/>
                </w:tcPr>
                <w:p w14:paraId="520AC88B">
                  <w:pPr>
                    <w:pStyle w:val="41"/>
                    <w:adjustRightInd w:val="0"/>
                    <w:snapToGrid w:val="0"/>
                    <w:contextualSpacing w:val="0"/>
                    <w:rPr>
                      <w:highlight w:val="yellow"/>
                    </w:rPr>
                  </w:pPr>
                </w:p>
              </w:tc>
              <w:tc>
                <w:tcPr>
                  <w:tcW w:w="337" w:type="pct"/>
                  <w:vMerge w:val="continue"/>
                  <w:tcBorders>
                    <w:tl2br w:val="nil"/>
                    <w:tr2bl w:val="nil"/>
                  </w:tcBorders>
                  <w:vAlign w:val="center"/>
                </w:tcPr>
                <w:p w14:paraId="520AC88C">
                  <w:pPr>
                    <w:pStyle w:val="41"/>
                    <w:adjustRightInd w:val="0"/>
                    <w:snapToGrid w:val="0"/>
                    <w:contextualSpacing w:val="0"/>
                    <w:rPr>
                      <w:highlight w:val="yellow"/>
                    </w:rPr>
                  </w:pPr>
                </w:p>
              </w:tc>
              <w:tc>
                <w:tcPr>
                  <w:tcW w:w="450" w:type="pct"/>
                  <w:vMerge w:val="continue"/>
                  <w:tcBorders>
                    <w:tl2br w:val="nil"/>
                    <w:tr2bl w:val="nil"/>
                  </w:tcBorders>
                  <w:vAlign w:val="center"/>
                </w:tcPr>
                <w:p w14:paraId="520AC88D">
                  <w:pPr>
                    <w:pStyle w:val="41"/>
                    <w:adjustRightInd w:val="0"/>
                    <w:snapToGrid w:val="0"/>
                    <w:contextualSpacing w:val="0"/>
                    <w:rPr>
                      <w:kern w:val="2"/>
                    </w:rPr>
                  </w:pPr>
                </w:p>
              </w:tc>
              <w:tc>
                <w:tcPr>
                  <w:tcW w:w="281" w:type="pct"/>
                  <w:vMerge w:val="continue"/>
                  <w:tcBorders>
                    <w:tl2br w:val="nil"/>
                    <w:tr2bl w:val="nil"/>
                  </w:tcBorders>
                  <w:vAlign w:val="center"/>
                </w:tcPr>
                <w:p w14:paraId="520AC88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88F">
                  <w:pPr>
                    <w:adjustRightInd w:val="0"/>
                    <w:snapToGrid w:val="0"/>
                    <w:jc w:val="center"/>
                    <w:rPr>
                      <w:kern w:val="0"/>
                      <w:szCs w:val="21"/>
                      <w:highlight w:val="yellow"/>
                    </w:rPr>
                  </w:pPr>
                </w:p>
              </w:tc>
              <w:tc>
                <w:tcPr>
                  <w:tcW w:w="225" w:type="pct"/>
                  <w:vMerge w:val="continue"/>
                  <w:tcBorders>
                    <w:tl2br w:val="nil"/>
                    <w:tr2bl w:val="nil"/>
                  </w:tcBorders>
                  <w:vAlign w:val="center"/>
                </w:tcPr>
                <w:p w14:paraId="520AC890">
                  <w:pPr>
                    <w:adjustRightInd w:val="0"/>
                    <w:snapToGrid w:val="0"/>
                    <w:jc w:val="center"/>
                    <w:rPr>
                      <w:szCs w:val="21"/>
                      <w:highlight w:val="yellow"/>
                    </w:rPr>
                  </w:pPr>
                </w:p>
              </w:tc>
              <w:tc>
                <w:tcPr>
                  <w:tcW w:w="225" w:type="pct"/>
                  <w:vMerge w:val="continue"/>
                  <w:tcBorders>
                    <w:tl2br w:val="nil"/>
                    <w:tr2bl w:val="nil"/>
                  </w:tcBorders>
                  <w:vAlign w:val="center"/>
                </w:tcPr>
                <w:p w14:paraId="520AC891">
                  <w:pPr>
                    <w:adjustRightInd w:val="0"/>
                    <w:snapToGrid w:val="0"/>
                    <w:jc w:val="center"/>
                    <w:rPr>
                      <w:szCs w:val="21"/>
                      <w:highlight w:val="yellow"/>
                    </w:rPr>
                  </w:pPr>
                </w:p>
              </w:tc>
              <w:tc>
                <w:tcPr>
                  <w:tcW w:w="282" w:type="pct"/>
                  <w:vMerge w:val="continue"/>
                  <w:tcBorders>
                    <w:tl2br w:val="nil"/>
                    <w:tr2bl w:val="nil"/>
                  </w:tcBorders>
                  <w:vAlign w:val="center"/>
                </w:tcPr>
                <w:p w14:paraId="520AC892">
                  <w:pPr>
                    <w:adjustRightInd w:val="0"/>
                    <w:snapToGrid w:val="0"/>
                    <w:jc w:val="center"/>
                    <w:rPr>
                      <w:szCs w:val="21"/>
                    </w:rPr>
                  </w:pPr>
                </w:p>
              </w:tc>
              <w:tc>
                <w:tcPr>
                  <w:tcW w:w="393" w:type="pct"/>
                  <w:tcBorders>
                    <w:tl2br w:val="nil"/>
                    <w:tr2bl w:val="nil"/>
                  </w:tcBorders>
                  <w:vAlign w:val="center"/>
                </w:tcPr>
                <w:p w14:paraId="520AC893">
                  <w:pPr>
                    <w:adjustRightInd w:val="0"/>
                    <w:snapToGrid w:val="0"/>
                    <w:jc w:val="center"/>
                    <w:rPr>
                      <w:szCs w:val="21"/>
                    </w:rPr>
                  </w:pPr>
                  <w:r>
                    <w:rPr>
                      <w:szCs w:val="21"/>
                    </w:rPr>
                    <w:t>南</w:t>
                  </w:r>
                  <w:r>
                    <w:rPr>
                      <w:rFonts w:hint="eastAsia"/>
                      <w:szCs w:val="21"/>
                    </w:rPr>
                    <w:t>9</w:t>
                  </w:r>
                </w:p>
              </w:tc>
              <w:tc>
                <w:tcPr>
                  <w:tcW w:w="450" w:type="pct"/>
                  <w:tcBorders>
                    <w:tl2br w:val="nil"/>
                    <w:tr2bl w:val="nil"/>
                  </w:tcBorders>
                  <w:vAlign w:val="center"/>
                </w:tcPr>
                <w:p w14:paraId="520AC894">
                  <w:pPr>
                    <w:adjustRightInd w:val="0"/>
                    <w:snapToGrid w:val="0"/>
                    <w:jc w:val="center"/>
                    <w:rPr>
                      <w:szCs w:val="21"/>
                    </w:rPr>
                  </w:pPr>
                  <w:r>
                    <w:rPr>
                      <w:rFonts w:hint="eastAsia"/>
                      <w:szCs w:val="21"/>
                    </w:rPr>
                    <w:t>70.9</w:t>
                  </w:r>
                </w:p>
              </w:tc>
              <w:tc>
                <w:tcPr>
                  <w:tcW w:w="281" w:type="pct"/>
                  <w:vMerge w:val="continue"/>
                  <w:tcBorders>
                    <w:tl2br w:val="nil"/>
                    <w:tr2bl w:val="nil"/>
                  </w:tcBorders>
                  <w:vAlign w:val="center"/>
                </w:tcPr>
                <w:p w14:paraId="520AC895">
                  <w:pPr>
                    <w:pStyle w:val="41"/>
                    <w:adjustRightInd w:val="0"/>
                    <w:snapToGrid w:val="0"/>
                    <w:contextualSpacing w:val="0"/>
                    <w:rPr>
                      <w:kern w:val="2"/>
                      <w:lang w:val="en-US"/>
                    </w:rPr>
                  </w:pPr>
                </w:p>
              </w:tc>
              <w:tc>
                <w:tcPr>
                  <w:tcW w:w="450" w:type="pct"/>
                  <w:vMerge w:val="continue"/>
                  <w:tcBorders>
                    <w:tl2br w:val="nil"/>
                    <w:tr2bl w:val="nil"/>
                  </w:tcBorders>
                  <w:vAlign w:val="center"/>
                </w:tcPr>
                <w:p w14:paraId="520AC896">
                  <w:pPr>
                    <w:pStyle w:val="41"/>
                    <w:adjustRightInd w:val="0"/>
                    <w:snapToGrid w:val="0"/>
                    <w:contextualSpacing w:val="0"/>
                    <w:rPr>
                      <w:lang w:val="en-US"/>
                    </w:rPr>
                  </w:pPr>
                </w:p>
              </w:tc>
              <w:tc>
                <w:tcPr>
                  <w:tcW w:w="394" w:type="pct"/>
                  <w:tcBorders>
                    <w:tl2br w:val="nil"/>
                    <w:tr2bl w:val="nil"/>
                  </w:tcBorders>
                  <w:vAlign w:val="center"/>
                </w:tcPr>
                <w:p w14:paraId="520AC897">
                  <w:pPr>
                    <w:pStyle w:val="41"/>
                    <w:adjustRightInd w:val="0"/>
                    <w:snapToGrid w:val="0"/>
                    <w:contextualSpacing w:val="0"/>
                  </w:pPr>
                  <w:r>
                    <w:rPr>
                      <w:rFonts w:hint="eastAsia"/>
                    </w:rPr>
                    <w:t>45.9</w:t>
                  </w:r>
                </w:p>
              </w:tc>
              <w:tc>
                <w:tcPr>
                  <w:tcW w:w="372" w:type="pct"/>
                  <w:tcBorders>
                    <w:tl2br w:val="nil"/>
                    <w:tr2bl w:val="nil"/>
                  </w:tcBorders>
                  <w:vAlign w:val="center"/>
                </w:tcPr>
                <w:p w14:paraId="520AC898">
                  <w:pPr>
                    <w:pStyle w:val="41"/>
                    <w:adjustRightInd w:val="0"/>
                    <w:snapToGrid w:val="0"/>
                    <w:contextualSpacing w:val="0"/>
                    <w:rPr>
                      <w:lang w:val="en-US"/>
                    </w:rPr>
                  </w:pPr>
                  <w:r>
                    <w:rPr>
                      <w:rFonts w:hint="eastAsia"/>
                    </w:rPr>
                    <w:t>1</w:t>
                  </w:r>
                </w:p>
              </w:tc>
            </w:tr>
            <w:tr w14:paraId="520AC8A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89A">
                  <w:pPr>
                    <w:pStyle w:val="41"/>
                    <w:adjustRightInd w:val="0"/>
                    <w:snapToGrid w:val="0"/>
                    <w:contextualSpacing w:val="0"/>
                  </w:pPr>
                </w:p>
              </w:tc>
              <w:tc>
                <w:tcPr>
                  <w:tcW w:w="314" w:type="pct"/>
                  <w:vMerge w:val="continue"/>
                  <w:tcBorders>
                    <w:tl2br w:val="nil"/>
                    <w:tr2bl w:val="nil"/>
                  </w:tcBorders>
                  <w:vAlign w:val="center"/>
                </w:tcPr>
                <w:p w14:paraId="520AC89B">
                  <w:pPr>
                    <w:pStyle w:val="41"/>
                    <w:adjustRightInd w:val="0"/>
                    <w:snapToGrid w:val="0"/>
                    <w:contextualSpacing w:val="0"/>
                    <w:rPr>
                      <w:highlight w:val="yellow"/>
                    </w:rPr>
                  </w:pPr>
                </w:p>
              </w:tc>
              <w:tc>
                <w:tcPr>
                  <w:tcW w:w="337" w:type="pct"/>
                  <w:vMerge w:val="continue"/>
                  <w:tcBorders>
                    <w:tl2br w:val="nil"/>
                    <w:tr2bl w:val="nil"/>
                  </w:tcBorders>
                  <w:vAlign w:val="center"/>
                </w:tcPr>
                <w:p w14:paraId="520AC89C">
                  <w:pPr>
                    <w:pStyle w:val="41"/>
                    <w:adjustRightInd w:val="0"/>
                    <w:snapToGrid w:val="0"/>
                    <w:contextualSpacing w:val="0"/>
                    <w:rPr>
                      <w:highlight w:val="yellow"/>
                    </w:rPr>
                  </w:pPr>
                </w:p>
              </w:tc>
              <w:tc>
                <w:tcPr>
                  <w:tcW w:w="450" w:type="pct"/>
                  <w:vMerge w:val="continue"/>
                  <w:tcBorders>
                    <w:tl2br w:val="nil"/>
                    <w:tr2bl w:val="nil"/>
                  </w:tcBorders>
                  <w:vAlign w:val="center"/>
                </w:tcPr>
                <w:p w14:paraId="520AC89D">
                  <w:pPr>
                    <w:pStyle w:val="41"/>
                    <w:adjustRightInd w:val="0"/>
                    <w:snapToGrid w:val="0"/>
                    <w:contextualSpacing w:val="0"/>
                    <w:rPr>
                      <w:kern w:val="2"/>
                    </w:rPr>
                  </w:pPr>
                </w:p>
              </w:tc>
              <w:tc>
                <w:tcPr>
                  <w:tcW w:w="281" w:type="pct"/>
                  <w:vMerge w:val="continue"/>
                  <w:tcBorders>
                    <w:tl2br w:val="nil"/>
                    <w:tr2bl w:val="nil"/>
                  </w:tcBorders>
                  <w:vAlign w:val="center"/>
                </w:tcPr>
                <w:p w14:paraId="520AC89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89F">
                  <w:pPr>
                    <w:adjustRightInd w:val="0"/>
                    <w:snapToGrid w:val="0"/>
                    <w:jc w:val="center"/>
                    <w:rPr>
                      <w:kern w:val="0"/>
                      <w:szCs w:val="21"/>
                      <w:highlight w:val="yellow"/>
                    </w:rPr>
                  </w:pPr>
                </w:p>
              </w:tc>
              <w:tc>
                <w:tcPr>
                  <w:tcW w:w="225" w:type="pct"/>
                  <w:vMerge w:val="continue"/>
                  <w:tcBorders>
                    <w:tl2br w:val="nil"/>
                    <w:tr2bl w:val="nil"/>
                  </w:tcBorders>
                  <w:vAlign w:val="center"/>
                </w:tcPr>
                <w:p w14:paraId="520AC8A0">
                  <w:pPr>
                    <w:adjustRightInd w:val="0"/>
                    <w:snapToGrid w:val="0"/>
                    <w:jc w:val="center"/>
                    <w:rPr>
                      <w:szCs w:val="21"/>
                      <w:highlight w:val="yellow"/>
                    </w:rPr>
                  </w:pPr>
                </w:p>
              </w:tc>
              <w:tc>
                <w:tcPr>
                  <w:tcW w:w="225" w:type="pct"/>
                  <w:vMerge w:val="continue"/>
                  <w:tcBorders>
                    <w:tl2br w:val="nil"/>
                    <w:tr2bl w:val="nil"/>
                  </w:tcBorders>
                  <w:vAlign w:val="center"/>
                </w:tcPr>
                <w:p w14:paraId="520AC8A1">
                  <w:pPr>
                    <w:adjustRightInd w:val="0"/>
                    <w:snapToGrid w:val="0"/>
                    <w:jc w:val="center"/>
                    <w:rPr>
                      <w:szCs w:val="21"/>
                      <w:highlight w:val="yellow"/>
                    </w:rPr>
                  </w:pPr>
                </w:p>
              </w:tc>
              <w:tc>
                <w:tcPr>
                  <w:tcW w:w="282" w:type="pct"/>
                  <w:vMerge w:val="continue"/>
                  <w:tcBorders>
                    <w:tl2br w:val="nil"/>
                    <w:tr2bl w:val="nil"/>
                  </w:tcBorders>
                  <w:vAlign w:val="center"/>
                </w:tcPr>
                <w:p w14:paraId="520AC8A2">
                  <w:pPr>
                    <w:adjustRightInd w:val="0"/>
                    <w:snapToGrid w:val="0"/>
                    <w:jc w:val="center"/>
                    <w:rPr>
                      <w:szCs w:val="21"/>
                    </w:rPr>
                  </w:pPr>
                </w:p>
              </w:tc>
              <w:tc>
                <w:tcPr>
                  <w:tcW w:w="393" w:type="pct"/>
                  <w:tcBorders>
                    <w:tl2br w:val="nil"/>
                    <w:tr2bl w:val="nil"/>
                  </w:tcBorders>
                  <w:vAlign w:val="center"/>
                </w:tcPr>
                <w:p w14:paraId="520AC8A3">
                  <w:pPr>
                    <w:adjustRightInd w:val="0"/>
                    <w:snapToGrid w:val="0"/>
                    <w:jc w:val="center"/>
                    <w:rPr>
                      <w:szCs w:val="21"/>
                    </w:rPr>
                  </w:pPr>
                  <w:r>
                    <w:rPr>
                      <w:szCs w:val="21"/>
                    </w:rPr>
                    <w:t>北</w:t>
                  </w:r>
                  <w:r>
                    <w:rPr>
                      <w:rFonts w:hint="eastAsia"/>
                      <w:szCs w:val="21"/>
                    </w:rPr>
                    <w:t>119</w:t>
                  </w:r>
                </w:p>
              </w:tc>
              <w:tc>
                <w:tcPr>
                  <w:tcW w:w="450" w:type="pct"/>
                  <w:tcBorders>
                    <w:tl2br w:val="nil"/>
                    <w:tr2bl w:val="nil"/>
                  </w:tcBorders>
                  <w:vAlign w:val="center"/>
                </w:tcPr>
                <w:p w14:paraId="520AC8A4">
                  <w:pPr>
                    <w:adjustRightInd w:val="0"/>
                    <w:snapToGrid w:val="0"/>
                    <w:jc w:val="center"/>
                    <w:rPr>
                      <w:szCs w:val="21"/>
                    </w:rPr>
                  </w:pPr>
                  <w:r>
                    <w:rPr>
                      <w:rFonts w:hint="eastAsia"/>
                      <w:szCs w:val="21"/>
                    </w:rPr>
                    <w:t>48.5</w:t>
                  </w:r>
                </w:p>
              </w:tc>
              <w:tc>
                <w:tcPr>
                  <w:tcW w:w="281" w:type="pct"/>
                  <w:vMerge w:val="continue"/>
                  <w:tcBorders>
                    <w:tl2br w:val="nil"/>
                    <w:tr2bl w:val="nil"/>
                  </w:tcBorders>
                  <w:vAlign w:val="center"/>
                </w:tcPr>
                <w:p w14:paraId="520AC8A5">
                  <w:pPr>
                    <w:pStyle w:val="41"/>
                    <w:adjustRightInd w:val="0"/>
                    <w:snapToGrid w:val="0"/>
                    <w:contextualSpacing w:val="0"/>
                    <w:rPr>
                      <w:kern w:val="2"/>
                      <w:lang w:val="en-US"/>
                    </w:rPr>
                  </w:pPr>
                </w:p>
              </w:tc>
              <w:tc>
                <w:tcPr>
                  <w:tcW w:w="450" w:type="pct"/>
                  <w:vMerge w:val="continue"/>
                  <w:tcBorders>
                    <w:tl2br w:val="nil"/>
                    <w:tr2bl w:val="nil"/>
                  </w:tcBorders>
                  <w:vAlign w:val="center"/>
                </w:tcPr>
                <w:p w14:paraId="520AC8A6">
                  <w:pPr>
                    <w:pStyle w:val="41"/>
                    <w:adjustRightInd w:val="0"/>
                    <w:snapToGrid w:val="0"/>
                    <w:contextualSpacing w:val="0"/>
                    <w:rPr>
                      <w:lang w:val="en-US"/>
                    </w:rPr>
                  </w:pPr>
                </w:p>
              </w:tc>
              <w:tc>
                <w:tcPr>
                  <w:tcW w:w="394" w:type="pct"/>
                  <w:tcBorders>
                    <w:tl2br w:val="nil"/>
                    <w:tr2bl w:val="nil"/>
                  </w:tcBorders>
                  <w:vAlign w:val="center"/>
                </w:tcPr>
                <w:p w14:paraId="520AC8A7">
                  <w:pPr>
                    <w:pStyle w:val="41"/>
                    <w:adjustRightInd w:val="0"/>
                    <w:snapToGrid w:val="0"/>
                    <w:contextualSpacing w:val="0"/>
                  </w:pPr>
                  <w:r>
                    <w:rPr>
                      <w:rFonts w:hint="eastAsia"/>
                    </w:rPr>
                    <w:t>23.5</w:t>
                  </w:r>
                </w:p>
              </w:tc>
              <w:tc>
                <w:tcPr>
                  <w:tcW w:w="372" w:type="pct"/>
                  <w:tcBorders>
                    <w:tl2br w:val="nil"/>
                    <w:tr2bl w:val="nil"/>
                  </w:tcBorders>
                  <w:vAlign w:val="center"/>
                </w:tcPr>
                <w:p w14:paraId="520AC8A8">
                  <w:pPr>
                    <w:pStyle w:val="41"/>
                    <w:adjustRightInd w:val="0"/>
                    <w:snapToGrid w:val="0"/>
                    <w:contextualSpacing w:val="0"/>
                    <w:rPr>
                      <w:lang w:val="en-US"/>
                    </w:rPr>
                  </w:pPr>
                  <w:r>
                    <w:rPr>
                      <w:rFonts w:hint="eastAsia"/>
                    </w:rPr>
                    <w:t>1</w:t>
                  </w:r>
                </w:p>
              </w:tc>
            </w:tr>
            <w:tr w14:paraId="520AC8B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restart"/>
                  <w:tcBorders>
                    <w:tl2br w:val="nil"/>
                    <w:tr2bl w:val="nil"/>
                  </w:tcBorders>
                  <w:vAlign w:val="center"/>
                </w:tcPr>
                <w:p w14:paraId="520AC8AA">
                  <w:pPr>
                    <w:pStyle w:val="41"/>
                    <w:adjustRightInd w:val="0"/>
                    <w:snapToGrid w:val="0"/>
                    <w:contextualSpacing w:val="0"/>
                  </w:pPr>
                  <w:r>
                    <w:rPr>
                      <w:rFonts w:hint="eastAsia"/>
                    </w:rPr>
                    <w:t>2</w:t>
                  </w:r>
                </w:p>
              </w:tc>
              <w:tc>
                <w:tcPr>
                  <w:tcW w:w="314" w:type="pct"/>
                  <w:vMerge w:val="restart"/>
                  <w:tcBorders>
                    <w:tl2br w:val="nil"/>
                    <w:tr2bl w:val="nil"/>
                  </w:tcBorders>
                  <w:vAlign w:val="center"/>
                </w:tcPr>
                <w:p w14:paraId="520AC8AB">
                  <w:pPr>
                    <w:pStyle w:val="41"/>
                    <w:adjustRightInd w:val="0"/>
                    <w:snapToGrid w:val="0"/>
                    <w:contextualSpacing w:val="0"/>
                    <w:rPr>
                      <w:highlight w:val="yellow"/>
                    </w:rPr>
                  </w:pPr>
                  <w:r>
                    <w:t>1205厂房</w:t>
                  </w:r>
                </w:p>
              </w:tc>
              <w:tc>
                <w:tcPr>
                  <w:tcW w:w="337" w:type="pct"/>
                  <w:vMerge w:val="restart"/>
                  <w:tcBorders>
                    <w:tl2br w:val="nil"/>
                    <w:tr2bl w:val="nil"/>
                  </w:tcBorders>
                  <w:vAlign w:val="center"/>
                </w:tcPr>
                <w:p w14:paraId="520AC8AC">
                  <w:pPr>
                    <w:pStyle w:val="41"/>
                    <w:adjustRightInd w:val="0"/>
                    <w:snapToGrid w:val="0"/>
                    <w:contextualSpacing w:val="0"/>
                    <w:rPr>
                      <w:highlight w:val="yellow"/>
                    </w:rPr>
                  </w:pPr>
                  <w:r>
                    <w:rPr>
                      <w:rFonts w:hint="eastAsia"/>
                    </w:rPr>
                    <w:t>滑油冲洗试验台</w:t>
                  </w:r>
                </w:p>
              </w:tc>
              <w:tc>
                <w:tcPr>
                  <w:tcW w:w="450" w:type="pct"/>
                  <w:vMerge w:val="restart"/>
                  <w:tcBorders>
                    <w:tl2br w:val="nil"/>
                    <w:tr2bl w:val="nil"/>
                  </w:tcBorders>
                  <w:vAlign w:val="center"/>
                </w:tcPr>
                <w:p w14:paraId="520AC8AD">
                  <w:pPr>
                    <w:pStyle w:val="41"/>
                    <w:adjustRightInd w:val="0"/>
                    <w:snapToGrid w:val="0"/>
                    <w:contextualSpacing w:val="0"/>
                    <w:rPr>
                      <w:kern w:val="2"/>
                    </w:rPr>
                  </w:pPr>
                  <w:r>
                    <w:rPr>
                      <w:rFonts w:hint="eastAsia"/>
                    </w:rPr>
                    <w:t>8</w:t>
                  </w:r>
                  <w:r>
                    <w:t>0</w:t>
                  </w:r>
                  <w:r>
                    <w:rPr>
                      <w:rFonts w:hint="eastAsia"/>
                    </w:rPr>
                    <w:t>/1</w:t>
                  </w:r>
                </w:p>
              </w:tc>
              <w:tc>
                <w:tcPr>
                  <w:tcW w:w="281" w:type="pct"/>
                  <w:vMerge w:val="restart"/>
                  <w:tcBorders>
                    <w:tl2br w:val="nil"/>
                    <w:tr2bl w:val="nil"/>
                  </w:tcBorders>
                  <w:vAlign w:val="center"/>
                </w:tcPr>
                <w:p w14:paraId="520AC8AE">
                  <w:pPr>
                    <w:pStyle w:val="41"/>
                    <w:adjustRightInd w:val="0"/>
                    <w:snapToGrid w:val="0"/>
                    <w:contextualSpacing w:val="0"/>
                    <w:rPr>
                      <w:kern w:val="2"/>
                      <w:lang w:val="en-US"/>
                    </w:rPr>
                  </w:pPr>
                  <w:r>
                    <w:rPr>
                      <w:rFonts w:hint="eastAsia"/>
                    </w:rPr>
                    <w:t>1</w:t>
                  </w:r>
                </w:p>
              </w:tc>
              <w:tc>
                <w:tcPr>
                  <w:tcW w:w="394" w:type="pct"/>
                  <w:vMerge w:val="restart"/>
                  <w:tcBorders>
                    <w:tl2br w:val="nil"/>
                    <w:tr2bl w:val="nil"/>
                  </w:tcBorders>
                  <w:vAlign w:val="center"/>
                </w:tcPr>
                <w:p w14:paraId="520AC8AF">
                  <w:pPr>
                    <w:adjustRightInd w:val="0"/>
                    <w:snapToGrid w:val="0"/>
                    <w:jc w:val="center"/>
                    <w:rPr>
                      <w:kern w:val="0"/>
                      <w:szCs w:val="21"/>
                      <w:highlight w:val="yellow"/>
                    </w:rPr>
                  </w:pPr>
                  <w:r>
                    <w:t>基础减振、厂房隔声</w:t>
                  </w:r>
                </w:p>
              </w:tc>
              <w:tc>
                <w:tcPr>
                  <w:tcW w:w="225" w:type="pct"/>
                  <w:vMerge w:val="restart"/>
                  <w:tcBorders>
                    <w:tl2br w:val="nil"/>
                    <w:tr2bl w:val="nil"/>
                  </w:tcBorders>
                  <w:vAlign w:val="center"/>
                </w:tcPr>
                <w:p w14:paraId="520AC8B0">
                  <w:pPr>
                    <w:adjustRightInd w:val="0"/>
                    <w:snapToGrid w:val="0"/>
                    <w:jc w:val="center"/>
                    <w:rPr>
                      <w:szCs w:val="21"/>
                    </w:rPr>
                  </w:pPr>
                  <w:r>
                    <w:rPr>
                      <w:rFonts w:hint="eastAsia"/>
                      <w:szCs w:val="21"/>
                    </w:rPr>
                    <w:t>254</w:t>
                  </w:r>
                </w:p>
              </w:tc>
              <w:tc>
                <w:tcPr>
                  <w:tcW w:w="225" w:type="pct"/>
                  <w:vMerge w:val="restart"/>
                  <w:tcBorders>
                    <w:tl2br w:val="nil"/>
                    <w:tr2bl w:val="nil"/>
                  </w:tcBorders>
                  <w:vAlign w:val="center"/>
                </w:tcPr>
                <w:p w14:paraId="520AC8B1">
                  <w:pPr>
                    <w:adjustRightInd w:val="0"/>
                    <w:snapToGrid w:val="0"/>
                    <w:jc w:val="center"/>
                    <w:rPr>
                      <w:szCs w:val="21"/>
                    </w:rPr>
                  </w:pPr>
                  <w:r>
                    <w:rPr>
                      <w:rFonts w:hint="eastAsia"/>
                      <w:szCs w:val="21"/>
                    </w:rPr>
                    <w:t>271</w:t>
                  </w:r>
                </w:p>
              </w:tc>
              <w:tc>
                <w:tcPr>
                  <w:tcW w:w="282" w:type="pct"/>
                  <w:vMerge w:val="restart"/>
                  <w:tcBorders>
                    <w:tl2br w:val="nil"/>
                    <w:tr2bl w:val="nil"/>
                  </w:tcBorders>
                  <w:vAlign w:val="center"/>
                </w:tcPr>
                <w:p w14:paraId="520AC8B2">
                  <w:pPr>
                    <w:adjustRightInd w:val="0"/>
                    <w:snapToGrid w:val="0"/>
                    <w:jc w:val="center"/>
                    <w:rPr>
                      <w:szCs w:val="21"/>
                    </w:rPr>
                  </w:pPr>
                  <w:r>
                    <w:rPr>
                      <w:rFonts w:hint="eastAsia"/>
                      <w:szCs w:val="21"/>
                    </w:rPr>
                    <w:t>0.2</w:t>
                  </w:r>
                </w:p>
              </w:tc>
              <w:tc>
                <w:tcPr>
                  <w:tcW w:w="393" w:type="pct"/>
                  <w:tcBorders>
                    <w:tl2br w:val="nil"/>
                    <w:tr2bl w:val="nil"/>
                  </w:tcBorders>
                  <w:vAlign w:val="center"/>
                </w:tcPr>
                <w:p w14:paraId="520AC8B3">
                  <w:pPr>
                    <w:adjustRightInd w:val="0"/>
                    <w:snapToGrid w:val="0"/>
                    <w:jc w:val="center"/>
                    <w:rPr>
                      <w:szCs w:val="21"/>
                    </w:rPr>
                  </w:pPr>
                  <w:r>
                    <w:rPr>
                      <w:szCs w:val="21"/>
                    </w:rPr>
                    <w:t>东</w:t>
                  </w:r>
                  <w:r>
                    <w:rPr>
                      <w:rFonts w:hint="eastAsia"/>
                      <w:szCs w:val="21"/>
                    </w:rPr>
                    <w:t>10</w:t>
                  </w:r>
                </w:p>
              </w:tc>
              <w:tc>
                <w:tcPr>
                  <w:tcW w:w="450" w:type="pct"/>
                  <w:tcBorders>
                    <w:tl2br w:val="nil"/>
                    <w:tr2bl w:val="nil"/>
                  </w:tcBorders>
                  <w:vAlign w:val="center"/>
                </w:tcPr>
                <w:p w14:paraId="520AC8B4">
                  <w:pPr>
                    <w:adjustRightInd w:val="0"/>
                    <w:snapToGrid w:val="0"/>
                    <w:jc w:val="center"/>
                    <w:rPr>
                      <w:szCs w:val="21"/>
                    </w:rPr>
                  </w:pPr>
                  <w:r>
                    <w:rPr>
                      <w:rFonts w:hint="eastAsia"/>
                      <w:szCs w:val="21"/>
                    </w:rPr>
                    <w:t>60</w:t>
                  </w:r>
                </w:p>
              </w:tc>
              <w:tc>
                <w:tcPr>
                  <w:tcW w:w="281" w:type="pct"/>
                  <w:vMerge w:val="restart"/>
                  <w:tcBorders>
                    <w:tl2br w:val="nil"/>
                    <w:tr2bl w:val="nil"/>
                  </w:tcBorders>
                  <w:vAlign w:val="center"/>
                </w:tcPr>
                <w:p w14:paraId="520AC8B5">
                  <w:pPr>
                    <w:pStyle w:val="41"/>
                    <w:adjustRightInd w:val="0"/>
                    <w:snapToGrid w:val="0"/>
                    <w:contextualSpacing w:val="0"/>
                    <w:rPr>
                      <w:kern w:val="2"/>
                      <w:lang w:val="en-US"/>
                    </w:rPr>
                  </w:pPr>
                  <w:r>
                    <w:rPr>
                      <w:rFonts w:hint="eastAsia"/>
                    </w:rPr>
                    <w:t>昼夜</w:t>
                  </w:r>
                </w:p>
              </w:tc>
              <w:tc>
                <w:tcPr>
                  <w:tcW w:w="450" w:type="pct"/>
                  <w:vMerge w:val="restart"/>
                  <w:tcBorders>
                    <w:tl2br w:val="nil"/>
                    <w:tr2bl w:val="nil"/>
                  </w:tcBorders>
                  <w:vAlign w:val="center"/>
                </w:tcPr>
                <w:p w14:paraId="520AC8B6">
                  <w:pPr>
                    <w:pStyle w:val="41"/>
                    <w:adjustRightInd w:val="0"/>
                    <w:snapToGrid w:val="0"/>
                    <w:contextualSpacing w:val="0"/>
                    <w:rPr>
                      <w:lang w:val="en-US"/>
                    </w:rPr>
                  </w:pPr>
                  <w:r>
                    <w:rPr>
                      <w:rFonts w:hint="eastAsia"/>
                      <w:lang w:val="en-US"/>
                    </w:rPr>
                    <w:t>25</w:t>
                  </w:r>
                </w:p>
              </w:tc>
              <w:tc>
                <w:tcPr>
                  <w:tcW w:w="394" w:type="pct"/>
                  <w:tcBorders>
                    <w:tl2br w:val="nil"/>
                    <w:tr2bl w:val="nil"/>
                  </w:tcBorders>
                  <w:vAlign w:val="center"/>
                </w:tcPr>
                <w:p w14:paraId="520AC8B7">
                  <w:pPr>
                    <w:pStyle w:val="41"/>
                    <w:adjustRightInd w:val="0"/>
                    <w:snapToGrid w:val="0"/>
                    <w:contextualSpacing w:val="0"/>
                  </w:pPr>
                  <w:r>
                    <w:rPr>
                      <w:rFonts w:hint="eastAsia"/>
                    </w:rPr>
                    <w:t>35</w:t>
                  </w:r>
                </w:p>
              </w:tc>
              <w:tc>
                <w:tcPr>
                  <w:tcW w:w="372" w:type="pct"/>
                  <w:tcBorders>
                    <w:tl2br w:val="nil"/>
                    <w:tr2bl w:val="nil"/>
                  </w:tcBorders>
                  <w:vAlign w:val="center"/>
                </w:tcPr>
                <w:p w14:paraId="520AC8B8">
                  <w:pPr>
                    <w:pStyle w:val="41"/>
                    <w:adjustRightInd w:val="0"/>
                    <w:snapToGrid w:val="0"/>
                    <w:contextualSpacing w:val="0"/>
                    <w:rPr>
                      <w:lang w:val="en-US"/>
                    </w:rPr>
                  </w:pPr>
                  <w:r>
                    <w:rPr>
                      <w:rFonts w:hint="eastAsia"/>
                    </w:rPr>
                    <w:t>1</w:t>
                  </w:r>
                </w:p>
              </w:tc>
            </w:tr>
            <w:tr w14:paraId="520AC8C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8BA">
                  <w:pPr>
                    <w:pStyle w:val="41"/>
                    <w:adjustRightInd w:val="0"/>
                    <w:snapToGrid w:val="0"/>
                    <w:contextualSpacing w:val="0"/>
                  </w:pPr>
                </w:p>
              </w:tc>
              <w:tc>
                <w:tcPr>
                  <w:tcW w:w="314" w:type="pct"/>
                  <w:vMerge w:val="continue"/>
                  <w:tcBorders>
                    <w:tl2br w:val="nil"/>
                    <w:tr2bl w:val="nil"/>
                  </w:tcBorders>
                  <w:vAlign w:val="center"/>
                </w:tcPr>
                <w:p w14:paraId="520AC8BB">
                  <w:pPr>
                    <w:pStyle w:val="41"/>
                    <w:adjustRightInd w:val="0"/>
                    <w:snapToGrid w:val="0"/>
                    <w:contextualSpacing w:val="0"/>
                    <w:rPr>
                      <w:highlight w:val="yellow"/>
                    </w:rPr>
                  </w:pPr>
                </w:p>
              </w:tc>
              <w:tc>
                <w:tcPr>
                  <w:tcW w:w="337" w:type="pct"/>
                  <w:vMerge w:val="continue"/>
                  <w:tcBorders>
                    <w:tl2br w:val="nil"/>
                    <w:tr2bl w:val="nil"/>
                  </w:tcBorders>
                  <w:vAlign w:val="center"/>
                </w:tcPr>
                <w:p w14:paraId="520AC8BC">
                  <w:pPr>
                    <w:pStyle w:val="41"/>
                    <w:adjustRightInd w:val="0"/>
                    <w:snapToGrid w:val="0"/>
                    <w:contextualSpacing w:val="0"/>
                    <w:rPr>
                      <w:highlight w:val="yellow"/>
                    </w:rPr>
                  </w:pPr>
                </w:p>
              </w:tc>
              <w:tc>
                <w:tcPr>
                  <w:tcW w:w="450" w:type="pct"/>
                  <w:vMerge w:val="continue"/>
                  <w:tcBorders>
                    <w:tl2br w:val="nil"/>
                    <w:tr2bl w:val="nil"/>
                  </w:tcBorders>
                  <w:vAlign w:val="center"/>
                </w:tcPr>
                <w:p w14:paraId="520AC8BD">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8B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8BF">
                  <w:pPr>
                    <w:adjustRightInd w:val="0"/>
                    <w:snapToGrid w:val="0"/>
                    <w:jc w:val="center"/>
                    <w:rPr>
                      <w:kern w:val="0"/>
                      <w:szCs w:val="21"/>
                      <w:highlight w:val="yellow"/>
                    </w:rPr>
                  </w:pPr>
                </w:p>
              </w:tc>
              <w:tc>
                <w:tcPr>
                  <w:tcW w:w="225" w:type="pct"/>
                  <w:vMerge w:val="continue"/>
                  <w:tcBorders>
                    <w:tl2br w:val="nil"/>
                    <w:tr2bl w:val="nil"/>
                  </w:tcBorders>
                  <w:vAlign w:val="center"/>
                </w:tcPr>
                <w:p w14:paraId="520AC8C0">
                  <w:pPr>
                    <w:adjustRightInd w:val="0"/>
                    <w:snapToGrid w:val="0"/>
                    <w:jc w:val="center"/>
                    <w:rPr>
                      <w:szCs w:val="21"/>
                      <w:highlight w:val="yellow"/>
                    </w:rPr>
                  </w:pPr>
                </w:p>
              </w:tc>
              <w:tc>
                <w:tcPr>
                  <w:tcW w:w="225" w:type="pct"/>
                  <w:vMerge w:val="continue"/>
                  <w:tcBorders>
                    <w:tl2br w:val="nil"/>
                    <w:tr2bl w:val="nil"/>
                  </w:tcBorders>
                  <w:vAlign w:val="center"/>
                </w:tcPr>
                <w:p w14:paraId="520AC8C1">
                  <w:pPr>
                    <w:adjustRightInd w:val="0"/>
                    <w:snapToGrid w:val="0"/>
                    <w:jc w:val="center"/>
                    <w:rPr>
                      <w:szCs w:val="21"/>
                      <w:highlight w:val="yellow"/>
                    </w:rPr>
                  </w:pPr>
                </w:p>
              </w:tc>
              <w:tc>
                <w:tcPr>
                  <w:tcW w:w="282" w:type="pct"/>
                  <w:vMerge w:val="continue"/>
                  <w:tcBorders>
                    <w:tl2br w:val="nil"/>
                    <w:tr2bl w:val="nil"/>
                  </w:tcBorders>
                  <w:vAlign w:val="center"/>
                </w:tcPr>
                <w:p w14:paraId="520AC8C2">
                  <w:pPr>
                    <w:adjustRightInd w:val="0"/>
                    <w:snapToGrid w:val="0"/>
                    <w:jc w:val="center"/>
                    <w:rPr>
                      <w:szCs w:val="21"/>
                    </w:rPr>
                  </w:pPr>
                </w:p>
              </w:tc>
              <w:tc>
                <w:tcPr>
                  <w:tcW w:w="393" w:type="pct"/>
                  <w:tcBorders>
                    <w:tl2br w:val="nil"/>
                    <w:tr2bl w:val="nil"/>
                  </w:tcBorders>
                  <w:vAlign w:val="center"/>
                </w:tcPr>
                <w:p w14:paraId="520AC8C3">
                  <w:pPr>
                    <w:adjustRightInd w:val="0"/>
                    <w:snapToGrid w:val="0"/>
                    <w:jc w:val="center"/>
                    <w:rPr>
                      <w:szCs w:val="21"/>
                    </w:rPr>
                  </w:pPr>
                  <w:r>
                    <w:rPr>
                      <w:szCs w:val="21"/>
                    </w:rPr>
                    <w:t>西</w:t>
                  </w:r>
                  <w:r>
                    <w:rPr>
                      <w:rFonts w:hint="eastAsia"/>
                      <w:szCs w:val="21"/>
                    </w:rPr>
                    <w:t>90</w:t>
                  </w:r>
                </w:p>
              </w:tc>
              <w:tc>
                <w:tcPr>
                  <w:tcW w:w="450" w:type="pct"/>
                  <w:tcBorders>
                    <w:tl2br w:val="nil"/>
                    <w:tr2bl w:val="nil"/>
                  </w:tcBorders>
                  <w:vAlign w:val="center"/>
                </w:tcPr>
                <w:p w14:paraId="520AC8C4">
                  <w:pPr>
                    <w:adjustRightInd w:val="0"/>
                    <w:snapToGrid w:val="0"/>
                    <w:jc w:val="center"/>
                    <w:rPr>
                      <w:szCs w:val="21"/>
                    </w:rPr>
                  </w:pPr>
                  <w:r>
                    <w:rPr>
                      <w:rFonts w:hint="eastAsia"/>
                      <w:szCs w:val="21"/>
                    </w:rPr>
                    <w:t>40.9</w:t>
                  </w:r>
                </w:p>
              </w:tc>
              <w:tc>
                <w:tcPr>
                  <w:tcW w:w="281" w:type="pct"/>
                  <w:vMerge w:val="continue"/>
                  <w:tcBorders>
                    <w:tl2br w:val="nil"/>
                    <w:tr2bl w:val="nil"/>
                  </w:tcBorders>
                  <w:vAlign w:val="center"/>
                </w:tcPr>
                <w:p w14:paraId="520AC8C5">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8C6">
                  <w:pPr>
                    <w:pStyle w:val="41"/>
                    <w:adjustRightInd w:val="0"/>
                    <w:snapToGrid w:val="0"/>
                    <w:contextualSpacing w:val="0"/>
                    <w:rPr>
                      <w:lang w:val="en-US"/>
                    </w:rPr>
                  </w:pPr>
                </w:p>
              </w:tc>
              <w:tc>
                <w:tcPr>
                  <w:tcW w:w="394" w:type="pct"/>
                  <w:tcBorders>
                    <w:tl2br w:val="nil"/>
                    <w:tr2bl w:val="nil"/>
                  </w:tcBorders>
                  <w:vAlign w:val="center"/>
                </w:tcPr>
                <w:p w14:paraId="520AC8C7">
                  <w:pPr>
                    <w:pStyle w:val="41"/>
                    <w:adjustRightInd w:val="0"/>
                    <w:snapToGrid w:val="0"/>
                    <w:contextualSpacing w:val="0"/>
                  </w:pPr>
                  <w:r>
                    <w:rPr>
                      <w:rFonts w:hint="eastAsia"/>
                    </w:rPr>
                    <w:t>15.9</w:t>
                  </w:r>
                </w:p>
              </w:tc>
              <w:tc>
                <w:tcPr>
                  <w:tcW w:w="372" w:type="pct"/>
                  <w:tcBorders>
                    <w:tl2br w:val="nil"/>
                    <w:tr2bl w:val="nil"/>
                  </w:tcBorders>
                  <w:vAlign w:val="center"/>
                </w:tcPr>
                <w:p w14:paraId="520AC8C8">
                  <w:pPr>
                    <w:pStyle w:val="41"/>
                    <w:adjustRightInd w:val="0"/>
                    <w:snapToGrid w:val="0"/>
                    <w:contextualSpacing w:val="0"/>
                    <w:rPr>
                      <w:lang w:val="en-US"/>
                    </w:rPr>
                  </w:pPr>
                  <w:r>
                    <w:rPr>
                      <w:rFonts w:hint="eastAsia"/>
                    </w:rPr>
                    <w:t>1</w:t>
                  </w:r>
                </w:p>
              </w:tc>
            </w:tr>
            <w:tr w14:paraId="520AC8D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152" w:type="pct"/>
                  <w:vMerge w:val="continue"/>
                  <w:tcBorders>
                    <w:tl2br w:val="nil"/>
                    <w:tr2bl w:val="nil"/>
                  </w:tcBorders>
                  <w:vAlign w:val="center"/>
                </w:tcPr>
                <w:p w14:paraId="520AC8CA">
                  <w:pPr>
                    <w:pStyle w:val="41"/>
                    <w:adjustRightInd w:val="0"/>
                    <w:snapToGrid w:val="0"/>
                    <w:contextualSpacing w:val="0"/>
                  </w:pPr>
                </w:p>
              </w:tc>
              <w:tc>
                <w:tcPr>
                  <w:tcW w:w="314" w:type="pct"/>
                  <w:vMerge w:val="continue"/>
                  <w:tcBorders>
                    <w:tl2br w:val="nil"/>
                    <w:tr2bl w:val="nil"/>
                  </w:tcBorders>
                  <w:vAlign w:val="center"/>
                </w:tcPr>
                <w:p w14:paraId="520AC8CB">
                  <w:pPr>
                    <w:pStyle w:val="41"/>
                    <w:adjustRightInd w:val="0"/>
                    <w:snapToGrid w:val="0"/>
                    <w:contextualSpacing w:val="0"/>
                    <w:rPr>
                      <w:highlight w:val="yellow"/>
                    </w:rPr>
                  </w:pPr>
                </w:p>
              </w:tc>
              <w:tc>
                <w:tcPr>
                  <w:tcW w:w="337" w:type="pct"/>
                  <w:vMerge w:val="continue"/>
                  <w:tcBorders>
                    <w:tl2br w:val="nil"/>
                    <w:tr2bl w:val="nil"/>
                  </w:tcBorders>
                  <w:vAlign w:val="center"/>
                </w:tcPr>
                <w:p w14:paraId="520AC8CC">
                  <w:pPr>
                    <w:pStyle w:val="41"/>
                    <w:adjustRightInd w:val="0"/>
                    <w:snapToGrid w:val="0"/>
                    <w:contextualSpacing w:val="0"/>
                    <w:rPr>
                      <w:highlight w:val="yellow"/>
                    </w:rPr>
                  </w:pPr>
                </w:p>
              </w:tc>
              <w:tc>
                <w:tcPr>
                  <w:tcW w:w="450" w:type="pct"/>
                  <w:vMerge w:val="continue"/>
                  <w:tcBorders>
                    <w:tl2br w:val="nil"/>
                    <w:tr2bl w:val="nil"/>
                  </w:tcBorders>
                  <w:vAlign w:val="center"/>
                </w:tcPr>
                <w:p w14:paraId="520AC8CD">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8C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8CF">
                  <w:pPr>
                    <w:adjustRightInd w:val="0"/>
                    <w:snapToGrid w:val="0"/>
                    <w:jc w:val="center"/>
                    <w:rPr>
                      <w:kern w:val="0"/>
                      <w:szCs w:val="21"/>
                      <w:highlight w:val="yellow"/>
                    </w:rPr>
                  </w:pPr>
                </w:p>
              </w:tc>
              <w:tc>
                <w:tcPr>
                  <w:tcW w:w="225" w:type="pct"/>
                  <w:vMerge w:val="continue"/>
                  <w:tcBorders>
                    <w:tl2br w:val="nil"/>
                    <w:tr2bl w:val="nil"/>
                  </w:tcBorders>
                  <w:vAlign w:val="center"/>
                </w:tcPr>
                <w:p w14:paraId="520AC8D0">
                  <w:pPr>
                    <w:adjustRightInd w:val="0"/>
                    <w:snapToGrid w:val="0"/>
                    <w:jc w:val="center"/>
                    <w:rPr>
                      <w:szCs w:val="21"/>
                      <w:highlight w:val="yellow"/>
                    </w:rPr>
                  </w:pPr>
                </w:p>
              </w:tc>
              <w:tc>
                <w:tcPr>
                  <w:tcW w:w="225" w:type="pct"/>
                  <w:vMerge w:val="continue"/>
                  <w:tcBorders>
                    <w:tl2br w:val="nil"/>
                    <w:tr2bl w:val="nil"/>
                  </w:tcBorders>
                  <w:vAlign w:val="center"/>
                </w:tcPr>
                <w:p w14:paraId="520AC8D1">
                  <w:pPr>
                    <w:adjustRightInd w:val="0"/>
                    <w:snapToGrid w:val="0"/>
                    <w:jc w:val="center"/>
                    <w:rPr>
                      <w:szCs w:val="21"/>
                      <w:highlight w:val="yellow"/>
                    </w:rPr>
                  </w:pPr>
                </w:p>
              </w:tc>
              <w:tc>
                <w:tcPr>
                  <w:tcW w:w="282" w:type="pct"/>
                  <w:vMerge w:val="continue"/>
                  <w:tcBorders>
                    <w:tl2br w:val="nil"/>
                    <w:tr2bl w:val="nil"/>
                  </w:tcBorders>
                  <w:vAlign w:val="center"/>
                </w:tcPr>
                <w:p w14:paraId="520AC8D2">
                  <w:pPr>
                    <w:adjustRightInd w:val="0"/>
                    <w:snapToGrid w:val="0"/>
                    <w:jc w:val="center"/>
                    <w:rPr>
                      <w:szCs w:val="21"/>
                    </w:rPr>
                  </w:pPr>
                </w:p>
              </w:tc>
              <w:tc>
                <w:tcPr>
                  <w:tcW w:w="393" w:type="pct"/>
                  <w:tcBorders>
                    <w:tl2br w:val="nil"/>
                    <w:tr2bl w:val="nil"/>
                  </w:tcBorders>
                  <w:vAlign w:val="center"/>
                </w:tcPr>
                <w:p w14:paraId="520AC8D3">
                  <w:pPr>
                    <w:adjustRightInd w:val="0"/>
                    <w:snapToGrid w:val="0"/>
                    <w:jc w:val="center"/>
                    <w:rPr>
                      <w:szCs w:val="21"/>
                    </w:rPr>
                  </w:pPr>
                  <w:r>
                    <w:rPr>
                      <w:szCs w:val="21"/>
                    </w:rPr>
                    <w:t>南</w:t>
                  </w:r>
                  <w:r>
                    <w:rPr>
                      <w:rFonts w:hint="eastAsia"/>
                      <w:szCs w:val="21"/>
                    </w:rPr>
                    <w:t>11</w:t>
                  </w:r>
                </w:p>
              </w:tc>
              <w:tc>
                <w:tcPr>
                  <w:tcW w:w="450" w:type="pct"/>
                  <w:tcBorders>
                    <w:tl2br w:val="nil"/>
                    <w:tr2bl w:val="nil"/>
                  </w:tcBorders>
                  <w:vAlign w:val="center"/>
                </w:tcPr>
                <w:p w14:paraId="520AC8D4">
                  <w:pPr>
                    <w:adjustRightInd w:val="0"/>
                    <w:snapToGrid w:val="0"/>
                    <w:jc w:val="center"/>
                    <w:rPr>
                      <w:szCs w:val="21"/>
                    </w:rPr>
                  </w:pPr>
                  <w:r>
                    <w:rPr>
                      <w:rFonts w:hint="eastAsia"/>
                      <w:szCs w:val="21"/>
                    </w:rPr>
                    <w:t>59.2</w:t>
                  </w:r>
                </w:p>
              </w:tc>
              <w:tc>
                <w:tcPr>
                  <w:tcW w:w="281" w:type="pct"/>
                  <w:vMerge w:val="continue"/>
                  <w:tcBorders>
                    <w:tl2br w:val="nil"/>
                    <w:tr2bl w:val="nil"/>
                  </w:tcBorders>
                  <w:vAlign w:val="center"/>
                </w:tcPr>
                <w:p w14:paraId="520AC8D5">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8D6">
                  <w:pPr>
                    <w:pStyle w:val="41"/>
                    <w:adjustRightInd w:val="0"/>
                    <w:snapToGrid w:val="0"/>
                    <w:contextualSpacing w:val="0"/>
                    <w:rPr>
                      <w:lang w:val="en-US"/>
                    </w:rPr>
                  </w:pPr>
                </w:p>
              </w:tc>
              <w:tc>
                <w:tcPr>
                  <w:tcW w:w="394" w:type="pct"/>
                  <w:tcBorders>
                    <w:tl2br w:val="nil"/>
                    <w:tr2bl w:val="nil"/>
                  </w:tcBorders>
                  <w:vAlign w:val="center"/>
                </w:tcPr>
                <w:p w14:paraId="520AC8D7">
                  <w:pPr>
                    <w:pStyle w:val="41"/>
                    <w:adjustRightInd w:val="0"/>
                    <w:snapToGrid w:val="0"/>
                    <w:contextualSpacing w:val="0"/>
                  </w:pPr>
                  <w:r>
                    <w:rPr>
                      <w:rFonts w:hint="eastAsia"/>
                    </w:rPr>
                    <w:t>34.2</w:t>
                  </w:r>
                </w:p>
              </w:tc>
              <w:tc>
                <w:tcPr>
                  <w:tcW w:w="372" w:type="pct"/>
                  <w:tcBorders>
                    <w:tl2br w:val="nil"/>
                    <w:tr2bl w:val="nil"/>
                  </w:tcBorders>
                  <w:vAlign w:val="center"/>
                </w:tcPr>
                <w:p w14:paraId="520AC8D8">
                  <w:pPr>
                    <w:pStyle w:val="41"/>
                    <w:adjustRightInd w:val="0"/>
                    <w:snapToGrid w:val="0"/>
                    <w:contextualSpacing w:val="0"/>
                    <w:rPr>
                      <w:lang w:val="en-US"/>
                    </w:rPr>
                  </w:pPr>
                  <w:r>
                    <w:rPr>
                      <w:rFonts w:hint="eastAsia"/>
                    </w:rPr>
                    <w:t>1</w:t>
                  </w:r>
                </w:p>
              </w:tc>
            </w:tr>
            <w:tr w14:paraId="520AC8E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8DA">
                  <w:pPr>
                    <w:pStyle w:val="41"/>
                    <w:adjustRightInd w:val="0"/>
                    <w:snapToGrid w:val="0"/>
                    <w:contextualSpacing w:val="0"/>
                  </w:pPr>
                </w:p>
              </w:tc>
              <w:tc>
                <w:tcPr>
                  <w:tcW w:w="314" w:type="pct"/>
                  <w:vMerge w:val="continue"/>
                  <w:tcBorders>
                    <w:tl2br w:val="nil"/>
                    <w:tr2bl w:val="nil"/>
                  </w:tcBorders>
                  <w:vAlign w:val="center"/>
                </w:tcPr>
                <w:p w14:paraId="520AC8DB">
                  <w:pPr>
                    <w:pStyle w:val="41"/>
                    <w:adjustRightInd w:val="0"/>
                    <w:snapToGrid w:val="0"/>
                    <w:contextualSpacing w:val="0"/>
                    <w:rPr>
                      <w:highlight w:val="yellow"/>
                    </w:rPr>
                  </w:pPr>
                </w:p>
              </w:tc>
              <w:tc>
                <w:tcPr>
                  <w:tcW w:w="337" w:type="pct"/>
                  <w:vMerge w:val="continue"/>
                  <w:tcBorders>
                    <w:tl2br w:val="nil"/>
                    <w:tr2bl w:val="nil"/>
                  </w:tcBorders>
                  <w:vAlign w:val="center"/>
                </w:tcPr>
                <w:p w14:paraId="520AC8DC">
                  <w:pPr>
                    <w:pStyle w:val="41"/>
                    <w:adjustRightInd w:val="0"/>
                    <w:snapToGrid w:val="0"/>
                    <w:contextualSpacing w:val="0"/>
                    <w:rPr>
                      <w:highlight w:val="yellow"/>
                    </w:rPr>
                  </w:pPr>
                </w:p>
              </w:tc>
              <w:tc>
                <w:tcPr>
                  <w:tcW w:w="450" w:type="pct"/>
                  <w:vMerge w:val="continue"/>
                  <w:tcBorders>
                    <w:tl2br w:val="nil"/>
                    <w:tr2bl w:val="nil"/>
                  </w:tcBorders>
                  <w:vAlign w:val="center"/>
                </w:tcPr>
                <w:p w14:paraId="520AC8DD">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8D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8DF">
                  <w:pPr>
                    <w:adjustRightInd w:val="0"/>
                    <w:snapToGrid w:val="0"/>
                    <w:jc w:val="center"/>
                    <w:rPr>
                      <w:kern w:val="0"/>
                      <w:szCs w:val="21"/>
                      <w:highlight w:val="yellow"/>
                    </w:rPr>
                  </w:pPr>
                </w:p>
              </w:tc>
              <w:tc>
                <w:tcPr>
                  <w:tcW w:w="225" w:type="pct"/>
                  <w:vMerge w:val="continue"/>
                  <w:tcBorders>
                    <w:tl2br w:val="nil"/>
                    <w:tr2bl w:val="nil"/>
                  </w:tcBorders>
                  <w:vAlign w:val="center"/>
                </w:tcPr>
                <w:p w14:paraId="520AC8E0">
                  <w:pPr>
                    <w:adjustRightInd w:val="0"/>
                    <w:snapToGrid w:val="0"/>
                    <w:jc w:val="center"/>
                    <w:rPr>
                      <w:szCs w:val="21"/>
                      <w:highlight w:val="yellow"/>
                    </w:rPr>
                  </w:pPr>
                </w:p>
              </w:tc>
              <w:tc>
                <w:tcPr>
                  <w:tcW w:w="225" w:type="pct"/>
                  <w:vMerge w:val="continue"/>
                  <w:tcBorders>
                    <w:tl2br w:val="nil"/>
                    <w:tr2bl w:val="nil"/>
                  </w:tcBorders>
                  <w:vAlign w:val="center"/>
                </w:tcPr>
                <w:p w14:paraId="520AC8E1">
                  <w:pPr>
                    <w:adjustRightInd w:val="0"/>
                    <w:snapToGrid w:val="0"/>
                    <w:jc w:val="center"/>
                    <w:rPr>
                      <w:szCs w:val="21"/>
                      <w:highlight w:val="yellow"/>
                    </w:rPr>
                  </w:pPr>
                </w:p>
              </w:tc>
              <w:tc>
                <w:tcPr>
                  <w:tcW w:w="282" w:type="pct"/>
                  <w:vMerge w:val="continue"/>
                  <w:tcBorders>
                    <w:tl2br w:val="nil"/>
                    <w:tr2bl w:val="nil"/>
                  </w:tcBorders>
                  <w:vAlign w:val="center"/>
                </w:tcPr>
                <w:p w14:paraId="520AC8E2">
                  <w:pPr>
                    <w:adjustRightInd w:val="0"/>
                    <w:snapToGrid w:val="0"/>
                    <w:jc w:val="center"/>
                    <w:rPr>
                      <w:szCs w:val="21"/>
                    </w:rPr>
                  </w:pPr>
                </w:p>
              </w:tc>
              <w:tc>
                <w:tcPr>
                  <w:tcW w:w="393" w:type="pct"/>
                  <w:tcBorders>
                    <w:tl2br w:val="nil"/>
                    <w:tr2bl w:val="nil"/>
                  </w:tcBorders>
                  <w:vAlign w:val="center"/>
                </w:tcPr>
                <w:p w14:paraId="520AC8E3">
                  <w:pPr>
                    <w:adjustRightInd w:val="0"/>
                    <w:snapToGrid w:val="0"/>
                    <w:jc w:val="center"/>
                    <w:rPr>
                      <w:szCs w:val="21"/>
                    </w:rPr>
                  </w:pPr>
                  <w:r>
                    <w:rPr>
                      <w:szCs w:val="21"/>
                    </w:rPr>
                    <w:t>北</w:t>
                  </w:r>
                  <w:r>
                    <w:rPr>
                      <w:rFonts w:hint="eastAsia"/>
                      <w:szCs w:val="21"/>
                    </w:rPr>
                    <w:t>34</w:t>
                  </w:r>
                </w:p>
              </w:tc>
              <w:tc>
                <w:tcPr>
                  <w:tcW w:w="450" w:type="pct"/>
                  <w:tcBorders>
                    <w:tl2br w:val="nil"/>
                    <w:tr2bl w:val="nil"/>
                  </w:tcBorders>
                  <w:vAlign w:val="center"/>
                </w:tcPr>
                <w:p w14:paraId="520AC8E4">
                  <w:pPr>
                    <w:adjustRightInd w:val="0"/>
                    <w:snapToGrid w:val="0"/>
                    <w:jc w:val="center"/>
                    <w:rPr>
                      <w:szCs w:val="21"/>
                    </w:rPr>
                  </w:pPr>
                  <w:r>
                    <w:rPr>
                      <w:rFonts w:hint="eastAsia"/>
                      <w:szCs w:val="21"/>
                    </w:rPr>
                    <w:t>49.4</w:t>
                  </w:r>
                </w:p>
              </w:tc>
              <w:tc>
                <w:tcPr>
                  <w:tcW w:w="281" w:type="pct"/>
                  <w:vMerge w:val="continue"/>
                  <w:tcBorders>
                    <w:tl2br w:val="nil"/>
                    <w:tr2bl w:val="nil"/>
                  </w:tcBorders>
                  <w:vAlign w:val="center"/>
                </w:tcPr>
                <w:p w14:paraId="520AC8E5">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8E6">
                  <w:pPr>
                    <w:pStyle w:val="41"/>
                    <w:adjustRightInd w:val="0"/>
                    <w:snapToGrid w:val="0"/>
                    <w:contextualSpacing w:val="0"/>
                    <w:rPr>
                      <w:lang w:val="en-US"/>
                    </w:rPr>
                  </w:pPr>
                </w:p>
              </w:tc>
              <w:tc>
                <w:tcPr>
                  <w:tcW w:w="394" w:type="pct"/>
                  <w:tcBorders>
                    <w:tl2br w:val="nil"/>
                    <w:tr2bl w:val="nil"/>
                  </w:tcBorders>
                  <w:vAlign w:val="center"/>
                </w:tcPr>
                <w:p w14:paraId="520AC8E7">
                  <w:pPr>
                    <w:pStyle w:val="41"/>
                    <w:adjustRightInd w:val="0"/>
                    <w:snapToGrid w:val="0"/>
                    <w:contextualSpacing w:val="0"/>
                  </w:pPr>
                  <w:r>
                    <w:rPr>
                      <w:rFonts w:hint="eastAsia"/>
                    </w:rPr>
                    <w:t>24.4</w:t>
                  </w:r>
                </w:p>
              </w:tc>
              <w:tc>
                <w:tcPr>
                  <w:tcW w:w="372" w:type="pct"/>
                  <w:tcBorders>
                    <w:tl2br w:val="nil"/>
                    <w:tr2bl w:val="nil"/>
                  </w:tcBorders>
                  <w:vAlign w:val="center"/>
                </w:tcPr>
                <w:p w14:paraId="520AC8E8">
                  <w:pPr>
                    <w:pStyle w:val="41"/>
                    <w:adjustRightInd w:val="0"/>
                    <w:snapToGrid w:val="0"/>
                    <w:contextualSpacing w:val="0"/>
                    <w:rPr>
                      <w:lang w:val="en-US"/>
                    </w:rPr>
                  </w:pPr>
                  <w:r>
                    <w:rPr>
                      <w:rFonts w:hint="eastAsia"/>
                    </w:rPr>
                    <w:t>1</w:t>
                  </w:r>
                </w:p>
              </w:tc>
            </w:tr>
            <w:tr w14:paraId="520AC8F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restart"/>
                  <w:tcBorders>
                    <w:tl2br w:val="nil"/>
                    <w:tr2bl w:val="nil"/>
                  </w:tcBorders>
                  <w:vAlign w:val="center"/>
                </w:tcPr>
                <w:p w14:paraId="520AC8EA">
                  <w:pPr>
                    <w:pStyle w:val="41"/>
                    <w:adjustRightInd w:val="0"/>
                    <w:snapToGrid w:val="0"/>
                    <w:contextualSpacing w:val="0"/>
                  </w:pPr>
                  <w:r>
                    <w:rPr>
                      <w:rFonts w:hint="eastAsia"/>
                    </w:rPr>
                    <w:t>3</w:t>
                  </w:r>
                </w:p>
              </w:tc>
              <w:tc>
                <w:tcPr>
                  <w:tcW w:w="314" w:type="pct"/>
                  <w:vMerge w:val="restart"/>
                  <w:tcBorders>
                    <w:tl2br w:val="nil"/>
                    <w:tr2bl w:val="nil"/>
                  </w:tcBorders>
                  <w:vAlign w:val="center"/>
                </w:tcPr>
                <w:p w14:paraId="520AC8EB">
                  <w:pPr>
                    <w:pStyle w:val="41"/>
                    <w:adjustRightInd w:val="0"/>
                    <w:snapToGrid w:val="0"/>
                    <w:contextualSpacing w:val="0"/>
                    <w:rPr>
                      <w:highlight w:val="yellow"/>
                    </w:rPr>
                  </w:pPr>
                  <w:r>
                    <w:t>101厂房</w:t>
                  </w:r>
                </w:p>
              </w:tc>
              <w:tc>
                <w:tcPr>
                  <w:tcW w:w="337" w:type="pct"/>
                  <w:vMerge w:val="restart"/>
                  <w:tcBorders>
                    <w:tl2br w:val="nil"/>
                    <w:tr2bl w:val="nil"/>
                  </w:tcBorders>
                  <w:vAlign w:val="center"/>
                </w:tcPr>
                <w:p w14:paraId="520AC8EC">
                  <w:pPr>
                    <w:pStyle w:val="41"/>
                    <w:adjustRightInd w:val="0"/>
                    <w:snapToGrid w:val="0"/>
                    <w:contextualSpacing w:val="0"/>
                    <w:rPr>
                      <w:highlight w:val="yellow"/>
                    </w:rPr>
                  </w:pPr>
                  <w:r>
                    <w:t>液压高低压冲击试验台</w:t>
                  </w:r>
                </w:p>
              </w:tc>
              <w:tc>
                <w:tcPr>
                  <w:tcW w:w="450" w:type="pct"/>
                  <w:vMerge w:val="restart"/>
                  <w:tcBorders>
                    <w:tl2br w:val="nil"/>
                    <w:tr2bl w:val="nil"/>
                  </w:tcBorders>
                  <w:vAlign w:val="center"/>
                </w:tcPr>
                <w:p w14:paraId="520AC8ED">
                  <w:pPr>
                    <w:pStyle w:val="41"/>
                    <w:adjustRightInd w:val="0"/>
                    <w:snapToGrid w:val="0"/>
                    <w:contextualSpacing w:val="0"/>
                    <w:rPr>
                      <w:kern w:val="2"/>
                    </w:rPr>
                  </w:pPr>
                  <w:r>
                    <w:rPr>
                      <w:rFonts w:hint="eastAsia"/>
                    </w:rPr>
                    <w:t>8</w:t>
                  </w:r>
                  <w:r>
                    <w:t>5</w:t>
                  </w:r>
                  <w:r>
                    <w:rPr>
                      <w:rFonts w:hint="eastAsia"/>
                    </w:rPr>
                    <w:t>/1</w:t>
                  </w:r>
                </w:p>
              </w:tc>
              <w:tc>
                <w:tcPr>
                  <w:tcW w:w="281" w:type="pct"/>
                  <w:vMerge w:val="restart"/>
                  <w:tcBorders>
                    <w:tl2br w:val="nil"/>
                    <w:tr2bl w:val="nil"/>
                  </w:tcBorders>
                  <w:vAlign w:val="center"/>
                </w:tcPr>
                <w:p w14:paraId="520AC8EE">
                  <w:pPr>
                    <w:pStyle w:val="41"/>
                    <w:adjustRightInd w:val="0"/>
                    <w:snapToGrid w:val="0"/>
                    <w:contextualSpacing w:val="0"/>
                    <w:rPr>
                      <w:kern w:val="2"/>
                      <w:lang w:val="en-US"/>
                    </w:rPr>
                  </w:pPr>
                  <w:r>
                    <w:rPr>
                      <w:rFonts w:hint="eastAsia"/>
                    </w:rPr>
                    <w:t>1</w:t>
                  </w:r>
                </w:p>
              </w:tc>
              <w:tc>
                <w:tcPr>
                  <w:tcW w:w="394" w:type="pct"/>
                  <w:vMerge w:val="restart"/>
                  <w:tcBorders>
                    <w:tl2br w:val="nil"/>
                    <w:tr2bl w:val="nil"/>
                  </w:tcBorders>
                  <w:vAlign w:val="center"/>
                </w:tcPr>
                <w:p w14:paraId="520AC8EF">
                  <w:pPr>
                    <w:adjustRightInd w:val="0"/>
                    <w:snapToGrid w:val="0"/>
                    <w:jc w:val="center"/>
                    <w:rPr>
                      <w:kern w:val="0"/>
                      <w:szCs w:val="21"/>
                      <w:highlight w:val="yellow"/>
                    </w:rPr>
                  </w:pPr>
                  <w:r>
                    <w:t>基础减振、厂房隔声</w:t>
                  </w:r>
                </w:p>
              </w:tc>
              <w:tc>
                <w:tcPr>
                  <w:tcW w:w="225" w:type="pct"/>
                  <w:vMerge w:val="restart"/>
                  <w:tcBorders>
                    <w:tl2br w:val="nil"/>
                    <w:tr2bl w:val="nil"/>
                  </w:tcBorders>
                  <w:vAlign w:val="center"/>
                </w:tcPr>
                <w:p w14:paraId="520AC8F0">
                  <w:pPr>
                    <w:adjustRightInd w:val="0"/>
                    <w:snapToGrid w:val="0"/>
                    <w:jc w:val="center"/>
                    <w:rPr>
                      <w:szCs w:val="21"/>
                    </w:rPr>
                  </w:pPr>
                  <w:r>
                    <w:rPr>
                      <w:rFonts w:hint="eastAsia"/>
                      <w:szCs w:val="21"/>
                    </w:rPr>
                    <w:t>187</w:t>
                  </w:r>
                </w:p>
              </w:tc>
              <w:tc>
                <w:tcPr>
                  <w:tcW w:w="225" w:type="pct"/>
                  <w:vMerge w:val="restart"/>
                  <w:tcBorders>
                    <w:tl2br w:val="nil"/>
                    <w:tr2bl w:val="nil"/>
                  </w:tcBorders>
                  <w:vAlign w:val="center"/>
                </w:tcPr>
                <w:p w14:paraId="520AC8F1">
                  <w:pPr>
                    <w:adjustRightInd w:val="0"/>
                    <w:snapToGrid w:val="0"/>
                    <w:jc w:val="center"/>
                    <w:rPr>
                      <w:szCs w:val="21"/>
                    </w:rPr>
                  </w:pPr>
                  <w:r>
                    <w:rPr>
                      <w:rFonts w:hint="eastAsia"/>
                      <w:szCs w:val="21"/>
                    </w:rPr>
                    <w:t>204</w:t>
                  </w:r>
                </w:p>
              </w:tc>
              <w:tc>
                <w:tcPr>
                  <w:tcW w:w="282" w:type="pct"/>
                  <w:vMerge w:val="restart"/>
                  <w:tcBorders>
                    <w:tl2br w:val="nil"/>
                    <w:tr2bl w:val="nil"/>
                  </w:tcBorders>
                  <w:vAlign w:val="center"/>
                </w:tcPr>
                <w:p w14:paraId="520AC8F2">
                  <w:pPr>
                    <w:adjustRightInd w:val="0"/>
                    <w:snapToGrid w:val="0"/>
                    <w:jc w:val="center"/>
                    <w:rPr>
                      <w:szCs w:val="21"/>
                    </w:rPr>
                  </w:pPr>
                  <w:r>
                    <w:rPr>
                      <w:rFonts w:hint="eastAsia"/>
                      <w:szCs w:val="21"/>
                    </w:rPr>
                    <w:t>0.2</w:t>
                  </w:r>
                </w:p>
              </w:tc>
              <w:tc>
                <w:tcPr>
                  <w:tcW w:w="393" w:type="pct"/>
                  <w:tcBorders>
                    <w:tl2br w:val="nil"/>
                    <w:tr2bl w:val="nil"/>
                  </w:tcBorders>
                  <w:vAlign w:val="center"/>
                </w:tcPr>
                <w:p w14:paraId="520AC8F3">
                  <w:pPr>
                    <w:adjustRightInd w:val="0"/>
                    <w:snapToGrid w:val="0"/>
                    <w:jc w:val="center"/>
                    <w:rPr>
                      <w:szCs w:val="21"/>
                    </w:rPr>
                  </w:pPr>
                  <w:r>
                    <w:rPr>
                      <w:szCs w:val="21"/>
                    </w:rPr>
                    <w:t>东</w:t>
                  </w:r>
                  <w:r>
                    <w:rPr>
                      <w:rFonts w:hint="eastAsia"/>
                      <w:szCs w:val="21"/>
                    </w:rPr>
                    <w:t>69</w:t>
                  </w:r>
                </w:p>
              </w:tc>
              <w:tc>
                <w:tcPr>
                  <w:tcW w:w="450" w:type="pct"/>
                  <w:tcBorders>
                    <w:tl2br w:val="nil"/>
                    <w:tr2bl w:val="nil"/>
                  </w:tcBorders>
                  <w:vAlign w:val="center"/>
                </w:tcPr>
                <w:p w14:paraId="520AC8F4">
                  <w:pPr>
                    <w:adjustRightInd w:val="0"/>
                    <w:snapToGrid w:val="0"/>
                    <w:jc w:val="center"/>
                    <w:rPr>
                      <w:szCs w:val="21"/>
                    </w:rPr>
                  </w:pPr>
                  <w:r>
                    <w:rPr>
                      <w:rFonts w:hint="eastAsia"/>
                      <w:szCs w:val="21"/>
                    </w:rPr>
                    <w:t>48.2</w:t>
                  </w:r>
                </w:p>
              </w:tc>
              <w:tc>
                <w:tcPr>
                  <w:tcW w:w="281" w:type="pct"/>
                  <w:vMerge w:val="restart"/>
                  <w:tcBorders>
                    <w:tl2br w:val="nil"/>
                    <w:tr2bl w:val="nil"/>
                  </w:tcBorders>
                  <w:vAlign w:val="center"/>
                </w:tcPr>
                <w:p w14:paraId="520AC8F5">
                  <w:pPr>
                    <w:pStyle w:val="41"/>
                    <w:adjustRightInd w:val="0"/>
                    <w:snapToGrid w:val="0"/>
                    <w:contextualSpacing w:val="0"/>
                    <w:rPr>
                      <w:kern w:val="2"/>
                      <w:lang w:val="en-US"/>
                    </w:rPr>
                  </w:pPr>
                  <w:r>
                    <w:rPr>
                      <w:rFonts w:hint="eastAsia"/>
                    </w:rPr>
                    <w:t>昼夜</w:t>
                  </w:r>
                </w:p>
              </w:tc>
              <w:tc>
                <w:tcPr>
                  <w:tcW w:w="450" w:type="pct"/>
                  <w:vMerge w:val="restart"/>
                  <w:tcBorders>
                    <w:tl2br w:val="nil"/>
                    <w:tr2bl w:val="nil"/>
                  </w:tcBorders>
                  <w:vAlign w:val="center"/>
                </w:tcPr>
                <w:p w14:paraId="520AC8F6">
                  <w:pPr>
                    <w:pStyle w:val="41"/>
                    <w:adjustRightInd w:val="0"/>
                    <w:snapToGrid w:val="0"/>
                    <w:contextualSpacing w:val="0"/>
                    <w:rPr>
                      <w:lang w:val="en-US"/>
                    </w:rPr>
                  </w:pPr>
                  <w:r>
                    <w:rPr>
                      <w:rFonts w:hint="eastAsia"/>
                      <w:lang w:val="en-US"/>
                    </w:rPr>
                    <w:t>25</w:t>
                  </w:r>
                </w:p>
              </w:tc>
              <w:tc>
                <w:tcPr>
                  <w:tcW w:w="394" w:type="pct"/>
                  <w:tcBorders>
                    <w:tl2br w:val="nil"/>
                    <w:tr2bl w:val="nil"/>
                  </w:tcBorders>
                  <w:vAlign w:val="center"/>
                </w:tcPr>
                <w:p w14:paraId="520AC8F7">
                  <w:pPr>
                    <w:pStyle w:val="41"/>
                    <w:adjustRightInd w:val="0"/>
                    <w:snapToGrid w:val="0"/>
                    <w:contextualSpacing w:val="0"/>
                  </w:pPr>
                  <w:r>
                    <w:rPr>
                      <w:rFonts w:hint="eastAsia"/>
                    </w:rPr>
                    <w:t>23.2</w:t>
                  </w:r>
                </w:p>
              </w:tc>
              <w:tc>
                <w:tcPr>
                  <w:tcW w:w="372" w:type="pct"/>
                  <w:tcBorders>
                    <w:tl2br w:val="nil"/>
                    <w:tr2bl w:val="nil"/>
                  </w:tcBorders>
                  <w:vAlign w:val="center"/>
                </w:tcPr>
                <w:p w14:paraId="520AC8F8">
                  <w:pPr>
                    <w:pStyle w:val="41"/>
                    <w:adjustRightInd w:val="0"/>
                    <w:snapToGrid w:val="0"/>
                    <w:contextualSpacing w:val="0"/>
                    <w:rPr>
                      <w:lang w:val="en-US"/>
                    </w:rPr>
                  </w:pPr>
                  <w:r>
                    <w:rPr>
                      <w:rFonts w:hint="eastAsia"/>
                    </w:rPr>
                    <w:t>1</w:t>
                  </w:r>
                </w:p>
              </w:tc>
            </w:tr>
            <w:tr w14:paraId="520AC90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8FA">
                  <w:pPr>
                    <w:pStyle w:val="41"/>
                    <w:adjustRightInd w:val="0"/>
                    <w:snapToGrid w:val="0"/>
                    <w:contextualSpacing w:val="0"/>
                  </w:pPr>
                </w:p>
              </w:tc>
              <w:tc>
                <w:tcPr>
                  <w:tcW w:w="314" w:type="pct"/>
                  <w:vMerge w:val="continue"/>
                  <w:tcBorders>
                    <w:tl2br w:val="nil"/>
                    <w:tr2bl w:val="nil"/>
                  </w:tcBorders>
                  <w:vAlign w:val="center"/>
                </w:tcPr>
                <w:p w14:paraId="520AC8FB">
                  <w:pPr>
                    <w:pStyle w:val="41"/>
                    <w:adjustRightInd w:val="0"/>
                    <w:snapToGrid w:val="0"/>
                    <w:contextualSpacing w:val="0"/>
                    <w:rPr>
                      <w:highlight w:val="yellow"/>
                    </w:rPr>
                  </w:pPr>
                </w:p>
              </w:tc>
              <w:tc>
                <w:tcPr>
                  <w:tcW w:w="337" w:type="pct"/>
                  <w:vMerge w:val="continue"/>
                  <w:tcBorders>
                    <w:tl2br w:val="nil"/>
                    <w:tr2bl w:val="nil"/>
                  </w:tcBorders>
                  <w:vAlign w:val="center"/>
                </w:tcPr>
                <w:p w14:paraId="520AC8FC">
                  <w:pPr>
                    <w:pStyle w:val="41"/>
                    <w:adjustRightInd w:val="0"/>
                    <w:snapToGrid w:val="0"/>
                    <w:contextualSpacing w:val="0"/>
                    <w:rPr>
                      <w:highlight w:val="yellow"/>
                    </w:rPr>
                  </w:pPr>
                </w:p>
              </w:tc>
              <w:tc>
                <w:tcPr>
                  <w:tcW w:w="450" w:type="pct"/>
                  <w:vMerge w:val="continue"/>
                  <w:tcBorders>
                    <w:tl2br w:val="nil"/>
                    <w:tr2bl w:val="nil"/>
                  </w:tcBorders>
                  <w:vAlign w:val="center"/>
                </w:tcPr>
                <w:p w14:paraId="520AC8FD">
                  <w:pPr>
                    <w:pStyle w:val="41"/>
                    <w:adjustRightInd w:val="0"/>
                    <w:snapToGrid w:val="0"/>
                    <w:contextualSpacing w:val="0"/>
                    <w:rPr>
                      <w:kern w:val="2"/>
                    </w:rPr>
                  </w:pPr>
                </w:p>
              </w:tc>
              <w:tc>
                <w:tcPr>
                  <w:tcW w:w="281" w:type="pct"/>
                  <w:vMerge w:val="continue"/>
                  <w:tcBorders>
                    <w:tl2br w:val="nil"/>
                    <w:tr2bl w:val="nil"/>
                  </w:tcBorders>
                  <w:vAlign w:val="center"/>
                </w:tcPr>
                <w:p w14:paraId="520AC8F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8FF">
                  <w:pPr>
                    <w:adjustRightInd w:val="0"/>
                    <w:snapToGrid w:val="0"/>
                    <w:jc w:val="center"/>
                    <w:rPr>
                      <w:kern w:val="0"/>
                      <w:szCs w:val="21"/>
                      <w:highlight w:val="yellow"/>
                    </w:rPr>
                  </w:pPr>
                </w:p>
              </w:tc>
              <w:tc>
                <w:tcPr>
                  <w:tcW w:w="225" w:type="pct"/>
                  <w:vMerge w:val="continue"/>
                  <w:tcBorders>
                    <w:tl2br w:val="nil"/>
                    <w:tr2bl w:val="nil"/>
                  </w:tcBorders>
                  <w:vAlign w:val="center"/>
                </w:tcPr>
                <w:p w14:paraId="520AC900">
                  <w:pPr>
                    <w:adjustRightInd w:val="0"/>
                    <w:snapToGrid w:val="0"/>
                    <w:jc w:val="center"/>
                    <w:rPr>
                      <w:szCs w:val="21"/>
                      <w:highlight w:val="yellow"/>
                    </w:rPr>
                  </w:pPr>
                </w:p>
              </w:tc>
              <w:tc>
                <w:tcPr>
                  <w:tcW w:w="225" w:type="pct"/>
                  <w:vMerge w:val="continue"/>
                  <w:tcBorders>
                    <w:tl2br w:val="nil"/>
                    <w:tr2bl w:val="nil"/>
                  </w:tcBorders>
                  <w:vAlign w:val="center"/>
                </w:tcPr>
                <w:p w14:paraId="520AC901">
                  <w:pPr>
                    <w:adjustRightInd w:val="0"/>
                    <w:snapToGrid w:val="0"/>
                    <w:jc w:val="center"/>
                    <w:rPr>
                      <w:szCs w:val="21"/>
                      <w:highlight w:val="yellow"/>
                    </w:rPr>
                  </w:pPr>
                </w:p>
              </w:tc>
              <w:tc>
                <w:tcPr>
                  <w:tcW w:w="282" w:type="pct"/>
                  <w:vMerge w:val="continue"/>
                  <w:tcBorders>
                    <w:tl2br w:val="nil"/>
                    <w:tr2bl w:val="nil"/>
                  </w:tcBorders>
                  <w:vAlign w:val="center"/>
                </w:tcPr>
                <w:p w14:paraId="520AC902">
                  <w:pPr>
                    <w:adjustRightInd w:val="0"/>
                    <w:snapToGrid w:val="0"/>
                    <w:jc w:val="center"/>
                    <w:rPr>
                      <w:szCs w:val="21"/>
                    </w:rPr>
                  </w:pPr>
                </w:p>
              </w:tc>
              <w:tc>
                <w:tcPr>
                  <w:tcW w:w="393" w:type="pct"/>
                  <w:tcBorders>
                    <w:tl2br w:val="nil"/>
                    <w:tr2bl w:val="nil"/>
                  </w:tcBorders>
                  <w:vAlign w:val="center"/>
                </w:tcPr>
                <w:p w14:paraId="520AC903">
                  <w:pPr>
                    <w:adjustRightInd w:val="0"/>
                    <w:snapToGrid w:val="0"/>
                    <w:jc w:val="center"/>
                    <w:rPr>
                      <w:szCs w:val="21"/>
                    </w:rPr>
                  </w:pPr>
                  <w:r>
                    <w:rPr>
                      <w:szCs w:val="21"/>
                    </w:rPr>
                    <w:t>西</w:t>
                  </w:r>
                  <w:r>
                    <w:rPr>
                      <w:rFonts w:hint="eastAsia"/>
                      <w:szCs w:val="21"/>
                    </w:rPr>
                    <w:t>15</w:t>
                  </w:r>
                </w:p>
              </w:tc>
              <w:tc>
                <w:tcPr>
                  <w:tcW w:w="450" w:type="pct"/>
                  <w:tcBorders>
                    <w:tl2br w:val="nil"/>
                    <w:tr2bl w:val="nil"/>
                  </w:tcBorders>
                  <w:vAlign w:val="center"/>
                </w:tcPr>
                <w:p w14:paraId="520AC904">
                  <w:pPr>
                    <w:adjustRightInd w:val="0"/>
                    <w:snapToGrid w:val="0"/>
                    <w:jc w:val="center"/>
                    <w:rPr>
                      <w:szCs w:val="21"/>
                    </w:rPr>
                  </w:pPr>
                  <w:r>
                    <w:rPr>
                      <w:rFonts w:hint="eastAsia"/>
                      <w:szCs w:val="21"/>
                    </w:rPr>
                    <w:t>61.5</w:t>
                  </w:r>
                </w:p>
              </w:tc>
              <w:tc>
                <w:tcPr>
                  <w:tcW w:w="281" w:type="pct"/>
                  <w:vMerge w:val="continue"/>
                  <w:tcBorders>
                    <w:tl2br w:val="nil"/>
                    <w:tr2bl w:val="nil"/>
                  </w:tcBorders>
                  <w:vAlign w:val="center"/>
                </w:tcPr>
                <w:p w14:paraId="520AC905">
                  <w:pPr>
                    <w:pStyle w:val="41"/>
                    <w:adjustRightInd w:val="0"/>
                    <w:snapToGrid w:val="0"/>
                    <w:contextualSpacing w:val="0"/>
                    <w:rPr>
                      <w:kern w:val="2"/>
                      <w:lang w:val="en-US"/>
                    </w:rPr>
                  </w:pPr>
                </w:p>
              </w:tc>
              <w:tc>
                <w:tcPr>
                  <w:tcW w:w="450" w:type="pct"/>
                  <w:vMerge w:val="continue"/>
                  <w:tcBorders>
                    <w:tl2br w:val="nil"/>
                    <w:tr2bl w:val="nil"/>
                  </w:tcBorders>
                  <w:vAlign w:val="center"/>
                </w:tcPr>
                <w:p w14:paraId="520AC906">
                  <w:pPr>
                    <w:pStyle w:val="41"/>
                    <w:adjustRightInd w:val="0"/>
                    <w:snapToGrid w:val="0"/>
                    <w:contextualSpacing w:val="0"/>
                    <w:rPr>
                      <w:lang w:val="en-US"/>
                    </w:rPr>
                  </w:pPr>
                </w:p>
              </w:tc>
              <w:tc>
                <w:tcPr>
                  <w:tcW w:w="394" w:type="pct"/>
                  <w:tcBorders>
                    <w:tl2br w:val="nil"/>
                    <w:tr2bl w:val="nil"/>
                  </w:tcBorders>
                  <w:vAlign w:val="center"/>
                </w:tcPr>
                <w:p w14:paraId="520AC907">
                  <w:pPr>
                    <w:pStyle w:val="41"/>
                    <w:adjustRightInd w:val="0"/>
                    <w:snapToGrid w:val="0"/>
                    <w:contextualSpacing w:val="0"/>
                  </w:pPr>
                  <w:r>
                    <w:rPr>
                      <w:rFonts w:hint="eastAsia"/>
                    </w:rPr>
                    <w:t>36.5</w:t>
                  </w:r>
                </w:p>
              </w:tc>
              <w:tc>
                <w:tcPr>
                  <w:tcW w:w="372" w:type="pct"/>
                  <w:tcBorders>
                    <w:tl2br w:val="nil"/>
                    <w:tr2bl w:val="nil"/>
                  </w:tcBorders>
                  <w:vAlign w:val="center"/>
                </w:tcPr>
                <w:p w14:paraId="520AC908">
                  <w:pPr>
                    <w:pStyle w:val="41"/>
                    <w:adjustRightInd w:val="0"/>
                    <w:snapToGrid w:val="0"/>
                    <w:contextualSpacing w:val="0"/>
                    <w:rPr>
                      <w:lang w:val="en-US"/>
                    </w:rPr>
                  </w:pPr>
                  <w:r>
                    <w:rPr>
                      <w:rFonts w:hint="eastAsia"/>
                    </w:rPr>
                    <w:t>1</w:t>
                  </w:r>
                </w:p>
              </w:tc>
            </w:tr>
            <w:tr w14:paraId="520AC91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90A">
                  <w:pPr>
                    <w:pStyle w:val="41"/>
                    <w:adjustRightInd w:val="0"/>
                    <w:snapToGrid w:val="0"/>
                    <w:contextualSpacing w:val="0"/>
                  </w:pPr>
                </w:p>
              </w:tc>
              <w:tc>
                <w:tcPr>
                  <w:tcW w:w="314" w:type="pct"/>
                  <w:vMerge w:val="continue"/>
                  <w:tcBorders>
                    <w:tl2br w:val="nil"/>
                    <w:tr2bl w:val="nil"/>
                  </w:tcBorders>
                  <w:vAlign w:val="center"/>
                </w:tcPr>
                <w:p w14:paraId="520AC90B">
                  <w:pPr>
                    <w:pStyle w:val="41"/>
                    <w:adjustRightInd w:val="0"/>
                    <w:snapToGrid w:val="0"/>
                    <w:contextualSpacing w:val="0"/>
                    <w:rPr>
                      <w:highlight w:val="yellow"/>
                    </w:rPr>
                  </w:pPr>
                </w:p>
              </w:tc>
              <w:tc>
                <w:tcPr>
                  <w:tcW w:w="337" w:type="pct"/>
                  <w:vMerge w:val="continue"/>
                  <w:tcBorders>
                    <w:tl2br w:val="nil"/>
                    <w:tr2bl w:val="nil"/>
                  </w:tcBorders>
                  <w:vAlign w:val="center"/>
                </w:tcPr>
                <w:p w14:paraId="520AC90C">
                  <w:pPr>
                    <w:pStyle w:val="41"/>
                    <w:adjustRightInd w:val="0"/>
                    <w:snapToGrid w:val="0"/>
                    <w:contextualSpacing w:val="0"/>
                    <w:rPr>
                      <w:highlight w:val="yellow"/>
                    </w:rPr>
                  </w:pPr>
                </w:p>
              </w:tc>
              <w:tc>
                <w:tcPr>
                  <w:tcW w:w="450" w:type="pct"/>
                  <w:vMerge w:val="continue"/>
                  <w:tcBorders>
                    <w:tl2br w:val="nil"/>
                    <w:tr2bl w:val="nil"/>
                  </w:tcBorders>
                  <w:vAlign w:val="center"/>
                </w:tcPr>
                <w:p w14:paraId="520AC90D">
                  <w:pPr>
                    <w:pStyle w:val="41"/>
                    <w:adjustRightInd w:val="0"/>
                    <w:snapToGrid w:val="0"/>
                    <w:contextualSpacing w:val="0"/>
                    <w:rPr>
                      <w:kern w:val="2"/>
                    </w:rPr>
                  </w:pPr>
                </w:p>
              </w:tc>
              <w:tc>
                <w:tcPr>
                  <w:tcW w:w="281" w:type="pct"/>
                  <w:vMerge w:val="continue"/>
                  <w:tcBorders>
                    <w:tl2br w:val="nil"/>
                    <w:tr2bl w:val="nil"/>
                  </w:tcBorders>
                  <w:vAlign w:val="center"/>
                </w:tcPr>
                <w:p w14:paraId="520AC90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90F">
                  <w:pPr>
                    <w:adjustRightInd w:val="0"/>
                    <w:snapToGrid w:val="0"/>
                    <w:jc w:val="center"/>
                    <w:rPr>
                      <w:kern w:val="0"/>
                      <w:szCs w:val="21"/>
                      <w:highlight w:val="yellow"/>
                    </w:rPr>
                  </w:pPr>
                </w:p>
              </w:tc>
              <w:tc>
                <w:tcPr>
                  <w:tcW w:w="225" w:type="pct"/>
                  <w:vMerge w:val="continue"/>
                  <w:tcBorders>
                    <w:tl2br w:val="nil"/>
                    <w:tr2bl w:val="nil"/>
                  </w:tcBorders>
                  <w:vAlign w:val="center"/>
                </w:tcPr>
                <w:p w14:paraId="520AC910">
                  <w:pPr>
                    <w:adjustRightInd w:val="0"/>
                    <w:snapToGrid w:val="0"/>
                    <w:jc w:val="center"/>
                    <w:rPr>
                      <w:szCs w:val="21"/>
                      <w:highlight w:val="yellow"/>
                    </w:rPr>
                  </w:pPr>
                </w:p>
              </w:tc>
              <w:tc>
                <w:tcPr>
                  <w:tcW w:w="225" w:type="pct"/>
                  <w:vMerge w:val="continue"/>
                  <w:tcBorders>
                    <w:tl2br w:val="nil"/>
                    <w:tr2bl w:val="nil"/>
                  </w:tcBorders>
                  <w:vAlign w:val="center"/>
                </w:tcPr>
                <w:p w14:paraId="520AC911">
                  <w:pPr>
                    <w:adjustRightInd w:val="0"/>
                    <w:snapToGrid w:val="0"/>
                    <w:jc w:val="center"/>
                    <w:rPr>
                      <w:szCs w:val="21"/>
                      <w:highlight w:val="yellow"/>
                    </w:rPr>
                  </w:pPr>
                </w:p>
              </w:tc>
              <w:tc>
                <w:tcPr>
                  <w:tcW w:w="282" w:type="pct"/>
                  <w:vMerge w:val="continue"/>
                  <w:tcBorders>
                    <w:tl2br w:val="nil"/>
                    <w:tr2bl w:val="nil"/>
                  </w:tcBorders>
                  <w:vAlign w:val="center"/>
                </w:tcPr>
                <w:p w14:paraId="520AC912">
                  <w:pPr>
                    <w:adjustRightInd w:val="0"/>
                    <w:snapToGrid w:val="0"/>
                    <w:jc w:val="center"/>
                    <w:rPr>
                      <w:szCs w:val="21"/>
                    </w:rPr>
                  </w:pPr>
                </w:p>
              </w:tc>
              <w:tc>
                <w:tcPr>
                  <w:tcW w:w="393" w:type="pct"/>
                  <w:tcBorders>
                    <w:tl2br w:val="nil"/>
                    <w:tr2bl w:val="nil"/>
                  </w:tcBorders>
                  <w:vAlign w:val="center"/>
                </w:tcPr>
                <w:p w14:paraId="520AC913">
                  <w:pPr>
                    <w:adjustRightInd w:val="0"/>
                    <w:snapToGrid w:val="0"/>
                    <w:jc w:val="center"/>
                    <w:rPr>
                      <w:szCs w:val="21"/>
                    </w:rPr>
                  </w:pPr>
                  <w:r>
                    <w:rPr>
                      <w:szCs w:val="21"/>
                    </w:rPr>
                    <w:t>南</w:t>
                  </w:r>
                  <w:r>
                    <w:rPr>
                      <w:rFonts w:hint="eastAsia"/>
                      <w:szCs w:val="21"/>
                    </w:rPr>
                    <w:t>140</w:t>
                  </w:r>
                </w:p>
              </w:tc>
              <w:tc>
                <w:tcPr>
                  <w:tcW w:w="450" w:type="pct"/>
                  <w:tcBorders>
                    <w:tl2br w:val="nil"/>
                    <w:tr2bl w:val="nil"/>
                  </w:tcBorders>
                  <w:vAlign w:val="center"/>
                </w:tcPr>
                <w:p w14:paraId="520AC914">
                  <w:pPr>
                    <w:adjustRightInd w:val="0"/>
                    <w:snapToGrid w:val="0"/>
                    <w:jc w:val="center"/>
                    <w:rPr>
                      <w:szCs w:val="21"/>
                    </w:rPr>
                  </w:pPr>
                  <w:r>
                    <w:rPr>
                      <w:rFonts w:hint="eastAsia"/>
                      <w:szCs w:val="21"/>
                    </w:rPr>
                    <w:t>42.1</w:t>
                  </w:r>
                </w:p>
              </w:tc>
              <w:tc>
                <w:tcPr>
                  <w:tcW w:w="281" w:type="pct"/>
                  <w:vMerge w:val="continue"/>
                  <w:tcBorders>
                    <w:tl2br w:val="nil"/>
                    <w:tr2bl w:val="nil"/>
                  </w:tcBorders>
                  <w:vAlign w:val="center"/>
                </w:tcPr>
                <w:p w14:paraId="520AC915">
                  <w:pPr>
                    <w:pStyle w:val="41"/>
                    <w:adjustRightInd w:val="0"/>
                    <w:snapToGrid w:val="0"/>
                    <w:contextualSpacing w:val="0"/>
                    <w:rPr>
                      <w:kern w:val="2"/>
                      <w:lang w:val="en-US"/>
                    </w:rPr>
                  </w:pPr>
                </w:p>
              </w:tc>
              <w:tc>
                <w:tcPr>
                  <w:tcW w:w="450" w:type="pct"/>
                  <w:vMerge w:val="continue"/>
                  <w:tcBorders>
                    <w:tl2br w:val="nil"/>
                    <w:tr2bl w:val="nil"/>
                  </w:tcBorders>
                  <w:vAlign w:val="center"/>
                </w:tcPr>
                <w:p w14:paraId="520AC916">
                  <w:pPr>
                    <w:pStyle w:val="41"/>
                    <w:adjustRightInd w:val="0"/>
                    <w:snapToGrid w:val="0"/>
                    <w:contextualSpacing w:val="0"/>
                    <w:rPr>
                      <w:lang w:val="en-US"/>
                    </w:rPr>
                  </w:pPr>
                </w:p>
              </w:tc>
              <w:tc>
                <w:tcPr>
                  <w:tcW w:w="394" w:type="pct"/>
                  <w:tcBorders>
                    <w:tl2br w:val="nil"/>
                    <w:tr2bl w:val="nil"/>
                  </w:tcBorders>
                  <w:vAlign w:val="center"/>
                </w:tcPr>
                <w:p w14:paraId="520AC917">
                  <w:pPr>
                    <w:pStyle w:val="41"/>
                    <w:adjustRightInd w:val="0"/>
                    <w:snapToGrid w:val="0"/>
                    <w:contextualSpacing w:val="0"/>
                  </w:pPr>
                  <w:r>
                    <w:rPr>
                      <w:rFonts w:hint="eastAsia"/>
                    </w:rPr>
                    <w:t>17.1</w:t>
                  </w:r>
                </w:p>
              </w:tc>
              <w:tc>
                <w:tcPr>
                  <w:tcW w:w="372" w:type="pct"/>
                  <w:tcBorders>
                    <w:tl2br w:val="nil"/>
                    <w:tr2bl w:val="nil"/>
                  </w:tcBorders>
                  <w:vAlign w:val="center"/>
                </w:tcPr>
                <w:p w14:paraId="520AC918">
                  <w:pPr>
                    <w:pStyle w:val="41"/>
                    <w:adjustRightInd w:val="0"/>
                    <w:snapToGrid w:val="0"/>
                    <w:contextualSpacing w:val="0"/>
                    <w:rPr>
                      <w:lang w:val="en-US"/>
                    </w:rPr>
                  </w:pPr>
                  <w:r>
                    <w:rPr>
                      <w:rFonts w:hint="eastAsia"/>
                    </w:rPr>
                    <w:t>1</w:t>
                  </w:r>
                </w:p>
              </w:tc>
            </w:tr>
            <w:tr w14:paraId="520AC92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91A">
                  <w:pPr>
                    <w:pStyle w:val="41"/>
                    <w:adjustRightInd w:val="0"/>
                    <w:snapToGrid w:val="0"/>
                    <w:contextualSpacing w:val="0"/>
                  </w:pPr>
                </w:p>
              </w:tc>
              <w:tc>
                <w:tcPr>
                  <w:tcW w:w="314" w:type="pct"/>
                  <w:vMerge w:val="continue"/>
                  <w:tcBorders>
                    <w:tl2br w:val="nil"/>
                    <w:tr2bl w:val="nil"/>
                  </w:tcBorders>
                  <w:vAlign w:val="center"/>
                </w:tcPr>
                <w:p w14:paraId="520AC91B">
                  <w:pPr>
                    <w:pStyle w:val="41"/>
                    <w:adjustRightInd w:val="0"/>
                    <w:snapToGrid w:val="0"/>
                    <w:contextualSpacing w:val="0"/>
                    <w:rPr>
                      <w:highlight w:val="yellow"/>
                    </w:rPr>
                  </w:pPr>
                </w:p>
              </w:tc>
              <w:tc>
                <w:tcPr>
                  <w:tcW w:w="337" w:type="pct"/>
                  <w:vMerge w:val="continue"/>
                  <w:tcBorders>
                    <w:tl2br w:val="nil"/>
                    <w:tr2bl w:val="nil"/>
                  </w:tcBorders>
                  <w:vAlign w:val="center"/>
                </w:tcPr>
                <w:p w14:paraId="520AC91C">
                  <w:pPr>
                    <w:pStyle w:val="41"/>
                    <w:adjustRightInd w:val="0"/>
                    <w:snapToGrid w:val="0"/>
                    <w:contextualSpacing w:val="0"/>
                    <w:rPr>
                      <w:highlight w:val="yellow"/>
                    </w:rPr>
                  </w:pPr>
                </w:p>
              </w:tc>
              <w:tc>
                <w:tcPr>
                  <w:tcW w:w="450" w:type="pct"/>
                  <w:vMerge w:val="continue"/>
                  <w:tcBorders>
                    <w:tl2br w:val="nil"/>
                    <w:tr2bl w:val="nil"/>
                  </w:tcBorders>
                  <w:vAlign w:val="center"/>
                </w:tcPr>
                <w:p w14:paraId="520AC91D">
                  <w:pPr>
                    <w:pStyle w:val="41"/>
                    <w:adjustRightInd w:val="0"/>
                    <w:snapToGrid w:val="0"/>
                    <w:contextualSpacing w:val="0"/>
                    <w:rPr>
                      <w:kern w:val="2"/>
                    </w:rPr>
                  </w:pPr>
                </w:p>
              </w:tc>
              <w:tc>
                <w:tcPr>
                  <w:tcW w:w="281" w:type="pct"/>
                  <w:vMerge w:val="continue"/>
                  <w:tcBorders>
                    <w:tl2br w:val="nil"/>
                    <w:tr2bl w:val="nil"/>
                  </w:tcBorders>
                  <w:vAlign w:val="center"/>
                </w:tcPr>
                <w:p w14:paraId="520AC91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91F">
                  <w:pPr>
                    <w:adjustRightInd w:val="0"/>
                    <w:snapToGrid w:val="0"/>
                    <w:jc w:val="center"/>
                    <w:rPr>
                      <w:kern w:val="0"/>
                      <w:szCs w:val="21"/>
                      <w:highlight w:val="yellow"/>
                    </w:rPr>
                  </w:pPr>
                </w:p>
              </w:tc>
              <w:tc>
                <w:tcPr>
                  <w:tcW w:w="225" w:type="pct"/>
                  <w:vMerge w:val="continue"/>
                  <w:tcBorders>
                    <w:tl2br w:val="nil"/>
                    <w:tr2bl w:val="nil"/>
                  </w:tcBorders>
                  <w:vAlign w:val="center"/>
                </w:tcPr>
                <w:p w14:paraId="520AC920">
                  <w:pPr>
                    <w:adjustRightInd w:val="0"/>
                    <w:snapToGrid w:val="0"/>
                    <w:jc w:val="center"/>
                    <w:rPr>
                      <w:szCs w:val="21"/>
                      <w:highlight w:val="yellow"/>
                    </w:rPr>
                  </w:pPr>
                </w:p>
              </w:tc>
              <w:tc>
                <w:tcPr>
                  <w:tcW w:w="225" w:type="pct"/>
                  <w:vMerge w:val="continue"/>
                  <w:tcBorders>
                    <w:tl2br w:val="nil"/>
                    <w:tr2bl w:val="nil"/>
                  </w:tcBorders>
                  <w:vAlign w:val="center"/>
                </w:tcPr>
                <w:p w14:paraId="520AC921">
                  <w:pPr>
                    <w:adjustRightInd w:val="0"/>
                    <w:snapToGrid w:val="0"/>
                    <w:jc w:val="center"/>
                    <w:rPr>
                      <w:szCs w:val="21"/>
                      <w:highlight w:val="yellow"/>
                    </w:rPr>
                  </w:pPr>
                </w:p>
              </w:tc>
              <w:tc>
                <w:tcPr>
                  <w:tcW w:w="282" w:type="pct"/>
                  <w:vMerge w:val="continue"/>
                  <w:tcBorders>
                    <w:tl2br w:val="nil"/>
                    <w:tr2bl w:val="nil"/>
                  </w:tcBorders>
                  <w:vAlign w:val="center"/>
                </w:tcPr>
                <w:p w14:paraId="520AC922">
                  <w:pPr>
                    <w:adjustRightInd w:val="0"/>
                    <w:snapToGrid w:val="0"/>
                    <w:jc w:val="center"/>
                    <w:rPr>
                      <w:szCs w:val="21"/>
                    </w:rPr>
                  </w:pPr>
                </w:p>
              </w:tc>
              <w:tc>
                <w:tcPr>
                  <w:tcW w:w="393" w:type="pct"/>
                  <w:tcBorders>
                    <w:tl2br w:val="nil"/>
                    <w:tr2bl w:val="nil"/>
                  </w:tcBorders>
                  <w:vAlign w:val="center"/>
                </w:tcPr>
                <w:p w14:paraId="520AC923">
                  <w:pPr>
                    <w:adjustRightInd w:val="0"/>
                    <w:snapToGrid w:val="0"/>
                    <w:jc w:val="center"/>
                    <w:rPr>
                      <w:szCs w:val="21"/>
                    </w:rPr>
                  </w:pPr>
                  <w:r>
                    <w:rPr>
                      <w:szCs w:val="21"/>
                    </w:rPr>
                    <w:t>北</w:t>
                  </w:r>
                  <w:r>
                    <w:rPr>
                      <w:rFonts w:hint="eastAsia"/>
                      <w:szCs w:val="21"/>
                    </w:rPr>
                    <w:t>22</w:t>
                  </w:r>
                </w:p>
              </w:tc>
              <w:tc>
                <w:tcPr>
                  <w:tcW w:w="450" w:type="pct"/>
                  <w:tcBorders>
                    <w:tl2br w:val="nil"/>
                    <w:tr2bl w:val="nil"/>
                  </w:tcBorders>
                  <w:vAlign w:val="center"/>
                </w:tcPr>
                <w:p w14:paraId="520AC924">
                  <w:pPr>
                    <w:adjustRightInd w:val="0"/>
                    <w:snapToGrid w:val="0"/>
                    <w:jc w:val="center"/>
                    <w:rPr>
                      <w:szCs w:val="21"/>
                    </w:rPr>
                  </w:pPr>
                  <w:r>
                    <w:rPr>
                      <w:rFonts w:hint="eastAsia"/>
                      <w:szCs w:val="21"/>
                    </w:rPr>
                    <w:t>58.2</w:t>
                  </w:r>
                </w:p>
              </w:tc>
              <w:tc>
                <w:tcPr>
                  <w:tcW w:w="281" w:type="pct"/>
                  <w:vMerge w:val="continue"/>
                  <w:tcBorders>
                    <w:tl2br w:val="nil"/>
                    <w:tr2bl w:val="nil"/>
                  </w:tcBorders>
                  <w:vAlign w:val="center"/>
                </w:tcPr>
                <w:p w14:paraId="520AC925">
                  <w:pPr>
                    <w:pStyle w:val="41"/>
                    <w:adjustRightInd w:val="0"/>
                    <w:snapToGrid w:val="0"/>
                    <w:contextualSpacing w:val="0"/>
                    <w:rPr>
                      <w:kern w:val="2"/>
                      <w:lang w:val="en-US"/>
                    </w:rPr>
                  </w:pPr>
                </w:p>
              </w:tc>
              <w:tc>
                <w:tcPr>
                  <w:tcW w:w="450" w:type="pct"/>
                  <w:vMerge w:val="continue"/>
                  <w:tcBorders>
                    <w:tl2br w:val="nil"/>
                    <w:tr2bl w:val="nil"/>
                  </w:tcBorders>
                  <w:vAlign w:val="center"/>
                </w:tcPr>
                <w:p w14:paraId="520AC926">
                  <w:pPr>
                    <w:pStyle w:val="41"/>
                    <w:adjustRightInd w:val="0"/>
                    <w:snapToGrid w:val="0"/>
                    <w:contextualSpacing w:val="0"/>
                    <w:rPr>
                      <w:lang w:val="en-US"/>
                    </w:rPr>
                  </w:pPr>
                </w:p>
              </w:tc>
              <w:tc>
                <w:tcPr>
                  <w:tcW w:w="394" w:type="pct"/>
                  <w:tcBorders>
                    <w:tl2br w:val="nil"/>
                    <w:tr2bl w:val="nil"/>
                  </w:tcBorders>
                  <w:vAlign w:val="center"/>
                </w:tcPr>
                <w:p w14:paraId="520AC927">
                  <w:pPr>
                    <w:pStyle w:val="41"/>
                    <w:adjustRightInd w:val="0"/>
                    <w:snapToGrid w:val="0"/>
                    <w:contextualSpacing w:val="0"/>
                  </w:pPr>
                  <w:r>
                    <w:rPr>
                      <w:rFonts w:hint="eastAsia"/>
                    </w:rPr>
                    <w:t>33.2</w:t>
                  </w:r>
                </w:p>
              </w:tc>
              <w:tc>
                <w:tcPr>
                  <w:tcW w:w="372" w:type="pct"/>
                  <w:tcBorders>
                    <w:tl2br w:val="nil"/>
                    <w:tr2bl w:val="nil"/>
                  </w:tcBorders>
                  <w:vAlign w:val="center"/>
                </w:tcPr>
                <w:p w14:paraId="520AC928">
                  <w:pPr>
                    <w:pStyle w:val="41"/>
                    <w:adjustRightInd w:val="0"/>
                    <w:snapToGrid w:val="0"/>
                    <w:contextualSpacing w:val="0"/>
                    <w:rPr>
                      <w:lang w:val="en-US"/>
                    </w:rPr>
                  </w:pPr>
                  <w:r>
                    <w:rPr>
                      <w:rFonts w:hint="eastAsia"/>
                    </w:rPr>
                    <w:t>1</w:t>
                  </w:r>
                </w:p>
              </w:tc>
            </w:tr>
            <w:tr w14:paraId="520AC93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restart"/>
                  <w:tcBorders>
                    <w:tl2br w:val="nil"/>
                    <w:tr2bl w:val="nil"/>
                  </w:tcBorders>
                  <w:vAlign w:val="center"/>
                </w:tcPr>
                <w:p w14:paraId="520AC92A">
                  <w:pPr>
                    <w:pStyle w:val="41"/>
                    <w:adjustRightInd w:val="0"/>
                    <w:snapToGrid w:val="0"/>
                    <w:contextualSpacing w:val="0"/>
                  </w:pPr>
                  <w:r>
                    <w:rPr>
                      <w:rFonts w:hint="eastAsia"/>
                    </w:rPr>
                    <w:t>4</w:t>
                  </w:r>
                </w:p>
              </w:tc>
              <w:tc>
                <w:tcPr>
                  <w:tcW w:w="314" w:type="pct"/>
                  <w:vMerge w:val="restart"/>
                  <w:tcBorders>
                    <w:tl2br w:val="nil"/>
                    <w:tr2bl w:val="nil"/>
                  </w:tcBorders>
                  <w:vAlign w:val="center"/>
                </w:tcPr>
                <w:p w14:paraId="520AC92B">
                  <w:pPr>
                    <w:pStyle w:val="41"/>
                    <w:adjustRightInd w:val="0"/>
                    <w:snapToGrid w:val="0"/>
                    <w:contextualSpacing w:val="0"/>
                    <w:rPr>
                      <w:highlight w:val="yellow"/>
                    </w:rPr>
                  </w:pPr>
                  <w:r>
                    <w:rPr>
                      <w:rFonts w:hint="eastAsia"/>
                    </w:rPr>
                    <w:t>105</w:t>
                  </w:r>
                  <w:r>
                    <w:t>厂房</w:t>
                  </w:r>
                </w:p>
              </w:tc>
              <w:tc>
                <w:tcPr>
                  <w:tcW w:w="337" w:type="pct"/>
                  <w:vMerge w:val="restart"/>
                  <w:tcBorders>
                    <w:tl2br w:val="nil"/>
                    <w:tr2bl w:val="nil"/>
                  </w:tcBorders>
                  <w:vAlign w:val="center"/>
                </w:tcPr>
                <w:p w14:paraId="520AC92C">
                  <w:pPr>
                    <w:pStyle w:val="41"/>
                    <w:adjustRightInd w:val="0"/>
                    <w:snapToGrid w:val="0"/>
                    <w:contextualSpacing w:val="0"/>
                    <w:rPr>
                      <w:highlight w:val="yellow"/>
                    </w:rPr>
                  </w:pPr>
                  <w:r>
                    <w:t>抛丸机</w:t>
                  </w:r>
                </w:p>
              </w:tc>
              <w:tc>
                <w:tcPr>
                  <w:tcW w:w="450" w:type="pct"/>
                  <w:vMerge w:val="restart"/>
                  <w:tcBorders>
                    <w:tl2br w:val="nil"/>
                    <w:tr2bl w:val="nil"/>
                  </w:tcBorders>
                  <w:vAlign w:val="center"/>
                </w:tcPr>
                <w:p w14:paraId="520AC92D">
                  <w:pPr>
                    <w:pStyle w:val="41"/>
                    <w:adjustRightInd w:val="0"/>
                    <w:snapToGrid w:val="0"/>
                    <w:contextualSpacing w:val="0"/>
                    <w:rPr>
                      <w:kern w:val="2"/>
                    </w:rPr>
                  </w:pPr>
                  <w:r>
                    <w:rPr>
                      <w:rFonts w:hint="eastAsia"/>
                    </w:rPr>
                    <w:t>85/1</w:t>
                  </w:r>
                </w:p>
              </w:tc>
              <w:tc>
                <w:tcPr>
                  <w:tcW w:w="281" w:type="pct"/>
                  <w:vMerge w:val="restart"/>
                  <w:tcBorders>
                    <w:tl2br w:val="nil"/>
                    <w:tr2bl w:val="nil"/>
                  </w:tcBorders>
                  <w:vAlign w:val="center"/>
                </w:tcPr>
                <w:p w14:paraId="520AC92E">
                  <w:pPr>
                    <w:pStyle w:val="41"/>
                    <w:adjustRightInd w:val="0"/>
                    <w:snapToGrid w:val="0"/>
                    <w:contextualSpacing w:val="0"/>
                    <w:rPr>
                      <w:kern w:val="2"/>
                      <w:lang w:val="en-US"/>
                    </w:rPr>
                  </w:pPr>
                  <w:r>
                    <w:rPr>
                      <w:rFonts w:hint="eastAsia"/>
                    </w:rPr>
                    <w:t>1</w:t>
                  </w:r>
                </w:p>
              </w:tc>
              <w:tc>
                <w:tcPr>
                  <w:tcW w:w="394" w:type="pct"/>
                  <w:vMerge w:val="restart"/>
                  <w:tcBorders>
                    <w:tl2br w:val="nil"/>
                    <w:tr2bl w:val="nil"/>
                  </w:tcBorders>
                  <w:vAlign w:val="center"/>
                </w:tcPr>
                <w:p w14:paraId="520AC92F">
                  <w:pPr>
                    <w:adjustRightInd w:val="0"/>
                    <w:snapToGrid w:val="0"/>
                    <w:jc w:val="center"/>
                    <w:rPr>
                      <w:kern w:val="0"/>
                      <w:szCs w:val="21"/>
                      <w:highlight w:val="yellow"/>
                    </w:rPr>
                  </w:pPr>
                  <w:r>
                    <w:t>基础减振、厂房隔声</w:t>
                  </w:r>
                </w:p>
              </w:tc>
              <w:tc>
                <w:tcPr>
                  <w:tcW w:w="225" w:type="pct"/>
                  <w:vMerge w:val="restart"/>
                  <w:tcBorders>
                    <w:tl2br w:val="nil"/>
                    <w:tr2bl w:val="nil"/>
                  </w:tcBorders>
                  <w:vAlign w:val="center"/>
                </w:tcPr>
                <w:p w14:paraId="520AC930">
                  <w:pPr>
                    <w:adjustRightInd w:val="0"/>
                    <w:snapToGrid w:val="0"/>
                    <w:jc w:val="center"/>
                    <w:rPr>
                      <w:szCs w:val="21"/>
                    </w:rPr>
                  </w:pPr>
                  <w:r>
                    <w:rPr>
                      <w:rFonts w:hint="eastAsia"/>
                      <w:szCs w:val="21"/>
                    </w:rPr>
                    <w:t>175</w:t>
                  </w:r>
                </w:p>
              </w:tc>
              <w:tc>
                <w:tcPr>
                  <w:tcW w:w="225" w:type="pct"/>
                  <w:vMerge w:val="restart"/>
                  <w:tcBorders>
                    <w:tl2br w:val="nil"/>
                    <w:tr2bl w:val="nil"/>
                  </w:tcBorders>
                  <w:vAlign w:val="center"/>
                </w:tcPr>
                <w:p w14:paraId="520AC931">
                  <w:pPr>
                    <w:adjustRightInd w:val="0"/>
                    <w:snapToGrid w:val="0"/>
                    <w:jc w:val="center"/>
                    <w:rPr>
                      <w:szCs w:val="21"/>
                    </w:rPr>
                  </w:pPr>
                  <w:r>
                    <w:rPr>
                      <w:rFonts w:hint="eastAsia"/>
                      <w:szCs w:val="21"/>
                    </w:rPr>
                    <w:t>424</w:t>
                  </w:r>
                </w:p>
              </w:tc>
              <w:tc>
                <w:tcPr>
                  <w:tcW w:w="282" w:type="pct"/>
                  <w:vMerge w:val="restart"/>
                  <w:tcBorders>
                    <w:tl2br w:val="nil"/>
                    <w:tr2bl w:val="nil"/>
                  </w:tcBorders>
                  <w:vAlign w:val="center"/>
                </w:tcPr>
                <w:p w14:paraId="520AC932">
                  <w:pPr>
                    <w:adjustRightInd w:val="0"/>
                    <w:snapToGrid w:val="0"/>
                    <w:jc w:val="center"/>
                    <w:rPr>
                      <w:szCs w:val="21"/>
                    </w:rPr>
                  </w:pPr>
                  <w:r>
                    <w:rPr>
                      <w:rFonts w:hint="eastAsia"/>
                      <w:szCs w:val="21"/>
                    </w:rPr>
                    <w:t>0.2</w:t>
                  </w:r>
                </w:p>
              </w:tc>
              <w:tc>
                <w:tcPr>
                  <w:tcW w:w="393" w:type="pct"/>
                  <w:tcBorders>
                    <w:tl2br w:val="nil"/>
                    <w:tr2bl w:val="nil"/>
                  </w:tcBorders>
                  <w:vAlign w:val="center"/>
                </w:tcPr>
                <w:p w14:paraId="520AC933">
                  <w:pPr>
                    <w:adjustRightInd w:val="0"/>
                    <w:snapToGrid w:val="0"/>
                    <w:jc w:val="center"/>
                    <w:rPr>
                      <w:szCs w:val="21"/>
                    </w:rPr>
                  </w:pPr>
                  <w:r>
                    <w:rPr>
                      <w:szCs w:val="21"/>
                    </w:rPr>
                    <w:t>东</w:t>
                  </w:r>
                  <w:r>
                    <w:rPr>
                      <w:rFonts w:hint="eastAsia"/>
                      <w:szCs w:val="21"/>
                    </w:rPr>
                    <w:t>17</w:t>
                  </w:r>
                </w:p>
              </w:tc>
              <w:tc>
                <w:tcPr>
                  <w:tcW w:w="450" w:type="pct"/>
                  <w:tcBorders>
                    <w:tl2br w:val="nil"/>
                    <w:tr2bl w:val="nil"/>
                  </w:tcBorders>
                  <w:vAlign w:val="center"/>
                </w:tcPr>
                <w:p w14:paraId="520AC934">
                  <w:pPr>
                    <w:adjustRightInd w:val="0"/>
                    <w:snapToGrid w:val="0"/>
                    <w:jc w:val="center"/>
                    <w:rPr>
                      <w:szCs w:val="21"/>
                    </w:rPr>
                  </w:pPr>
                  <w:r>
                    <w:rPr>
                      <w:rFonts w:hint="eastAsia"/>
                      <w:szCs w:val="21"/>
                    </w:rPr>
                    <w:t>60.4</w:t>
                  </w:r>
                </w:p>
              </w:tc>
              <w:tc>
                <w:tcPr>
                  <w:tcW w:w="281" w:type="pct"/>
                  <w:vMerge w:val="restart"/>
                  <w:tcBorders>
                    <w:tl2br w:val="nil"/>
                    <w:tr2bl w:val="nil"/>
                  </w:tcBorders>
                  <w:vAlign w:val="center"/>
                </w:tcPr>
                <w:p w14:paraId="520AC935">
                  <w:pPr>
                    <w:pStyle w:val="41"/>
                    <w:adjustRightInd w:val="0"/>
                    <w:snapToGrid w:val="0"/>
                    <w:contextualSpacing w:val="0"/>
                    <w:rPr>
                      <w:kern w:val="2"/>
                      <w:lang w:val="en-US"/>
                    </w:rPr>
                  </w:pPr>
                  <w:r>
                    <w:rPr>
                      <w:rFonts w:hint="eastAsia"/>
                    </w:rPr>
                    <w:t>昼夜</w:t>
                  </w:r>
                </w:p>
              </w:tc>
              <w:tc>
                <w:tcPr>
                  <w:tcW w:w="450" w:type="pct"/>
                  <w:vMerge w:val="restart"/>
                  <w:tcBorders>
                    <w:tl2br w:val="nil"/>
                    <w:tr2bl w:val="nil"/>
                  </w:tcBorders>
                  <w:vAlign w:val="center"/>
                </w:tcPr>
                <w:p w14:paraId="520AC936">
                  <w:pPr>
                    <w:pStyle w:val="41"/>
                    <w:adjustRightInd w:val="0"/>
                    <w:snapToGrid w:val="0"/>
                    <w:contextualSpacing w:val="0"/>
                    <w:rPr>
                      <w:lang w:val="en-US"/>
                    </w:rPr>
                  </w:pPr>
                  <w:r>
                    <w:rPr>
                      <w:rFonts w:hint="eastAsia"/>
                      <w:lang w:val="en-US"/>
                    </w:rPr>
                    <w:t>25</w:t>
                  </w:r>
                </w:p>
              </w:tc>
              <w:tc>
                <w:tcPr>
                  <w:tcW w:w="394" w:type="pct"/>
                  <w:tcBorders>
                    <w:tl2br w:val="nil"/>
                    <w:tr2bl w:val="nil"/>
                  </w:tcBorders>
                  <w:vAlign w:val="center"/>
                </w:tcPr>
                <w:p w14:paraId="520AC937">
                  <w:pPr>
                    <w:pStyle w:val="41"/>
                    <w:adjustRightInd w:val="0"/>
                    <w:snapToGrid w:val="0"/>
                    <w:contextualSpacing w:val="0"/>
                  </w:pPr>
                  <w:r>
                    <w:rPr>
                      <w:rFonts w:hint="eastAsia"/>
                    </w:rPr>
                    <w:t>35.4</w:t>
                  </w:r>
                </w:p>
              </w:tc>
              <w:tc>
                <w:tcPr>
                  <w:tcW w:w="372" w:type="pct"/>
                  <w:tcBorders>
                    <w:tl2br w:val="nil"/>
                    <w:tr2bl w:val="nil"/>
                  </w:tcBorders>
                  <w:vAlign w:val="center"/>
                </w:tcPr>
                <w:p w14:paraId="520AC938">
                  <w:pPr>
                    <w:pStyle w:val="41"/>
                    <w:adjustRightInd w:val="0"/>
                    <w:snapToGrid w:val="0"/>
                    <w:contextualSpacing w:val="0"/>
                  </w:pPr>
                  <w:r>
                    <w:rPr>
                      <w:rFonts w:hint="eastAsia"/>
                    </w:rPr>
                    <w:t>1</w:t>
                  </w:r>
                </w:p>
              </w:tc>
            </w:tr>
            <w:tr w14:paraId="520AC94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93A">
                  <w:pPr>
                    <w:pStyle w:val="41"/>
                    <w:adjustRightInd w:val="0"/>
                    <w:snapToGrid w:val="0"/>
                    <w:contextualSpacing w:val="0"/>
                    <w:rPr>
                      <w:highlight w:val="yellow"/>
                    </w:rPr>
                  </w:pPr>
                </w:p>
              </w:tc>
              <w:tc>
                <w:tcPr>
                  <w:tcW w:w="314" w:type="pct"/>
                  <w:vMerge w:val="continue"/>
                  <w:tcBorders>
                    <w:tl2br w:val="nil"/>
                    <w:tr2bl w:val="nil"/>
                  </w:tcBorders>
                  <w:vAlign w:val="center"/>
                </w:tcPr>
                <w:p w14:paraId="520AC93B">
                  <w:pPr>
                    <w:pStyle w:val="41"/>
                    <w:adjustRightInd w:val="0"/>
                    <w:snapToGrid w:val="0"/>
                    <w:contextualSpacing w:val="0"/>
                    <w:rPr>
                      <w:highlight w:val="yellow"/>
                    </w:rPr>
                  </w:pPr>
                </w:p>
              </w:tc>
              <w:tc>
                <w:tcPr>
                  <w:tcW w:w="337" w:type="pct"/>
                  <w:vMerge w:val="continue"/>
                  <w:tcBorders>
                    <w:tl2br w:val="nil"/>
                    <w:tr2bl w:val="nil"/>
                  </w:tcBorders>
                  <w:vAlign w:val="center"/>
                </w:tcPr>
                <w:p w14:paraId="520AC93C">
                  <w:pPr>
                    <w:pStyle w:val="41"/>
                    <w:adjustRightInd w:val="0"/>
                    <w:snapToGrid w:val="0"/>
                    <w:contextualSpacing w:val="0"/>
                    <w:rPr>
                      <w:highlight w:val="yellow"/>
                    </w:rPr>
                  </w:pPr>
                </w:p>
              </w:tc>
              <w:tc>
                <w:tcPr>
                  <w:tcW w:w="450" w:type="pct"/>
                  <w:vMerge w:val="continue"/>
                  <w:tcBorders>
                    <w:tl2br w:val="nil"/>
                    <w:tr2bl w:val="nil"/>
                  </w:tcBorders>
                  <w:vAlign w:val="center"/>
                </w:tcPr>
                <w:p w14:paraId="520AC93D">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93E">
                  <w:pPr>
                    <w:pStyle w:val="41"/>
                    <w:adjustRightInd w:val="0"/>
                    <w:snapToGrid w:val="0"/>
                    <w:contextualSpacing w:val="0"/>
                    <w:rPr>
                      <w:kern w:val="2"/>
                      <w:highlight w:val="yellow"/>
                      <w:lang w:val="en-US"/>
                    </w:rPr>
                  </w:pPr>
                </w:p>
              </w:tc>
              <w:tc>
                <w:tcPr>
                  <w:tcW w:w="394" w:type="pct"/>
                  <w:vMerge w:val="continue"/>
                  <w:tcBorders>
                    <w:tl2br w:val="nil"/>
                    <w:tr2bl w:val="nil"/>
                  </w:tcBorders>
                  <w:vAlign w:val="center"/>
                </w:tcPr>
                <w:p w14:paraId="520AC93F">
                  <w:pPr>
                    <w:adjustRightInd w:val="0"/>
                    <w:snapToGrid w:val="0"/>
                    <w:jc w:val="center"/>
                    <w:rPr>
                      <w:kern w:val="0"/>
                      <w:szCs w:val="21"/>
                      <w:highlight w:val="yellow"/>
                    </w:rPr>
                  </w:pPr>
                </w:p>
              </w:tc>
              <w:tc>
                <w:tcPr>
                  <w:tcW w:w="225" w:type="pct"/>
                  <w:vMerge w:val="continue"/>
                  <w:tcBorders>
                    <w:tl2br w:val="nil"/>
                    <w:tr2bl w:val="nil"/>
                  </w:tcBorders>
                  <w:vAlign w:val="center"/>
                </w:tcPr>
                <w:p w14:paraId="520AC940">
                  <w:pPr>
                    <w:adjustRightInd w:val="0"/>
                    <w:snapToGrid w:val="0"/>
                    <w:jc w:val="center"/>
                    <w:rPr>
                      <w:szCs w:val="21"/>
                      <w:highlight w:val="yellow"/>
                    </w:rPr>
                  </w:pPr>
                </w:p>
              </w:tc>
              <w:tc>
                <w:tcPr>
                  <w:tcW w:w="225" w:type="pct"/>
                  <w:vMerge w:val="continue"/>
                  <w:tcBorders>
                    <w:tl2br w:val="nil"/>
                    <w:tr2bl w:val="nil"/>
                  </w:tcBorders>
                  <w:vAlign w:val="center"/>
                </w:tcPr>
                <w:p w14:paraId="520AC941">
                  <w:pPr>
                    <w:adjustRightInd w:val="0"/>
                    <w:snapToGrid w:val="0"/>
                    <w:jc w:val="center"/>
                    <w:rPr>
                      <w:szCs w:val="21"/>
                      <w:highlight w:val="yellow"/>
                    </w:rPr>
                  </w:pPr>
                </w:p>
              </w:tc>
              <w:tc>
                <w:tcPr>
                  <w:tcW w:w="282" w:type="pct"/>
                  <w:vMerge w:val="continue"/>
                  <w:tcBorders>
                    <w:tl2br w:val="nil"/>
                    <w:tr2bl w:val="nil"/>
                  </w:tcBorders>
                  <w:vAlign w:val="center"/>
                </w:tcPr>
                <w:p w14:paraId="520AC942">
                  <w:pPr>
                    <w:adjustRightInd w:val="0"/>
                    <w:snapToGrid w:val="0"/>
                    <w:jc w:val="center"/>
                    <w:rPr>
                      <w:szCs w:val="21"/>
                    </w:rPr>
                  </w:pPr>
                </w:p>
              </w:tc>
              <w:tc>
                <w:tcPr>
                  <w:tcW w:w="393" w:type="pct"/>
                  <w:tcBorders>
                    <w:tl2br w:val="nil"/>
                    <w:tr2bl w:val="nil"/>
                  </w:tcBorders>
                  <w:vAlign w:val="center"/>
                </w:tcPr>
                <w:p w14:paraId="520AC943">
                  <w:pPr>
                    <w:adjustRightInd w:val="0"/>
                    <w:snapToGrid w:val="0"/>
                    <w:jc w:val="center"/>
                    <w:rPr>
                      <w:szCs w:val="21"/>
                    </w:rPr>
                  </w:pPr>
                  <w:r>
                    <w:rPr>
                      <w:szCs w:val="21"/>
                    </w:rPr>
                    <w:t>西</w:t>
                  </w:r>
                  <w:r>
                    <w:rPr>
                      <w:rFonts w:hint="eastAsia"/>
                      <w:szCs w:val="21"/>
                    </w:rPr>
                    <w:t>42</w:t>
                  </w:r>
                </w:p>
              </w:tc>
              <w:tc>
                <w:tcPr>
                  <w:tcW w:w="450" w:type="pct"/>
                  <w:tcBorders>
                    <w:tl2br w:val="nil"/>
                    <w:tr2bl w:val="nil"/>
                  </w:tcBorders>
                  <w:vAlign w:val="center"/>
                </w:tcPr>
                <w:p w14:paraId="520AC944">
                  <w:pPr>
                    <w:adjustRightInd w:val="0"/>
                    <w:snapToGrid w:val="0"/>
                    <w:jc w:val="center"/>
                    <w:rPr>
                      <w:szCs w:val="21"/>
                    </w:rPr>
                  </w:pPr>
                  <w:r>
                    <w:rPr>
                      <w:rFonts w:hint="eastAsia"/>
                      <w:szCs w:val="21"/>
                    </w:rPr>
                    <w:t>52.5</w:t>
                  </w:r>
                </w:p>
              </w:tc>
              <w:tc>
                <w:tcPr>
                  <w:tcW w:w="281" w:type="pct"/>
                  <w:vMerge w:val="continue"/>
                  <w:tcBorders>
                    <w:tl2br w:val="nil"/>
                    <w:tr2bl w:val="nil"/>
                  </w:tcBorders>
                  <w:vAlign w:val="center"/>
                </w:tcPr>
                <w:p w14:paraId="520AC945">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946">
                  <w:pPr>
                    <w:pStyle w:val="41"/>
                    <w:adjustRightInd w:val="0"/>
                    <w:snapToGrid w:val="0"/>
                    <w:contextualSpacing w:val="0"/>
                    <w:rPr>
                      <w:lang w:val="en-US"/>
                    </w:rPr>
                  </w:pPr>
                </w:p>
              </w:tc>
              <w:tc>
                <w:tcPr>
                  <w:tcW w:w="394" w:type="pct"/>
                  <w:tcBorders>
                    <w:tl2br w:val="nil"/>
                    <w:tr2bl w:val="nil"/>
                  </w:tcBorders>
                  <w:vAlign w:val="center"/>
                </w:tcPr>
                <w:p w14:paraId="520AC947">
                  <w:pPr>
                    <w:pStyle w:val="41"/>
                    <w:adjustRightInd w:val="0"/>
                    <w:snapToGrid w:val="0"/>
                    <w:contextualSpacing w:val="0"/>
                  </w:pPr>
                  <w:r>
                    <w:rPr>
                      <w:rFonts w:hint="eastAsia"/>
                    </w:rPr>
                    <w:t>27.5</w:t>
                  </w:r>
                </w:p>
              </w:tc>
              <w:tc>
                <w:tcPr>
                  <w:tcW w:w="372" w:type="pct"/>
                  <w:tcBorders>
                    <w:tl2br w:val="nil"/>
                    <w:tr2bl w:val="nil"/>
                  </w:tcBorders>
                  <w:vAlign w:val="center"/>
                </w:tcPr>
                <w:p w14:paraId="520AC948">
                  <w:pPr>
                    <w:pStyle w:val="41"/>
                    <w:adjustRightInd w:val="0"/>
                    <w:snapToGrid w:val="0"/>
                    <w:contextualSpacing w:val="0"/>
                  </w:pPr>
                  <w:r>
                    <w:rPr>
                      <w:rFonts w:hint="eastAsia"/>
                    </w:rPr>
                    <w:t>1</w:t>
                  </w:r>
                </w:p>
              </w:tc>
            </w:tr>
            <w:tr w14:paraId="520AC95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94A">
                  <w:pPr>
                    <w:pStyle w:val="41"/>
                    <w:adjustRightInd w:val="0"/>
                    <w:snapToGrid w:val="0"/>
                    <w:contextualSpacing w:val="0"/>
                    <w:rPr>
                      <w:highlight w:val="yellow"/>
                    </w:rPr>
                  </w:pPr>
                </w:p>
              </w:tc>
              <w:tc>
                <w:tcPr>
                  <w:tcW w:w="314" w:type="pct"/>
                  <w:vMerge w:val="continue"/>
                  <w:tcBorders>
                    <w:tl2br w:val="nil"/>
                    <w:tr2bl w:val="nil"/>
                  </w:tcBorders>
                  <w:vAlign w:val="center"/>
                </w:tcPr>
                <w:p w14:paraId="520AC94B">
                  <w:pPr>
                    <w:pStyle w:val="41"/>
                    <w:adjustRightInd w:val="0"/>
                    <w:snapToGrid w:val="0"/>
                    <w:contextualSpacing w:val="0"/>
                    <w:rPr>
                      <w:highlight w:val="yellow"/>
                    </w:rPr>
                  </w:pPr>
                </w:p>
              </w:tc>
              <w:tc>
                <w:tcPr>
                  <w:tcW w:w="337" w:type="pct"/>
                  <w:vMerge w:val="continue"/>
                  <w:tcBorders>
                    <w:tl2br w:val="nil"/>
                    <w:tr2bl w:val="nil"/>
                  </w:tcBorders>
                  <w:vAlign w:val="center"/>
                </w:tcPr>
                <w:p w14:paraId="520AC94C">
                  <w:pPr>
                    <w:pStyle w:val="41"/>
                    <w:adjustRightInd w:val="0"/>
                    <w:snapToGrid w:val="0"/>
                    <w:contextualSpacing w:val="0"/>
                    <w:rPr>
                      <w:highlight w:val="yellow"/>
                    </w:rPr>
                  </w:pPr>
                </w:p>
              </w:tc>
              <w:tc>
                <w:tcPr>
                  <w:tcW w:w="450" w:type="pct"/>
                  <w:vMerge w:val="continue"/>
                  <w:tcBorders>
                    <w:tl2br w:val="nil"/>
                    <w:tr2bl w:val="nil"/>
                  </w:tcBorders>
                  <w:vAlign w:val="center"/>
                </w:tcPr>
                <w:p w14:paraId="520AC94D">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94E">
                  <w:pPr>
                    <w:pStyle w:val="41"/>
                    <w:adjustRightInd w:val="0"/>
                    <w:snapToGrid w:val="0"/>
                    <w:contextualSpacing w:val="0"/>
                    <w:rPr>
                      <w:kern w:val="2"/>
                      <w:highlight w:val="yellow"/>
                      <w:lang w:val="en-US"/>
                    </w:rPr>
                  </w:pPr>
                </w:p>
              </w:tc>
              <w:tc>
                <w:tcPr>
                  <w:tcW w:w="394" w:type="pct"/>
                  <w:vMerge w:val="continue"/>
                  <w:tcBorders>
                    <w:tl2br w:val="nil"/>
                    <w:tr2bl w:val="nil"/>
                  </w:tcBorders>
                  <w:vAlign w:val="center"/>
                </w:tcPr>
                <w:p w14:paraId="520AC94F">
                  <w:pPr>
                    <w:adjustRightInd w:val="0"/>
                    <w:snapToGrid w:val="0"/>
                    <w:jc w:val="center"/>
                    <w:rPr>
                      <w:kern w:val="0"/>
                      <w:szCs w:val="21"/>
                      <w:highlight w:val="yellow"/>
                    </w:rPr>
                  </w:pPr>
                </w:p>
              </w:tc>
              <w:tc>
                <w:tcPr>
                  <w:tcW w:w="225" w:type="pct"/>
                  <w:vMerge w:val="continue"/>
                  <w:tcBorders>
                    <w:tl2br w:val="nil"/>
                    <w:tr2bl w:val="nil"/>
                  </w:tcBorders>
                  <w:vAlign w:val="center"/>
                </w:tcPr>
                <w:p w14:paraId="520AC950">
                  <w:pPr>
                    <w:adjustRightInd w:val="0"/>
                    <w:snapToGrid w:val="0"/>
                    <w:jc w:val="center"/>
                    <w:rPr>
                      <w:szCs w:val="21"/>
                      <w:highlight w:val="yellow"/>
                    </w:rPr>
                  </w:pPr>
                </w:p>
              </w:tc>
              <w:tc>
                <w:tcPr>
                  <w:tcW w:w="225" w:type="pct"/>
                  <w:vMerge w:val="continue"/>
                  <w:tcBorders>
                    <w:tl2br w:val="nil"/>
                    <w:tr2bl w:val="nil"/>
                  </w:tcBorders>
                  <w:vAlign w:val="center"/>
                </w:tcPr>
                <w:p w14:paraId="520AC951">
                  <w:pPr>
                    <w:adjustRightInd w:val="0"/>
                    <w:snapToGrid w:val="0"/>
                    <w:jc w:val="center"/>
                    <w:rPr>
                      <w:szCs w:val="21"/>
                      <w:highlight w:val="yellow"/>
                    </w:rPr>
                  </w:pPr>
                </w:p>
              </w:tc>
              <w:tc>
                <w:tcPr>
                  <w:tcW w:w="282" w:type="pct"/>
                  <w:vMerge w:val="continue"/>
                  <w:tcBorders>
                    <w:tl2br w:val="nil"/>
                    <w:tr2bl w:val="nil"/>
                  </w:tcBorders>
                  <w:vAlign w:val="center"/>
                </w:tcPr>
                <w:p w14:paraId="520AC952">
                  <w:pPr>
                    <w:adjustRightInd w:val="0"/>
                    <w:snapToGrid w:val="0"/>
                    <w:jc w:val="center"/>
                    <w:rPr>
                      <w:szCs w:val="21"/>
                    </w:rPr>
                  </w:pPr>
                </w:p>
              </w:tc>
              <w:tc>
                <w:tcPr>
                  <w:tcW w:w="393" w:type="pct"/>
                  <w:tcBorders>
                    <w:tl2br w:val="nil"/>
                    <w:tr2bl w:val="nil"/>
                  </w:tcBorders>
                  <w:vAlign w:val="center"/>
                </w:tcPr>
                <w:p w14:paraId="520AC953">
                  <w:pPr>
                    <w:adjustRightInd w:val="0"/>
                    <w:snapToGrid w:val="0"/>
                    <w:jc w:val="center"/>
                    <w:rPr>
                      <w:szCs w:val="21"/>
                    </w:rPr>
                  </w:pPr>
                  <w:r>
                    <w:rPr>
                      <w:szCs w:val="21"/>
                    </w:rPr>
                    <w:t>南</w:t>
                  </w:r>
                  <w:r>
                    <w:rPr>
                      <w:rFonts w:hint="eastAsia"/>
                      <w:szCs w:val="21"/>
                    </w:rPr>
                    <w:t>6</w:t>
                  </w:r>
                </w:p>
              </w:tc>
              <w:tc>
                <w:tcPr>
                  <w:tcW w:w="450" w:type="pct"/>
                  <w:tcBorders>
                    <w:tl2br w:val="nil"/>
                    <w:tr2bl w:val="nil"/>
                  </w:tcBorders>
                  <w:vAlign w:val="center"/>
                </w:tcPr>
                <w:p w14:paraId="520AC954">
                  <w:pPr>
                    <w:adjustRightInd w:val="0"/>
                    <w:snapToGrid w:val="0"/>
                    <w:jc w:val="center"/>
                    <w:rPr>
                      <w:szCs w:val="21"/>
                    </w:rPr>
                  </w:pPr>
                  <w:r>
                    <w:rPr>
                      <w:rFonts w:hint="eastAsia"/>
                      <w:szCs w:val="21"/>
                    </w:rPr>
                    <w:t>69.4</w:t>
                  </w:r>
                </w:p>
              </w:tc>
              <w:tc>
                <w:tcPr>
                  <w:tcW w:w="281" w:type="pct"/>
                  <w:vMerge w:val="continue"/>
                  <w:tcBorders>
                    <w:tl2br w:val="nil"/>
                    <w:tr2bl w:val="nil"/>
                  </w:tcBorders>
                  <w:vAlign w:val="center"/>
                </w:tcPr>
                <w:p w14:paraId="520AC955">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956">
                  <w:pPr>
                    <w:pStyle w:val="41"/>
                    <w:adjustRightInd w:val="0"/>
                    <w:snapToGrid w:val="0"/>
                    <w:contextualSpacing w:val="0"/>
                    <w:rPr>
                      <w:lang w:val="en-US"/>
                    </w:rPr>
                  </w:pPr>
                </w:p>
              </w:tc>
              <w:tc>
                <w:tcPr>
                  <w:tcW w:w="394" w:type="pct"/>
                  <w:tcBorders>
                    <w:tl2br w:val="nil"/>
                    <w:tr2bl w:val="nil"/>
                  </w:tcBorders>
                  <w:vAlign w:val="center"/>
                </w:tcPr>
                <w:p w14:paraId="520AC957">
                  <w:pPr>
                    <w:pStyle w:val="41"/>
                    <w:adjustRightInd w:val="0"/>
                    <w:snapToGrid w:val="0"/>
                    <w:contextualSpacing w:val="0"/>
                  </w:pPr>
                  <w:r>
                    <w:rPr>
                      <w:rFonts w:hint="eastAsia"/>
                    </w:rPr>
                    <w:t>44.4</w:t>
                  </w:r>
                </w:p>
              </w:tc>
              <w:tc>
                <w:tcPr>
                  <w:tcW w:w="372" w:type="pct"/>
                  <w:tcBorders>
                    <w:tl2br w:val="nil"/>
                    <w:tr2bl w:val="nil"/>
                  </w:tcBorders>
                  <w:vAlign w:val="center"/>
                </w:tcPr>
                <w:p w14:paraId="520AC958">
                  <w:pPr>
                    <w:pStyle w:val="41"/>
                    <w:adjustRightInd w:val="0"/>
                    <w:snapToGrid w:val="0"/>
                    <w:contextualSpacing w:val="0"/>
                  </w:pPr>
                  <w:r>
                    <w:rPr>
                      <w:rFonts w:hint="eastAsia"/>
                    </w:rPr>
                    <w:t>1</w:t>
                  </w:r>
                </w:p>
              </w:tc>
            </w:tr>
            <w:tr w14:paraId="520AC96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95A">
                  <w:pPr>
                    <w:pStyle w:val="41"/>
                    <w:adjustRightInd w:val="0"/>
                    <w:snapToGrid w:val="0"/>
                    <w:contextualSpacing w:val="0"/>
                    <w:rPr>
                      <w:highlight w:val="yellow"/>
                    </w:rPr>
                  </w:pPr>
                </w:p>
              </w:tc>
              <w:tc>
                <w:tcPr>
                  <w:tcW w:w="314" w:type="pct"/>
                  <w:vMerge w:val="continue"/>
                  <w:tcBorders>
                    <w:tl2br w:val="nil"/>
                    <w:tr2bl w:val="nil"/>
                  </w:tcBorders>
                  <w:vAlign w:val="center"/>
                </w:tcPr>
                <w:p w14:paraId="520AC95B">
                  <w:pPr>
                    <w:pStyle w:val="41"/>
                    <w:adjustRightInd w:val="0"/>
                    <w:snapToGrid w:val="0"/>
                    <w:contextualSpacing w:val="0"/>
                    <w:rPr>
                      <w:highlight w:val="yellow"/>
                    </w:rPr>
                  </w:pPr>
                </w:p>
              </w:tc>
              <w:tc>
                <w:tcPr>
                  <w:tcW w:w="337" w:type="pct"/>
                  <w:vMerge w:val="continue"/>
                  <w:tcBorders>
                    <w:tl2br w:val="nil"/>
                    <w:tr2bl w:val="nil"/>
                  </w:tcBorders>
                  <w:vAlign w:val="center"/>
                </w:tcPr>
                <w:p w14:paraId="520AC95C">
                  <w:pPr>
                    <w:pStyle w:val="41"/>
                    <w:adjustRightInd w:val="0"/>
                    <w:snapToGrid w:val="0"/>
                    <w:contextualSpacing w:val="0"/>
                    <w:rPr>
                      <w:highlight w:val="yellow"/>
                    </w:rPr>
                  </w:pPr>
                </w:p>
              </w:tc>
              <w:tc>
                <w:tcPr>
                  <w:tcW w:w="450" w:type="pct"/>
                  <w:vMerge w:val="continue"/>
                  <w:tcBorders>
                    <w:tl2br w:val="nil"/>
                    <w:tr2bl w:val="nil"/>
                  </w:tcBorders>
                  <w:vAlign w:val="center"/>
                </w:tcPr>
                <w:p w14:paraId="520AC95D">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95E">
                  <w:pPr>
                    <w:pStyle w:val="41"/>
                    <w:adjustRightInd w:val="0"/>
                    <w:snapToGrid w:val="0"/>
                    <w:contextualSpacing w:val="0"/>
                    <w:rPr>
                      <w:kern w:val="2"/>
                      <w:highlight w:val="yellow"/>
                      <w:lang w:val="en-US"/>
                    </w:rPr>
                  </w:pPr>
                </w:p>
              </w:tc>
              <w:tc>
                <w:tcPr>
                  <w:tcW w:w="394" w:type="pct"/>
                  <w:vMerge w:val="continue"/>
                  <w:tcBorders>
                    <w:tl2br w:val="nil"/>
                    <w:tr2bl w:val="nil"/>
                  </w:tcBorders>
                  <w:vAlign w:val="center"/>
                </w:tcPr>
                <w:p w14:paraId="520AC95F">
                  <w:pPr>
                    <w:adjustRightInd w:val="0"/>
                    <w:snapToGrid w:val="0"/>
                    <w:jc w:val="center"/>
                    <w:rPr>
                      <w:kern w:val="0"/>
                      <w:szCs w:val="21"/>
                      <w:highlight w:val="yellow"/>
                    </w:rPr>
                  </w:pPr>
                </w:p>
              </w:tc>
              <w:tc>
                <w:tcPr>
                  <w:tcW w:w="225" w:type="pct"/>
                  <w:vMerge w:val="continue"/>
                  <w:tcBorders>
                    <w:tl2br w:val="nil"/>
                    <w:tr2bl w:val="nil"/>
                  </w:tcBorders>
                  <w:vAlign w:val="center"/>
                </w:tcPr>
                <w:p w14:paraId="520AC960">
                  <w:pPr>
                    <w:adjustRightInd w:val="0"/>
                    <w:snapToGrid w:val="0"/>
                    <w:jc w:val="center"/>
                    <w:rPr>
                      <w:szCs w:val="21"/>
                      <w:highlight w:val="yellow"/>
                    </w:rPr>
                  </w:pPr>
                </w:p>
              </w:tc>
              <w:tc>
                <w:tcPr>
                  <w:tcW w:w="225" w:type="pct"/>
                  <w:vMerge w:val="continue"/>
                  <w:tcBorders>
                    <w:tl2br w:val="nil"/>
                    <w:tr2bl w:val="nil"/>
                  </w:tcBorders>
                  <w:vAlign w:val="center"/>
                </w:tcPr>
                <w:p w14:paraId="520AC961">
                  <w:pPr>
                    <w:adjustRightInd w:val="0"/>
                    <w:snapToGrid w:val="0"/>
                    <w:jc w:val="center"/>
                    <w:rPr>
                      <w:szCs w:val="21"/>
                      <w:highlight w:val="yellow"/>
                    </w:rPr>
                  </w:pPr>
                </w:p>
              </w:tc>
              <w:tc>
                <w:tcPr>
                  <w:tcW w:w="282" w:type="pct"/>
                  <w:vMerge w:val="continue"/>
                  <w:tcBorders>
                    <w:tl2br w:val="nil"/>
                    <w:tr2bl w:val="nil"/>
                  </w:tcBorders>
                  <w:vAlign w:val="center"/>
                </w:tcPr>
                <w:p w14:paraId="520AC962">
                  <w:pPr>
                    <w:adjustRightInd w:val="0"/>
                    <w:snapToGrid w:val="0"/>
                    <w:jc w:val="center"/>
                    <w:rPr>
                      <w:szCs w:val="21"/>
                    </w:rPr>
                  </w:pPr>
                </w:p>
              </w:tc>
              <w:tc>
                <w:tcPr>
                  <w:tcW w:w="393" w:type="pct"/>
                  <w:tcBorders>
                    <w:tl2br w:val="nil"/>
                    <w:tr2bl w:val="nil"/>
                  </w:tcBorders>
                  <w:vAlign w:val="center"/>
                </w:tcPr>
                <w:p w14:paraId="520AC963">
                  <w:pPr>
                    <w:adjustRightInd w:val="0"/>
                    <w:snapToGrid w:val="0"/>
                    <w:jc w:val="center"/>
                    <w:rPr>
                      <w:szCs w:val="21"/>
                    </w:rPr>
                  </w:pPr>
                  <w:r>
                    <w:rPr>
                      <w:szCs w:val="21"/>
                    </w:rPr>
                    <w:t>北</w:t>
                  </w:r>
                  <w:r>
                    <w:rPr>
                      <w:rFonts w:hint="eastAsia"/>
                      <w:szCs w:val="21"/>
                    </w:rPr>
                    <w:t>10</w:t>
                  </w:r>
                </w:p>
              </w:tc>
              <w:tc>
                <w:tcPr>
                  <w:tcW w:w="450" w:type="pct"/>
                  <w:tcBorders>
                    <w:tl2br w:val="nil"/>
                    <w:tr2bl w:val="nil"/>
                  </w:tcBorders>
                  <w:vAlign w:val="center"/>
                </w:tcPr>
                <w:p w14:paraId="520AC964">
                  <w:pPr>
                    <w:adjustRightInd w:val="0"/>
                    <w:snapToGrid w:val="0"/>
                    <w:jc w:val="center"/>
                    <w:rPr>
                      <w:szCs w:val="21"/>
                    </w:rPr>
                  </w:pPr>
                  <w:r>
                    <w:rPr>
                      <w:rFonts w:hint="eastAsia"/>
                      <w:szCs w:val="21"/>
                    </w:rPr>
                    <w:t>65</w:t>
                  </w:r>
                </w:p>
              </w:tc>
              <w:tc>
                <w:tcPr>
                  <w:tcW w:w="281" w:type="pct"/>
                  <w:vMerge w:val="continue"/>
                  <w:tcBorders>
                    <w:tl2br w:val="nil"/>
                    <w:tr2bl w:val="nil"/>
                  </w:tcBorders>
                  <w:vAlign w:val="center"/>
                </w:tcPr>
                <w:p w14:paraId="520AC965">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966">
                  <w:pPr>
                    <w:pStyle w:val="41"/>
                    <w:adjustRightInd w:val="0"/>
                    <w:snapToGrid w:val="0"/>
                    <w:contextualSpacing w:val="0"/>
                    <w:rPr>
                      <w:lang w:val="en-US"/>
                    </w:rPr>
                  </w:pPr>
                </w:p>
              </w:tc>
              <w:tc>
                <w:tcPr>
                  <w:tcW w:w="394" w:type="pct"/>
                  <w:tcBorders>
                    <w:tl2br w:val="nil"/>
                    <w:tr2bl w:val="nil"/>
                  </w:tcBorders>
                  <w:vAlign w:val="center"/>
                </w:tcPr>
                <w:p w14:paraId="520AC967">
                  <w:pPr>
                    <w:pStyle w:val="41"/>
                    <w:adjustRightInd w:val="0"/>
                    <w:snapToGrid w:val="0"/>
                    <w:contextualSpacing w:val="0"/>
                  </w:pPr>
                  <w:r>
                    <w:rPr>
                      <w:rFonts w:hint="eastAsia"/>
                    </w:rPr>
                    <w:t>40</w:t>
                  </w:r>
                </w:p>
              </w:tc>
              <w:tc>
                <w:tcPr>
                  <w:tcW w:w="372" w:type="pct"/>
                  <w:tcBorders>
                    <w:tl2br w:val="nil"/>
                    <w:tr2bl w:val="nil"/>
                  </w:tcBorders>
                  <w:vAlign w:val="center"/>
                </w:tcPr>
                <w:p w14:paraId="520AC968">
                  <w:pPr>
                    <w:pStyle w:val="41"/>
                    <w:adjustRightInd w:val="0"/>
                    <w:snapToGrid w:val="0"/>
                    <w:contextualSpacing w:val="0"/>
                  </w:pPr>
                  <w:r>
                    <w:rPr>
                      <w:rFonts w:hint="eastAsia"/>
                    </w:rPr>
                    <w:t>1</w:t>
                  </w:r>
                </w:p>
              </w:tc>
            </w:tr>
            <w:tr w14:paraId="520AC97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restart"/>
                  <w:tcBorders>
                    <w:tl2br w:val="nil"/>
                    <w:tr2bl w:val="nil"/>
                  </w:tcBorders>
                  <w:vAlign w:val="center"/>
                </w:tcPr>
                <w:p w14:paraId="520AC96A">
                  <w:pPr>
                    <w:pStyle w:val="41"/>
                    <w:adjustRightInd w:val="0"/>
                    <w:snapToGrid w:val="0"/>
                    <w:contextualSpacing w:val="0"/>
                    <w:rPr>
                      <w:highlight w:val="yellow"/>
                    </w:rPr>
                  </w:pPr>
                  <w:r>
                    <w:rPr>
                      <w:rFonts w:hint="eastAsia"/>
                    </w:rPr>
                    <w:t>5</w:t>
                  </w:r>
                </w:p>
              </w:tc>
              <w:tc>
                <w:tcPr>
                  <w:tcW w:w="314" w:type="pct"/>
                  <w:vMerge w:val="restart"/>
                  <w:tcBorders>
                    <w:tl2br w:val="nil"/>
                    <w:tr2bl w:val="nil"/>
                  </w:tcBorders>
                  <w:vAlign w:val="center"/>
                </w:tcPr>
                <w:p w14:paraId="520AC96B">
                  <w:pPr>
                    <w:pStyle w:val="41"/>
                    <w:adjustRightInd w:val="0"/>
                    <w:snapToGrid w:val="0"/>
                    <w:contextualSpacing w:val="0"/>
                    <w:rPr>
                      <w:highlight w:val="yellow"/>
                    </w:rPr>
                  </w:pPr>
                  <w:r>
                    <w:t>1206厂房</w:t>
                  </w:r>
                </w:p>
              </w:tc>
              <w:tc>
                <w:tcPr>
                  <w:tcW w:w="337" w:type="pct"/>
                  <w:vMerge w:val="restart"/>
                  <w:tcBorders>
                    <w:tl2br w:val="nil"/>
                    <w:tr2bl w:val="nil"/>
                  </w:tcBorders>
                  <w:vAlign w:val="center"/>
                </w:tcPr>
                <w:p w14:paraId="520AC96C">
                  <w:pPr>
                    <w:pStyle w:val="41"/>
                    <w:adjustRightInd w:val="0"/>
                    <w:snapToGrid w:val="0"/>
                    <w:contextualSpacing w:val="0"/>
                    <w:rPr>
                      <w:highlight w:val="yellow"/>
                    </w:rPr>
                  </w:pPr>
                  <w:r>
                    <w:t>液体冷却子系统试验台</w:t>
                  </w:r>
                </w:p>
              </w:tc>
              <w:tc>
                <w:tcPr>
                  <w:tcW w:w="450" w:type="pct"/>
                  <w:vMerge w:val="restart"/>
                  <w:tcBorders>
                    <w:tl2br w:val="nil"/>
                    <w:tr2bl w:val="nil"/>
                  </w:tcBorders>
                  <w:vAlign w:val="center"/>
                </w:tcPr>
                <w:p w14:paraId="520AC96D">
                  <w:pPr>
                    <w:pStyle w:val="41"/>
                    <w:adjustRightInd w:val="0"/>
                    <w:snapToGrid w:val="0"/>
                    <w:contextualSpacing w:val="0"/>
                    <w:rPr>
                      <w:kern w:val="2"/>
                      <w:highlight w:val="yellow"/>
                    </w:rPr>
                  </w:pPr>
                  <w:r>
                    <w:rPr>
                      <w:rFonts w:hint="eastAsia"/>
                    </w:rPr>
                    <w:t>85/1</w:t>
                  </w:r>
                </w:p>
              </w:tc>
              <w:tc>
                <w:tcPr>
                  <w:tcW w:w="281" w:type="pct"/>
                  <w:vMerge w:val="restart"/>
                  <w:tcBorders>
                    <w:tl2br w:val="nil"/>
                    <w:tr2bl w:val="nil"/>
                  </w:tcBorders>
                  <w:vAlign w:val="center"/>
                </w:tcPr>
                <w:p w14:paraId="520AC96E">
                  <w:pPr>
                    <w:pStyle w:val="41"/>
                    <w:adjustRightInd w:val="0"/>
                    <w:snapToGrid w:val="0"/>
                    <w:contextualSpacing w:val="0"/>
                    <w:rPr>
                      <w:kern w:val="2"/>
                      <w:lang w:val="en-US"/>
                    </w:rPr>
                  </w:pPr>
                  <w:r>
                    <w:rPr>
                      <w:rFonts w:hint="eastAsia"/>
                      <w:kern w:val="2"/>
                      <w:lang w:val="en-US"/>
                    </w:rPr>
                    <w:t>1</w:t>
                  </w:r>
                </w:p>
              </w:tc>
              <w:tc>
                <w:tcPr>
                  <w:tcW w:w="394" w:type="pct"/>
                  <w:vMerge w:val="restart"/>
                  <w:tcBorders>
                    <w:tl2br w:val="nil"/>
                    <w:tr2bl w:val="nil"/>
                  </w:tcBorders>
                  <w:vAlign w:val="center"/>
                </w:tcPr>
                <w:p w14:paraId="520AC96F">
                  <w:pPr>
                    <w:adjustRightInd w:val="0"/>
                    <w:snapToGrid w:val="0"/>
                    <w:jc w:val="center"/>
                    <w:rPr>
                      <w:kern w:val="0"/>
                      <w:szCs w:val="21"/>
                      <w:highlight w:val="yellow"/>
                    </w:rPr>
                  </w:pPr>
                  <w:r>
                    <w:t>基础减振、厂房隔声</w:t>
                  </w:r>
                </w:p>
              </w:tc>
              <w:tc>
                <w:tcPr>
                  <w:tcW w:w="225" w:type="pct"/>
                  <w:vMerge w:val="restart"/>
                  <w:tcBorders>
                    <w:tl2br w:val="nil"/>
                    <w:tr2bl w:val="nil"/>
                  </w:tcBorders>
                  <w:vAlign w:val="center"/>
                </w:tcPr>
                <w:p w14:paraId="520AC970">
                  <w:pPr>
                    <w:adjustRightInd w:val="0"/>
                    <w:snapToGrid w:val="0"/>
                    <w:jc w:val="center"/>
                    <w:rPr>
                      <w:szCs w:val="21"/>
                    </w:rPr>
                  </w:pPr>
                  <w:r>
                    <w:rPr>
                      <w:rFonts w:hint="eastAsia"/>
                      <w:szCs w:val="21"/>
                    </w:rPr>
                    <w:t>313</w:t>
                  </w:r>
                </w:p>
              </w:tc>
              <w:tc>
                <w:tcPr>
                  <w:tcW w:w="225" w:type="pct"/>
                  <w:vMerge w:val="restart"/>
                  <w:tcBorders>
                    <w:tl2br w:val="nil"/>
                    <w:tr2bl w:val="nil"/>
                  </w:tcBorders>
                  <w:vAlign w:val="center"/>
                </w:tcPr>
                <w:p w14:paraId="520AC971">
                  <w:pPr>
                    <w:adjustRightInd w:val="0"/>
                    <w:snapToGrid w:val="0"/>
                    <w:jc w:val="center"/>
                    <w:rPr>
                      <w:szCs w:val="21"/>
                    </w:rPr>
                  </w:pPr>
                  <w:r>
                    <w:rPr>
                      <w:rFonts w:hint="eastAsia"/>
                      <w:szCs w:val="21"/>
                    </w:rPr>
                    <w:t>317</w:t>
                  </w:r>
                </w:p>
              </w:tc>
              <w:tc>
                <w:tcPr>
                  <w:tcW w:w="282" w:type="pct"/>
                  <w:vMerge w:val="restart"/>
                  <w:tcBorders>
                    <w:tl2br w:val="nil"/>
                    <w:tr2bl w:val="nil"/>
                  </w:tcBorders>
                  <w:vAlign w:val="center"/>
                </w:tcPr>
                <w:p w14:paraId="520AC972">
                  <w:pPr>
                    <w:adjustRightInd w:val="0"/>
                    <w:snapToGrid w:val="0"/>
                    <w:jc w:val="center"/>
                    <w:rPr>
                      <w:szCs w:val="21"/>
                    </w:rPr>
                  </w:pPr>
                  <w:r>
                    <w:rPr>
                      <w:rFonts w:hint="eastAsia"/>
                      <w:szCs w:val="21"/>
                    </w:rPr>
                    <w:t>0.2</w:t>
                  </w:r>
                </w:p>
              </w:tc>
              <w:tc>
                <w:tcPr>
                  <w:tcW w:w="393" w:type="pct"/>
                  <w:tcBorders>
                    <w:tl2br w:val="nil"/>
                    <w:tr2bl w:val="nil"/>
                  </w:tcBorders>
                  <w:vAlign w:val="center"/>
                </w:tcPr>
                <w:p w14:paraId="520AC973">
                  <w:pPr>
                    <w:adjustRightInd w:val="0"/>
                    <w:snapToGrid w:val="0"/>
                    <w:jc w:val="center"/>
                    <w:rPr>
                      <w:szCs w:val="21"/>
                    </w:rPr>
                  </w:pPr>
                  <w:r>
                    <w:rPr>
                      <w:szCs w:val="21"/>
                    </w:rPr>
                    <w:t>东</w:t>
                  </w:r>
                  <w:r>
                    <w:rPr>
                      <w:rFonts w:hint="eastAsia"/>
                      <w:szCs w:val="21"/>
                    </w:rPr>
                    <w:t>83</w:t>
                  </w:r>
                </w:p>
              </w:tc>
              <w:tc>
                <w:tcPr>
                  <w:tcW w:w="450" w:type="pct"/>
                  <w:tcBorders>
                    <w:tl2br w:val="nil"/>
                    <w:tr2bl w:val="nil"/>
                  </w:tcBorders>
                  <w:vAlign w:val="center"/>
                </w:tcPr>
                <w:p w14:paraId="520AC974">
                  <w:pPr>
                    <w:adjustRightInd w:val="0"/>
                    <w:snapToGrid w:val="0"/>
                    <w:jc w:val="center"/>
                    <w:rPr>
                      <w:szCs w:val="21"/>
                    </w:rPr>
                  </w:pPr>
                  <w:r>
                    <w:rPr>
                      <w:rFonts w:hint="eastAsia"/>
                      <w:szCs w:val="21"/>
                    </w:rPr>
                    <w:t>46.6</w:t>
                  </w:r>
                </w:p>
              </w:tc>
              <w:tc>
                <w:tcPr>
                  <w:tcW w:w="281" w:type="pct"/>
                  <w:vMerge w:val="restart"/>
                  <w:tcBorders>
                    <w:tl2br w:val="nil"/>
                    <w:tr2bl w:val="nil"/>
                  </w:tcBorders>
                  <w:vAlign w:val="center"/>
                </w:tcPr>
                <w:p w14:paraId="520AC975">
                  <w:pPr>
                    <w:pStyle w:val="41"/>
                    <w:adjustRightInd w:val="0"/>
                    <w:snapToGrid w:val="0"/>
                    <w:contextualSpacing w:val="0"/>
                    <w:rPr>
                      <w:kern w:val="2"/>
                      <w:highlight w:val="yellow"/>
                      <w:lang w:val="en-US"/>
                    </w:rPr>
                  </w:pPr>
                  <w:r>
                    <w:rPr>
                      <w:rFonts w:hint="eastAsia"/>
                    </w:rPr>
                    <w:t>昼夜</w:t>
                  </w:r>
                </w:p>
              </w:tc>
              <w:tc>
                <w:tcPr>
                  <w:tcW w:w="450" w:type="pct"/>
                  <w:vMerge w:val="restart"/>
                  <w:tcBorders>
                    <w:tl2br w:val="nil"/>
                    <w:tr2bl w:val="nil"/>
                  </w:tcBorders>
                  <w:vAlign w:val="center"/>
                </w:tcPr>
                <w:p w14:paraId="520AC976">
                  <w:pPr>
                    <w:pStyle w:val="41"/>
                    <w:adjustRightInd w:val="0"/>
                    <w:snapToGrid w:val="0"/>
                    <w:contextualSpacing w:val="0"/>
                    <w:rPr>
                      <w:lang w:val="en-US"/>
                    </w:rPr>
                  </w:pPr>
                  <w:r>
                    <w:rPr>
                      <w:rFonts w:hint="eastAsia"/>
                      <w:lang w:val="en-US"/>
                    </w:rPr>
                    <w:t>25</w:t>
                  </w:r>
                </w:p>
              </w:tc>
              <w:tc>
                <w:tcPr>
                  <w:tcW w:w="394" w:type="pct"/>
                  <w:tcBorders>
                    <w:tl2br w:val="nil"/>
                    <w:tr2bl w:val="nil"/>
                  </w:tcBorders>
                  <w:vAlign w:val="center"/>
                </w:tcPr>
                <w:p w14:paraId="520AC977">
                  <w:pPr>
                    <w:pStyle w:val="41"/>
                    <w:adjustRightInd w:val="0"/>
                    <w:snapToGrid w:val="0"/>
                    <w:contextualSpacing w:val="0"/>
                  </w:pPr>
                  <w:r>
                    <w:rPr>
                      <w:rFonts w:hint="eastAsia"/>
                    </w:rPr>
                    <w:t>21.6</w:t>
                  </w:r>
                </w:p>
              </w:tc>
              <w:tc>
                <w:tcPr>
                  <w:tcW w:w="372" w:type="pct"/>
                  <w:tcBorders>
                    <w:tl2br w:val="nil"/>
                    <w:tr2bl w:val="nil"/>
                  </w:tcBorders>
                  <w:vAlign w:val="center"/>
                </w:tcPr>
                <w:p w14:paraId="520AC978">
                  <w:pPr>
                    <w:pStyle w:val="41"/>
                    <w:adjustRightInd w:val="0"/>
                    <w:snapToGrid w:val="0"/>
                    <w:contextualSpacing w:val="0"/>
                  </w:pPr>
                  <w:r>
                    <w:rPr>
                      <w:rFonts w:hint="eastAsia"/>
                    </w:rPr>
                    <w:t>1</w:t>
                  </w:r>
                </w:p>
              </w:tc>
            </w:tr>
            <w:tr w14:paraId="520AC98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97A">
                  <w:pPr>
                    <w:pStyle w:val="41"/>
                    <w:adjustRightInd w:val="0"/>
                    <w:snapToGrid w:val="0"/>
                    <w:contextualSpacing w:val="0"/>
                    <w:rPr>
                      <w:highlight w:val="yellow"/>
                    </w:rPr>
                  </w:pPr>
                </w:p>
              </w:tc>
              <w:tc>
                <w:tcPr>
                  <w:tcW w:w="314" w:type="pct"/>
                  <w:vMerge w:val="continue"/>
                  <w:tcBorders>
                    <w:tl2br w:val="nil"/>
                    <w:tr2bl w:val="nil"/>
                  </w:tcBorders>
                  <w:vAlign w:val="center"/>
                </w:tcPr>
                <w:p w14:paraId="520AC97B">
                  <w:pPr>
                    <w:pStyle w:val="41"/>
                    <w:adjustRightInd w:val="0"/>
                    <w:snapToGrid w:val="0"/>
                    <w:contextualSpacing w:val="0"/>
                    <w:rPr>
                      <w:highlight w:val="yellow"/>
                    </w:rPr>
                  </w:pPr>
                </w:p>
              </w:tc>
              <w:tc>
                <w:tcPr>
                  <w:tcW w:w="337" w:type="pct"/>
                  <w:vMerge w:val="continue"/>
                  <w:tcBorders>
                    <w:tl2br w:val="nil"/>
                    <w:tr2bl w:val="nil"/>
                  </w:tcBorders>
                  <w:vAlign w:val="center"/>
                </w:tcPr>
                <w:p w14:paraId="520AC97C">
                  <w:pPr>
                    <w:pStyle w:val="41"/>
                    <w:adjustRightInd w:val="0"/>
                    <w:snapToGrid w:val="0"/>
                    <w:contextualSpacing w:val="0"/>
                    <w:rPr>
                      <w:highlight w:val="yellow"/>
                    </w:rPr>
                  </w:pPr>
                </w:p>
              </w:tc>
              <w:tc>
                <w:tcPr>
                  <w:tcW w:w="450" w:type="pct"/>
                  <w:vMerge w:val="continue"/>
                  <w:tcBorders>
                    <w:tl2br w:val="nil"/>
                    <w:tr2bl w:val="nil"/>
                  </w:tcBorders>
                  <w:vAlign w:val="center"/>
                </w:tcPr>
                <w:p w14:paraId="520AC97D">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97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97F">
                  <w:pPr>
                    <w:adjustRightInd w:val="0"/>
                    <w:snapToGrid w:val="0"/>
                    <w:jc w:val="center"/>
                    <w:rPr>
                      <w:kern w:val="0"/>
                      <w:szCs w:val="21"/>
                      <w:highlight w:val="yellow"/>
                    </w:rPr>
                  </w:pPr>
                </w:p>
              </w:tc>
              <w:tc>
                <w:tcPr>
                  <w:tcW w:w="225" w:type="pct"/>
                  <w:vMerge w:val="continue"/>
                  <w:tcBorders>
                    <w:tl2br w:val="nil"/>
                    <w:tr2bl w:val="nil"/>
                  </w:tcBorders>
                  <w:vAlign w:val="center"/>
                </w:tcPr>
                <w:p w14:paraId="520AC980">
                  <w:pPr>
                    <w:adjustRightInd w:val="0"/>
                    <w:snapToGrid w:val="0"/>
                    <w:jc w:val="center"/>
                    <w:rPr>
                      <w:szCs w:val="21"/>
                      <w:highlight w:val="yellow"/>
                    </w:rPr>
                  </w:pPr>
                </w:p>
              </w:tc>
              <w:tc>
                <w:tcPr>
                  <w:tcW w:w="225" w:type="pct"/>
                  <w:vMerge w:val="continue"/>
                  <w:tcBorders>
                    <w:tl2br w:val="nil"/>
                    <w:tr2bl w:val="nil"/>
                  </w:tcBorders>
                  <w:vAlign w:val="center"/>
                </w:tcPr>
                <w:p w14:paraId="520AC981">
                  <w:pPr>
                    <w:adjustRightInd w:val="0"/>
                    <w:snapToGrid w:val="0"/>
                    <w:jc w:val="center"/>
                    <w:rPr>
                      <w:szCs w:val="21"/>
                      <w:highlight w:val="yellow"/>
                    </w:rPr>
                  </w:pPr>
                </w:p>
              </w:tc>
              <w:tc>
                <w:tcPr>
                  <w:tcW w:w="282" w:type="pct"/>
                  <w:vMerge w:val="continue"/>
                  <w:tcBorders>
                    <w:tl2br w:val="nil"/>
                    <w:tr2bl w:val="nil"/>
                  </w:tcBorders>
                  <w:vAlign w:val="center"/>
                </w:tcPr>
                <w:p w14:paraId="520AC982">
                  <w:pPr>
                    <w:adjustRightInd w:val="0"/>
                    <w:snapToGrid w:val="0"/>
                    <w:jc w:val="center"/>
                    <w:rPr>
                      <w:szCs w:val="21"/>
                    </w:rPr>
                  </w:pPr>
                </w:p>
              </w:tc>
              <w:tc>
                <w:tcPr>
                  <w:tcW w:w="393" w:type="pct"/>
                  <w:tcBorders>
                    <w:tl2br w:val="nil"/>
                    <w:tr2bl w:val="nil"/>
                  </w:tcBorders>
                  <w:vAlign w:val="center"/>
                </w:tcPr>
                <w:p w14:paraId="520AC983">
                  <w:pPr>
                    <w:adjustRightInd w:val="0"/>
                    <w:snapToGrid w:val="0"/>
                    <w:jc w:val="center"/>
                    <w:rPr>
                      <w:szCs w:val="21"/>
                    </w:rPr>
                  </w:pPr>
                  <w:r>
                    <w:rPr>
                      <w:szCs w:val="21"/>
                    </w:rPr>
                    <w:t>西</w:t>
                  </w:r>
                  <w:r>
                    <w:rPr>
                      <w:rFonts w:hint="eastAsia"/>
                      <w:szCs w:val="21"/>
                    </w:rPr>
                    <w:t>12</w:t>
                  </w:r>
                </w:p>
              </w:tc>
              <w:tc>
                <w:tcPr>
                  <w:tcW w:w="450" w:type="pct"/>
                  <w:tcBorders>
                    <w:tl2br w:val="nil"/>
                    <w:tr2bl w:val="nil"/>
                  </w:tcBorders>
                  <w:vAlign w:val="center"/>
                </w:tcPr>
                <w:p w14:paraId="520AC984">
                  <w:pPr>
                    <w:adjustRightInd w:val="0"/>
                    <w:snapToGrid w:val="0"/>
                    <w:jc w:val="center"/>
                    <w:rPr>
                      <w:szCs w:val="21"/>
                    </w:rPr>
                  </w:pPr>
                  <w:r>
                    <w:rPr>
                      <w:rFonts w:hint="eastAsia"/>
                      <w:szCs w:val="21"/>
                    </w:rPr>
                    <w:t>63.4</w:t>
                  </w:r>
                </w:p>
              </w:tc>
              <w:tc>
                <w:tcPr>
                  <w:tcW w:w="281" w:type="pct"/>
                  <w:vMerge w:val="continue"/>
                  <w:tcBorders>
                    <w:tl2br w:val="nil"/>
                    <w:tr2bl w:val="nil"/>
                  </w:tcBorders>
                  <w:vAlign w:val="center"/>
                </w:tcPr>
                <w:p w14:paraId="520AC985">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986">
                  <w:pPr>
                    <w:pStyle w:val="41"/>
                    <w:adjustRightInd w:val="0"/>
                    <w:snapToGrid w:val="0"/>
                    <w:contextualSpacing w:val="0"/>
                    <w:rPr>
                      <w:highlight w:val="yellow"/>
                      <w:lang w:val="en-US"/>
                    </w:rPr>
                  </w:pPr>
                </w:p>
              </w:tc>
              <w:tc>
                <w:tcPr>
                  <w:tcW w:w="394" w:type="pct"/>
                  <w:tcBorders>
                    <w:tl2br w:val="nil"/>
                    <w:tr2bl w:val="nil"/>
                  </w:tcBorders>
                  <w:vAlign w:val="center"/>
                </w:tcPr>
                <w:p w14:paraId="520AC987">
                  <w:pPr>
                    <w:pStyle w:val="41"/>
                    <w:adjustRightInd w:val="0"/>
                    <w:snapToGrid w:val="0"/>
                    <w:contextualSpacing w:val="0"/>
                  </w:pPr>
                  <w:r>
                    <w:rPr>
                      <w:rFonts w:hint="eastAsia"/>
                    </w:rPr>
                    <w:t>38.4</w:t>
                  </w:r>
                </w:p>
              </w:tc>
              <w:tc>
                <w:tcPr>
                  <w:tcW w:w="372" w:type="pct"/>
                  <w:tcBorders>
                    <w:tl2br w:val="nil"/>
                    <w:tr2bl w:val="nil"/>
                  </w:tcBorders>
                  <w:vAlign w:val="center"/>
                </w:tcPr>
                <w:p w14:paraId="520AC988">
                  <w:pPr>
                    <w:pStyle w:val="41"/>
                    <w:adjustRightInd w:val="0"/>
                    <w:snapToGrid w:val="0"/>
                    <w:contextualSpacing w:val="0"/>
                  </w:pPr>
                  <w:r>
                    <w:rPr>
                      <w:rFonts w:hint="eastAsia"/>
                    </w:rPr>
                    <w:t>1</w:t>
                  </w:r>
                </w:p>
              </w:tc>
            </w:tr>
            <w:tr w14:paraId="520AC99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98A">
                  <w:pPr>
                    <w:pStyle w:val="41"/>
                    <w:adjustRightInd w:val="0"/>
                    <w:snapToGrid w:val="0"/>
                    <w:contextualSpacing w:val="0"/>
                    <w:rPr>
                      <w:highlight w:val="yellow"/>
                    </w:rPr>
                  </w:pPr>
                </w:p>
              </w:tc>
              <w:tc>
                <w:tcPr>
                  <w:tcW w:w="314" w:type="pct"/>
                  <w:vMerge w:val="continue"/>
                  <w:tcBorders>
                    <w:tl2br w:val="nil"/>
                    <w:tr2bl w:val="nil"/>
                  </w:tcBorders>
                  <w:vAlign w:val="center"/>
                </w:tcPr>
                <w:p w14:paraId="520AC98B">
                  <w:pPr>
                    <w:pStyle w:val="41"/>
                    <w:adjustRightInd w:val="0"/>
                    <w:snapToGrid w:val="0"/>
                    <w:contextualSpacing w:val="0"/>
                    <w:rPr>
                      <w:highlight w:val="yellow"/>
                    </w:rPr>
                  </w:pPr>
                </w:p>
              </w:tc>
              <w:tc>
                <w:tcPr>
                  <w:tcW w:w="337" w:type="pct"/>
                  <w:vMerge w:val="continue"/>
                  <w:tcBorders>
                    <w:tl2br w:val="nil"/>
                    <w:tr2bl w:val="nil"/>
                  </w:tcBorders>
                  <w:vAlign w:val="center"/>
                </w:tcPr>
                <w:p w14:paraId="520AC98C">
                  <w:pPr>
                    <w:pStyle w:val="41"/>
                    <w:adjustRightInd w:val="0"/>
                    <w:snapToGrid w:val="0"/>
                    <w:contextualSpacing w:val="0"/>
                    <w:rPr>
                      <w:highlight w:val="yellow"/>
                    </w:rPr>
                  </w:pPr>
                </w:p>
              </w:tc>
              <w:tc>
                <w:tcPr>
                  <w:tcW w:w="450" w:type="pct"/>
                  <w:vMerge w:val="continue"/>
                  <w:tcBorders>
                    <w:tl2br w:val="nil"/>
                    <w:tr2bl w:val="nil"/>
                  </w:tcBorders>
                  <w:vAlign w:val="center"/>
                </w:tcPr>
                <w:p w14:paraId="520AC98D">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98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98F">
                  <w:pPr>
                    <w:adjustRightInd w:val="0"/>
                    <w:snapToGrid w:val="0"/>
                    <w:jc w:val="center"/>
                    <w:rPr>
                      <w:kern w:val="0"/>
                      <w:szCs w:val="21"/>
                      <w:highlight w:val="yellow"/>
                    </w:rPr>
                  </w:pPr>
                </w:p>
              </w:tc>
              <w:tc>
                <w:tcPr>
                  <w:tcW w:w="225" w:type="pct"/>
                  <w:vMerge w:val="continue"/>
                  <w:tcBorders>
                    <w:tl2br w:val="nil"/>
                    <w:tr2bl w:val="nil"/>
                  </w:tcBorders>
                  <w:vAlign w:val="center"/>
                </w:tcPr>
                <w:p w14:paraId="520AC990">
                  <w:pPr>
                    <w:adjustRightInd w:val="0"/>
                    <w:snapToGrid w:val="0"/>
                    <w:jc w:val="center"/>
                    <w:rPr>
                      <w:szCs w:val="21"/>
                      <w:highlight w:val="yellow"/>
                    </w:rPr>
                  </w:pPr>
                </w:p>
              </w:tc>
              <w:tc>
                <w:tcPr>
                  <w:tcW w:w="225" w:type="pct"/>
                  <w:vMerge w:val="continue"/>
                  <w:tcBorders>
                    <w:tl2br w:val="nil"/>
                    <w:tr2bl w:val="nil"/>
                  </w:tcBorders>
                  <w:vAlign w:val="center"/>
                </w:tcPr>
                <w:p w14:paraId="520AC991">
                  <w:pPr>
                    <w:adjustRightInd w:val="0"/>
                    <w:snapToGrid w:val="0"/>
                    <w:jc w:val="center"/>
                    <w:rPr>
                      <w:szCs w:val="21"/>
                      <w:highlight w:val="yellow"/>
                    </w:rPr>
                  </w:pPr>
                </w:p>
              </w:tc>
              <w:tc>
                <w:tcPr>
                  <w:tcW w:w="282" w:type="pct"/>
                  <w:vMerge w:val="continue"/>
                  <w:tcBorders>
                    <w:tl2br w:val="nil"/>
                    <w:tr2bl w:val="nil"/>
                  </w:tcBorders>
                  <w:vAlign w:val="center"/>
                </w:tcPr>
                <w:p w14:paraId="520AC992">
                  <w:pPr>
                    <w:adjustRightInd w:val="0"/>
                    <w:snapToGrid w:val="0"/>
                    <w:jc w:val="center"/>
                    <w:rPr>
                      <w:szCs w:val="21"/>
                    </w:rPr>
                  </w:pPr>
                </w:p>
              </w:tc>
              <w:tc>
                <w:tcPr>
                  <w:tcW w:w="393" w:type="pct"/>
                  <w:tcBorders>
                    <w:tl2br w:val="nil"/>
                    <w:tr2bl w:val="nil"/>
                  </w:tcBorders>
                  <w:vAlign w:val="center"/>
                </w:tcPr>
                <w:p w14:paraId="520AC993">
                  <w:pPr>
                    <w:adjustRightInd w:val="0"/>
                    <w:snapToGrid w:val="0"/>
                    <w:jc w:val="center"/>
                    <w:rPr>
                      <w:szCs w:val="21"/>
                    </w:rPr>
                  </w:pPr>
                  <w:r>
                    <w:rPr>
                      <w:szCs w:val="21"/>
                    </w:rPr>
                    <w:t>南</w:t>
                  </w:r>
                  <w:r>
                    <w:rPr>
                      <w:rFonts w:hint="eastAsia"/>
                      <w:szCs w:val="21"/>
                    </w:rPr>
                    <w:t>13</w:t>
                  </w:r>
                </w:p>
              </w:tc>
              <w:tc>
                <w:tcPr>
                  <w:tcW w:w="450" w:type="pct"/>
                  <w:tcBorders>
                    <w:tl2br w:val="nil"/>
                    <w:tr2bl w:val="nil"/>
                  </w:tcBorders>
                  <w:vAlign w:val="center"/>
                </w:tcPr>
                <w:p w14:paraId="520AC994">
                  <w:pPr>
                    <w:adjustRightInd w:val="0"/>
                    <w:snapToGrid w:val="0"/>
                    <w:jc w:val="center"/>
                    <w:rPr>
                      <w:szCs w:val="21"/>
                    </w:rPr>
                  </w:pPr>
                  <w:r>
                    <w:rPr>
                      <w:rFonts w:hint="eastAsia"/>
                      <w:szCs w:val="21"/>
                    </w:rPr>
                    <w:t>62.7</w:t>
                  </w:r>
                </w:p>
              </w:tc>
              <w:tc>
                <w:tcPr>
                  <w:tcW w:w="281" w:type="pct"/>
                  <w:vMerge w:val="continue"/>
                  <w:tcBorders>
                    <w:tl2br w:val="nil"/>
                    <w:tr2bl w:val="nil"/>
                  </w:tcBorders>
                  <w:vAlign w:val="center"/>
                </w:tcPr>
                <w:p w14:paraId="520AC995">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996">
                  <w:pPr>
                    <w:pStyle w:val="41"/>
                    <w:adjustRightInd w:val="0"/>
                    <w:snapToGrid w:val="0"/>
                    <w:contextualSpacing w:val="0"/>
                    <w:rPr>
                      <w:highlight w:val="yellow"/>
                      <w:lang w:val="en-US"/>
                    </w:rPr>
                  </w:pPr>
                </w:p>
              </w:tc>
              <w:tc>
                <w:tcPr>
                  <w:tcW w:w="394" w:type="pct"/>
                  <w:tcBorders>
                    <w:tl2br w:val="nil"/>
                    <w:tr2bl w:val="nil"/>
                  </w:tcBorders>
                  <w:vAlign w:val="center"/>
                </w:tcPr>
                <w:p w14:paraId="520AC997">
                  <w:pPr>
                    <w:pStyle w:val="41"/>
                    <w:adjustRightInd w:val="0"/>
                    <w:snapToGrid w:val="0"/>
                    <w:contextualSpacing w:val="0"/>
                  </w:pPr>
                  <w:r>
                    <w:rPr>
                      <w:rFonts w:hint="eastAsia"/>
                    </w:rPr>
                    <w:t>37.7</w:t>
                  </w:r>
                </w:p>
              </w:tc>
              <w:tc>
                <w:tcPr>
                  <w:tcW w:w="372" w:type="pct"/>
                  <w:tcBorders>
                    <w:tl2br w:val="nil"/>
                    <w:tr2bl w:val="nil"/>
                  </w:tcBorders>
                  <w:vAlign w:val="center"/>
                </w:tcPr>
                <w:p w14:paraId="520AC998">
                  <w:pPr>
                    <w:pStyle w:val="41"/>
                    <w:adjustRightInd w:val="0"/>
                    <w:snapToGrid w:val="0"/>
                    <w:contextualSpacing w:val="0"/>
                  </w:pPr>
                  <w:r>
                    <w:rPr>
                      <w:rFonts w:hint="eastAsia"/>
                    </w:rPr>
                    <w:t>1</w:t>
                  </w:r>
                </w:p>
              </w:tc>
            </w:tr>
            <w:tr w14:paraId="520AC9A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99A">
                  <w:pPr>
                    <w:pStyle w:val="41"/>
                    <w:adjustRightInd w:val="0"/>
                    <w:snapToGrid w:val="0"/>
                    <w:contextualSpacing w:val="0"/>
                    <w:rPr>
                      <w:highlight w:val="yellow"/>
                    </w:rPr>
                  </w:pPr>
                </w:p>
              </w:tc>
              <w:tc>
                <w:tcPr>
                  <w:tcW w:w="314" w:type="pct"/>
                  <w:vMerge w:val="continue"/>
                  <w:tcBorders>
                    <w:tl2br w:val="nil"/>
                    <w:tr2bl w:val="nil"/>
                  </w:tcBorders>
                  <w:vAlign w:val="center"/>
                </w:tcPr>
                <w:p w14:paraId="520AC99B">
                  <w:pPr>
                    <w:pStyle w:val="41"/>
                    <w:adjustRightInd w:val="0"/>
                    <w:snapToGrid w:val="0"/>
                    <w:contextualSpacing w:val="0"/>
                    <w:rPr>
                      <w:highlight w:val="yellow"/>
                    </w:rPr>
                  </w:pPr>
                </w:p>
              </w:tc>
              <w:tc>
                <w:tcPr>
                  <w:tcW w:w="337" w:type="pct"/>
                  <w:vMerge w:val="continue"/>
                  <w:tcBorders>
                    <w:tl2br w:val="nil"/>
                    <w:tr2bl w:val="nil"/>
                  </w:tcBorders>
                  <w:vAlign w:val="center"/>
                </w:tcPr>
                <w:p w14:paraId="520AC99C">
                  <w:pPr>
                    <w:pStyle w:val="41"/>
                    <w:adjustRightInd w:val="0"/>
                    <w:snapToGrid w:val="0"/>
                    <w:contextualSpacing w:val="0"/>
                    <w:rPr>
                      <w:highlight w:val="yellow"/>
                    </w:rPr>
                  </w:pPr>
                </w:p>
              </w:tc>
              <w:tc>
                <w:tcPr>
                  <w:tcW w:w="450" w:type="pct"/>
                  <w:vMerge w:val="continue"/>
                  <w:tcBorders>
                    <w:tl2br w:val="nil"/>
                    <w:tr2bl w:val="nil"/>
                  </w:tcBorders>
                  <w:vAlign w:val="center"/>
                </w:tcPr>
                <w:p w14:paraId="520AC99D">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99E">
                  <w:pPr>
                    <w:pStyle w:val="41"/>
                    <w:adjustRightInd w:val="0"/>
                    <w:snapToGrid w:val="0"/>
                    <w:contextualSpacing w:val="0"/>
                    <w:rPr>
                      <w:kern w:val="2"/>
                      <w:lang w:val="en-US"/>
                    </w:rPr>
                  </w:pPr>
                </w:p>
              </w:tc>
              <w:tc>
                <w:tcPr>
                  <w:tcW w:w="394" w:type="pct"/>
                  <w:vMerge w:val="continue"/>
                  <w:tcBorders>
                    <w:tl2br w:val="nil"/>
                    <w:tr2bl w:val="nil"/>
                  </w:tcBorders>
                  <w:vAlign w:val="center"/>
                </w:tcPr>
                <w:p w14:paraId="520AC99F">
                  <w:pPr>
                    <w:adjustRightInd w:val="0"/>
                    <w:snapToGrid w:val="0"/>
                    <w:jc w:val="center"/>
                    <w:rPr>
                      <w:kern w:val="0"/>
                      <w:szCs w:val="21"/>
                      <w:highlight w:val="yellow"/>
                    </w:rPr>
                  </w:pPr>
                </w:p>
              </w:tc>
              <w:tc>
                <w:tcPr>
                  <w:tcW w:w="225" w:type="pct"/>
                  <w:vMerge w:val="continue"/>
                  <w:tcBorders>
                    <w:tl2br w:val="nil"/>
                    <w:tr2bl w:val="nil"/>
                  </w:tcBorders>
                  <w:vAlign w:val="center"/>
                </w:tcPr>
                <w:p w14:paraId="520AC9A0">
                  <w:pPr>
                    <w:adjustRightInd w:val="0"/>
                    <w:snapToGrid w:val="0"/>
                    <w:jc w:val="center"/>
                    <w:rPr>
                      <w:szCs w:val="21"/>
                      <w:highlight w:val="yellow"/>
                    </w:rPr>
                  </w:pPr>
                </w:p>
              </w:tc>
              <w:tc>
                <w:tcPr>
                  <w:tcW w:w="225" w:type="pct"/>
                  <w:vMerge w:val="continue"/>
                  <w:tcBorders>
                    <w:tl2br w:val="nil"/>
                    <w:tr2bl w:val="nil"/>
                  </w:tcBorders>
                  <w:vAlign w:val="center"/>
                </w:tcPr>
                <w:p w14:paraId="520AC9A1">
                  <w:pPr>
                    <w:adjustRightInd w:val="0"/>
                    <w:snapToGrid w:val="0"/>
                    <w:jc w:val="center"/>
                    <w:rPr>
                      <w:szCs w:val="21"/>
                      <w:highlight w:val="yellow"/>
                    </w:rPr>
                  </w:pPr>
                </w:p>
              </w:tc>
              <w:tc>
                <w:tcPr>
                  <w:tcW w:w="282" w:type="pct"/>
                  <w:vMerge w:val="continue"/>
                  <w:tcBorders>
                    <w:tl2br w:val="nil"/>
                    <w:tr2bl w:val="nil"/>
                  </w:tcBorders>
                  <w:vAlign w:val="center"/>
                </w:tcPr>
                <w:p w14:paraId="520AC9A2">
                  <w:pPr>
                    <w:adjustRightInd w:val="0"/>
                    <w:snapToGrid w:val="0"/>
                    <w:jc w:val="center"/>
                    <w:rPr>
                      <w:szCs w:val="21"/>
                    </w:rPr>
                  </w:pPr>
                </w:p>
              </w:tc>
              <w:tc>
                <w:tcPr>
                  <w:tcW w:w="393" w:type="pct"/>
                  <w:tcBorders>
                    <w:tl2br w:val="nil"/>
                    <w:tr2bl w:val="nil"/>
                  </w:tcBorders>
                  <w:vAlign w:val="center"/>
                </w:tcPr>
                <w:p w14:paraId="520AC9A3">
                  <w:pPr>
                    <w:adjustRightInd w:val="0"/>
                    <w:snapToGrid w:val="0"/>
                    <w:jc w:val="center"/>
                    <w:rPr>
                      <w:szCs w:val="21"/>
                    </w:rPr>
                  </w:pPr>
                  <w:r>
                    <w:rPr>
                      <w:szCs w:val="21"/>
                    </w:rPr>
                    <w:t>北</w:t>
                  </w:r>
                  <w:r>
                    <w:rPr>
                      <w:rFonts w:hint="eastAsia"/>
                      <w:szCs w:val="21"/>
                    </w:rPr>
                    <w:t>27</w:t>
                  </w:r>
                </w:p>
              </w:tc>
              <w:tc>
                <w:tcPr>
                  <w:tcW w:w="450" w:type="pct"/>
                  <w:tcBorders>
                    <w:tl2br w:val="nil"/>
                    <w:tr2bl w:val="nil"/>
                  </w:tcBorders>
                  <w:vAlign w:val="center"/>
                </w:tcPr>
                <w:p w14:paraId="520AC9A4">
                  <w:pPr>
                    <w:adjustRightInd w:val="0"/>
                    <w:snapToGrid w:val="0"/>
                    <w:jc w:val="center"/>
                    <w:rPr>
                      <w:szCs w:val="21"/>
                    </w:rPr>
                  </w:pPr>
                  <w:r>
                    <w:rPr>
                      <w:rFonts w:hint="eastAsia"/>
                      <w:szCs w:val="21"/>
                    </w:rPr>
                    <w:t>56.4</w:t>
                  </w:r>
                </w:p>
              </w:tc>
              <w:tc>
                <w:tcPr>
                  <w:tcW w:w="281" w:type="pct"/>
                  <w:vMerge w:val="continue"/>
                  <w:tcBorders>
                    <w:tl2br w:val="nil"/>
                    <w:tr2bl w:val="nil"/>
                  </w:tcBorders>
                  <w:vAlign w:val="center"/>
                </w:tcPr>
                <w:p w14:paraId="520AC9A5">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9A6">
                  <w:pPr>
                    <w:pStyle w:val="41"/>
                    <w:adjustRightInd w:val="0"/>
                    <w:snapToGrid w:val="0"/>
                    <w:contextualSpacing w:val="0"/>
                    <w:rPr>
                      <w:highlight w:val="yellow"/>
                      <w:lang w:val="en-US"/>
                    </w:rPr>
                  </w:pPr>
                </w:p>
              </w:tc>
              <w:tc>
                <w:tcPr>
                  <w:tcW w:w="394" w:type="pct"/>
                  <w:tcBorders>
                    <w:tl2br w:val="nil"/>
                    <w:tr2bl w:val="nil"/>
                  </w:tcBorders>
                  <w:vAlign w:val="center"/>
                </w:tcPr>
                <w:p w14:paraId="520AC9A7">
                  <w:pPr>
                    <w:pStyle w:val="41"/>
                    <w:adjustRightInd w:val="0"/>
                    <w:snapToGrid w:val="0"/>
                    <w:contextualSpacing w:val="0"/>
                  </w:pPr>
                  <w:r>
                    <w:rPr>
                      <w:rFonts w:hint="eastAsia"/>
                    </w:rPr>
                    <w:t>31.4</w:t>
                  </w:r>
                </w:p>
              </w:tc>
              <w:tc>
                <w:tcPr>
                  <w:tcW w:w="372" w:type="pct"/>
                  <w:tcBorders>
                    <w:tl2br w:val="nil"/>
                    <w:tr2bl w:val="nil"/>
                  </w:tcBorders>
                  <w:vAlign w:val="center"/>
                </w:tcPr>
                <w:p w14:paraId="520AC9A8">
                  <w:pPr>
                    <w:pStyle w:val="41"/>
                    <w:adjustRightInd w:val="0"/>
                    <w:snapToGrid w:val="0"/>
                    <w:contextualSpacing w:val="0"/>
                  </w:pPr>
                  <w:r>
                    <w:rPr>
                      <w:rFonts w:hint="eastAsia"/>
                    </w:rPr>
                    <w:t>1</w:t>
                  </w:r>
                </w:p>
              </w:tc>
            </w:tr>
            <w:tr w14:paraId="520AC9AB">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5000" w:type="pct"/>
                  <w:gridSpan w:val="15"/>
                  <w:tcBorders>
                    <w:tl2br w:val="nil"/>
                    <w:tr2bl w:val="nil"/>
                  </w:tcBorders>
                  <w:vAlign w:val="center"/>
                </w:tcPr>
                <w:p w14:paraId="520AC9AA">
                  <w:pPr>
                    <w:pStyle w:val="41"/>
                    <w:adjustRightInd w:val="0"/>
                    <w:snapToGrid w:val="0"/>
                    <w:contextualSpacing w:val="0"/>
                    <w:rPr>
                      <w:b/>
                      <w:bCs/>
                      <w:highlight w:val="yellow"/>
                    </w:rPr>
                  </w:pPr>
                  <w:r>
                    <w:rPr>
                      <w:rFonts w:hint="eastAsia"/>
                      <w:b/>
                      <w:bCs/>
                    </w:rPr>
                    <w:t>解放路厂区</w:t>
                  </w:r>
                </w:p>
              </w:tc>
            </w:tr>
            <w:tr w14:paraId="520AC9BB">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restart"/>
                  <w:tcBorders>
                    <w:tl2br w:val="nil"/>
                    <w:tr2bl w:val="nil"/>
                  </w:tcBorders>
                  <w:vAlign w:val="center"/>
                </w:tcPr>
                <w:p w14:paraId="520AC9AC">
                  <w:pPr>
                    <w:pStyle w:val="41"/>
                    <w:adjustRightInd w:val="0"/>
                    <w:snapToGrid w:val="0"/>
                    <w:contextualSpacing w:val="0"/>
                  </w:pPr>
                  <w:r>
                    <w:rPr>
                      <w:rFonts w:hint="eastAsia"/>
                    </w:rPr>
                    <w:t>6</w:t>
                  </w:r>
                </w:p>
              </w:tc>
              <w:tc>
                <w:tcPr>
                  <w:tcW w:w="314" w:type="pct"/>
                  <w:vMerge w:val="restart"/>
                  <w:tcBorders>
                    <w:tl2br w:val="nil"/>
                    <w:tr2bl w:val="nil"/>
                  </w:tcBorders>
                  <w:vAlign w:val="center"/>
                </w:tcPr>
                <w:p w14:paraId="520AC9AD">
                  <w:pPr>
                    <w:pStyle w:val="41"/>
                    <w:adjustRightInd w:val="0"/>
                    <w:snapToGrid w:val="0"/>
                    <w:contextualSpacing w:val="0"/>
                  </w:pPr>
                  <w:r>
                    <w:rPr>
                      <w:rFonts w:hint="eastAsia"/>
                    </w:rPr>
                    <w:t>2207</w:t>
                  </w:r>
                  <w:r>
                    <w:t>厂房</w:t>
                  </w:r>
                </w:p>
              </w:tc>
              <w:tc>
                <w:tcPr>
                  <w:tcW w:w="337" w:type="pct"/>
                  <w:vMerge w:val="restart"/>
                  <w:tcBorders>
                    <w:tl2br w:val="nil"/>
                    <w:tr2bl w:val="nil"/>
                  </w:tcBorders>
                  <w:vAlign w:val="center"/>
                </w:tcPr>
                <w:p w14:paraId="520AC9AE">
                  <w:pPr>
                    <w:pStyle w:val="41"/>
                    <w:adjustRightInd w:val="0"/>
                    <w:snapToGrid w:val="0"/>
                    <w:contextualSpacing w:val="0"/>
                  </w:pPr>
                  <w:r>
                    <w:t>高温硫化机</w:t>
                  </w:r>
                </w:p>
              </w:tc>
              <w:tc>
                <w:tcPr>
                  <w:tcW w:w="450" w:type="pct"/>
                  <w:vMerge w:val="restart"/>
                  <w:tcBorders>
                    <w:tl2br w:val="nil"/>
                    <w:tr2bl w:val="nil"/>
                  </w:tcBorders>
                  <w:vAlign w:val="center"/>
                </w:tcPr>
                <w:p w14:paraId="520AC9AF">
                  <w:pPr>
                    <w:pStyle w:val="41"/>
                    <w:adjustRightInd w:val="0"/>
                    <w:snapToGrid w:val="0"/>
                    <w:contextualSpacing w:val="0"/>
                    <w:rPr>
                      <w:kern w:val="2"/>
                      <w:highlight w:val="yellow"/>
                    </w:rPr>
                  </w:pPr>
                  <w:r>
                    <w:rPr>
                      <w:rFonts w:hint="eastAsia"/>
                    </w:rPr>
                    <w:t>8</w:t>
                  </w:r>
                  <w:r>
                    <w:t>0</w:t>
                  </w:r>
                  <w:r>
                    <w:rPr>
                      <w:rFonts w:hint="eastAsia"/>
                    </w:rPr>
                    <w:t>/1</w:t>
                  </w:r>
                </w:p>
              </w:tc>
              <w:tc>
                <w:tcPr>
                  <w:tcW w:w="281" w:type="pct"/>
                  <w:vMerge w:val="restart"/>
                  <w:tcBorders>
                    <w:tl2br w:val="nil"/>
                    <w:tr2bl w:val="nil"/>
                  </w:tcBorders>
                  <w:vAlign w:val="center"/>
                </w:tcPr>
                <w:p w14:paraId="520AC9B0">
                  <w:pPr>
                    <w:pStyle w:val="41"/>
                    <w:adjustRightInd w:val="0"/>
                    <w:snapToGrid w:val="0"/>
                    <w:contextualSpacing w:val="0"/>
                    <w:rPr>
                      <w:kern w:val="2"/>
                      <w:lang w:val="en-US"/>
                    </w:rPr>
                  </w:pPr>
                  <w:r>
                    <w:rPr>
                      <w:rFonts w:hint="eastAsia"/>
                      <w:kern w:val="2"/>
                      <w:lang w:val="en-US"/>
                    </w:rPr>
                    <w:t>1</w:t>
                  </w:r>
                </w:p>
              </w:tc>
              <w:tc>
                <w:tcPr>
                  <w:tcW w:w="394" w:type="pct"/>
                  <w:vMerge w:val="restart"/>
                  <w:tcBorders>
                    <w:tl2br w:val="nil"/>
                    <w:tr2bl w:val="nil"/>
                  </w:tcBorders>
                  <w:vAlign w:val="center"/>
                </w:tcPr>
                <w:p w14:paraId="520AC9B1">
                  <w:pPr>
                    <w:adjustRightInd w:val="0"/>
                    <w:snapToGrid w:val="0"/>
                    <w:jc w:val="center"/>
                    <w:rPr>
                      <w:kern w:val="0"/>
                      <w:szCs w:val="21"/>
                      <w:highlight w:val="yellow"/>
                    </w:rPr>
                  </w:pPr>
                  <w:r>
                    <w:t>基础减振、厂房隔声</w:t>
                  </w:r>
                </w:p>
              </w:tc>
              <w:tc>
                <w:tcPr>
                  <w:tcW w:w="225" w:type="pct"/>
                  <w:vMerge w:val="restart"/>
                  <w:tcBorders>
                    <w:tl2br w:val="nil"/>
                    <w:tr2bl w:val="nil"/>
                  </w:tcBorders>
                  <w:vAlign w:val="center"/>
                </w:tcPr>
                <w:p w14:paraId="520AC9B2">
                  <w:pPr>
                    <w:adjustRightInd w:val="0"/>
                    <w:snapToGrid w:val="0"/>
                    <w:jc w:val="center"/>
                    <w:rPr>
                      <w:szCs w:val="21"/>
                      <w:highlight w:val="yellow"/>
                    </w:rPr>
                  </w:pPr>
                  <w:r>
                    <w:rPr>
                      <w:rFonts w:hint="eastAsia"/>
                      <w:szCs w:val="21"/>
                    </w:rPr>
                    <w:t>121</w:t>
                  </w:r>
                </w:p>
              </w:tc>
              <w:tc>
                <w:tcPr>
                  <w:tcW w:w="225" w:type="pct"/>
                  <w:vMerge w:val="restart"/>
                  <w:tcBorders>
                    <w:tl2br w:val="nil"/>
                    <w:tr2bl w:val="nil"/>
                  </w:tcBorders>
                  <w:vAlign w:val="center"/>
                </w:tcPr>
                <w:p w14:paraId="520AC9B3">
                  <w:pPr>
                    <w:adjustRightInd w:val="0"/>
                    <w:snapToGrid w:val="0"/>
                    <w:jc w:val="center"/>
                    <w:rPr>
                      <w:szCs w:val="21"/>
                      <w:highlight w:val="yellow"/>
                    </w:rPr>
                  </w:pPr>
                  <w:r>
                    <w:rPr>
                      <w:rFonts w:hint="eastAsia"/>
                      <w:szCs w:val="21"/>
                    </w:rPr>
                    <w:t>33</w:t>
                  </w:r>
                </w:p>
              </w:tc>
              <w:tc>
                <w:tcPr>
                  <w:tcW w:w="282" w:type="pct"/>
                  <w:vMerge w:val="restart"/>
                  <w:tcBorders>
                    <w:tl2br w:val="nil"/>
                    <w:tr2bl w:val="nil"/>
                  </w:tcBorders>
                  <w:vAlign w:val="center"/>
                </w:tcPr>
                <w:p w14:paraId="520AC9B4">
                  <w:pPr>
                    <w:adjustRightInd w:val="0"/>
                    <w:snapToGrid w:val="0"/>
                    <w:jc w:val="center"/>
                    <w:rPr>
                      <w:szCs w:val="21"/>
                    </w:rPr>
                  </w:pPr>
                  <w:r>
                    <w:rPr>
                      <w:rFonts w:hint="eastAsia"/>
                      <w:szCs w:val="21"/>
                    </w:rPr>
                    <w:t>0.2</w:t>
                  </w:r>
                </w:p>
              </w:tc>
              <w:tc>
                <w:tcPr>
                  <w:tcW w:w="393" w:type="pct"/>
                  <w:tcBorders>
                    <w:tl2br w:val="nil"/>
                    <w:tr2bl w:val="nil"/>
                  </w:tcBorders>
                  <w:vAlign w:val="center"/>
                </w:tcPr>
                <w:p w14:paraId="520AC9B5">
                  <w:pPr>
                    <w:adjustRightInd w:val="0"/>
                    <w:snapToGrid w:val="0"/>
                    <w:jc w:val="center"/>
                    <w:rPr>
                      <w:szCs w:val="21"/>
                    </w:rPr>
                  </w:pPr>
                  <w:r>
                    <w:rPr>
                      <w:szCs w:val="21"/>
                    </w:rPr>
                    <w:t>东</w:t>
                  </w:r>
                  <w:r>
                    <w:rPr>
                      <w:rFonts w:hint="eastAsia"/>
                      <w:szCs w:val="21"/>
                    </w:rPr>
                    <w:t>5</w:t>
                  </w:r>
                </w:p>
              </w:tc>
              <w:tc>
                <w:tcPr>
                  <w:tcW w:w="450" w:type="pct"/>
                  <w:tcBorders>
                    <w:tl2br w:val="nil"/>
                    <w:tr2bl w:val="nil"/>
                  </w:tcBorders>
                  <w:vAlign w:val="center"/>
                </w:tcPr>
                <w:p w14:paraId="520AC9B6">
                  <w:pPr>
                    <w:adjustRightInd w:val="0"/>
                    <w:snapToGrid w:val="0"/>
                    <w:jc w:val="center"/>
                    <w:rPr>
                      <w:szCs w:val="21"/>
                    </w:rPr>
                  </w:pPr>
                  <w:r>
                    <w:rPr>
                      <w:rFonts w:hint="eastAsia"/>
                      <w:szCs w:val="21"/>
                    </w:rPr>
                    <w:t>66</w:t>
                  </w:r>
                </w:p>
              </w:tc>
              <w:tc>
                <w:tcPr>
                  <w:tcW w:w="281" w:type="pct"/>
                  <w:vMerge w:val="restart"/>
                  <w:tcBorders>
                    <w:tl2br w:val="nil"/>
                    <w:tr2bl w:val="nil"/>
                  </w:tcBorders>
                  <w:vAlign w:val="center"/>
                </w:tcPr>
                <w:p w14:paraId="520AC9B7">
                  <w:pPr>
                    <w:pStyle w:val="41"/>
                    <w:adjustRightInd w:val="0"/>
                    <w:snapToGrid w:val="0"/>
                    <w:contextualSpacing w:val="0"/>
                    <w:rPr>
                      <w:kern w:val="2"/>
                      <w:lang w:val="en-US"/>
                    </w:rPr>
                  </w:pPr>
                  <w:r>
                    <w:rPr>
                      <w:rFonts w:hint="eastAsia"/>
                    </w:rPr>
                    <w:t>昼夜</w:t>
                  </w:r>
                </w:p>
              </w:tc>
              <w:tc>
                <w:tcPr>
                  <w:tcW w:w="450" w:type="pct"/>
                  <w:vMerge w:val="restart"/>
                  <w:tcBorders>
                    <w:tl2br w:val="nil"/>
                    <w:tr2bl w:val="nil"/>
                  </w:tcBorders>
                  <w:vAlign w:val="center"/>
                </w:tcPr>
                <w:p w14:paraId="520AC9B8">
                  <w:pPr>
                    <w:pStyle w:val="41"/>
                    <w:adjustRightInd w:val="0"/>
                    <w:snapToGrid w:val="0"/>
                    <w:contextualSpacing w:val="0"/>
                    <w:rPr>
                      <w:highlight w:val="yellow"/>
                      <w:lang w:val="en-US"/>
                    </w:rPr>
                  </w:pPr>
                  <w:r>
                    <w:rPr>
                      <w:rFonts w:hint="eastAsia"/>
                      <w:lang w:val="en-US"/>
                    </w:rPr>
                    <w:t>25</w:t>
                  </w:r>
                </w:p>
              </w:tc>
              <w:tc>
                <w:tcPr>
                  <w:tcW w:w="394" w:type="pct"/>
                  <w:tcBorders>
                    <w:tl2br w:val="nil"/>
                    <w:tr2bl w:val="nil"/>
                  </w:tcBorders>
                  <w:vAlign w:val="center"/>
                </w:tcPr>
                <w:p w14:paraId="520AC9B9">
                  <w:pPr>
                    <w:pStyle w:val="41"/>
                    <w:adjustRightInd w:val="0"/>
                    <w:snapToGrid w:val="0"/>
                    <w:contextualSpacing w:val="0"/>
                  </w:pPr>
                  <w:r>
                    <w:rPr>
                      <w:rFonts w:hint="eastAsia"/>
                    </w:rPr>
                    <w:t>41</w:t>
                  </w:r>
                </w:p>
              </w:tc>
              <w:tc>
                <w:tcPr>
                  <w:tcW w:w="372" w:type="pct"/>
                  <w:tcBorders>
                    <w:tl2br w:val="nil"/>
                    <w:tr2bl w:val="nil"/>
                  </w:tcBorders>
                  <w:vAlign w:val="center"/>
                </w:tcPr>
                <w:p w14:paraId="520AC9BA">
                  <w:pPr>
                    <w:pStyle w:val="41"/>
                    <w:adjustRightInd w:val="0"/>
                    <w:snapToGrid w:val="0"/>
                    <w:contextualSpacing w:val="0"/>
                  </w:pPr>
                  <w:r>
                    <w:rPr>
                      <w:rFonts w:hint="eastAsia"/>
                    </w:rPr>
                    <w:t>1</w:t>
                  </w:r>
                </w:p>
              </w:tc>
            </w:tr>
            <w:tr w14:paraId="520AC9CB">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9BC">
                  <w:pPr>
                    <w:pStyle w:val="41"/>
                    <w:adjustRightInd w:val="0"/>
                    <w:snapToGrid w:val="0"/>
                    <w:contextualSpacing w:val="0"/>
                    <w:rPr>
                      <w:highlight w:val="yellow"/>
                    </w:rPr>
                  </w:pPr>
                </w:p>
              </w:tc>
              <w:tc>
                <w:tcPr>
                  <w:tcW w:w="314" w:type="pct"/>
                  <w:vMerge w:val="continue"/>
                  <w:tcBorders>
                    <w:tl2br w:val="nil"/>
                    <w:tr2bl w:val="nil"/>
                  </w:tcBorders>
                  <w:vAlign w:val="center"/>
                </w:tcPr>
                <w:p w14:paraId="520AC9BD">
                  <w:pPr>
                    <w:pStyle w:val="41"/>
                    <w:adjustRightInd w:val="0"/>
                    <w:snapToGrid w:val="0"/>
                    <w:contextualSpacing w:val="0"/>
                    <w:rPr>
                      <w:highlight w:val="yellow"/>
                    </w:rPr>
                  </w:pPr>
                </w:p>
              </w:tc>
              <w:tc>
                <w:tcPr>
                  <w:tcW w:w="337" w:type="pct"/>
                  <w:vMerge w:val="continue"/>
                  <w:tcBorders>
                    <w:tl2br w:val="nil"/>
                    <w:tr2bl w:val="nil"/>
                  </w:tcBorders>
                  <w:vAlign w:val="center"/>
                </w:tcPr>
                <w:p w14:paraId="520AC9BE">
                  <w:pPr>
                    <w:pStyle w:val="41"/>
                    <w:adjustRightInd w:val="0"/>
                    <w:snapToGrid w:val="0"/>
                    <w:contextualSpacing w:val="0"/>
                    <w:rPr>
                      <w:highlight w:val="yellow"/>
                    </w:rPr>
                  </w:pPr>
                </w:p>
              </w:tc>
              <w:tc>
                <w:tcPr>
                  <w:tcW w:w="450" w:type="pct"/>
                  <w:vMerge w:val="continue"/>
                  <w:tcBorders>
                    <w:tl2br w:val="nil"/>
                    <w:tr2bl w:val="nil"/>
                  </w:tcBorders>
                  <w:vAlign w:val="center"/>
                </w:tcPr>
                <w:p w14:paraId="520AC9BF">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9C0">
                  <w:pPr>
                    <w:pStyle w:val="41"/>
                    <w:adjustRightInd w:val="0"/>
                    <w:snapToGrid w:val="0"/>
                    <w:contextualSpacing w:val="0"/>
                    <w:rPr>
                      <w:kern w:val="2"/>
                      <w:highlight w:val="yellow"/>
                      <w:lang w:val="en-US"/>
                    </w:rPr>
                  </w:pPr>
                </w:p>
              </w:tc>
              <w:tc>
                <w:tcPr>
                  <w:tcW w:w="394" w:type="pct"/>
                  <w:vMerge w:val="continue"/>
                  <w:tcBorders>
                    <w:tl2br w:val="nil"/>
                    <w:tr2bl w:val="nil"/>
                  </w:tcBorders>
                  <w:vAlign w:val="center"/>
                </w:tcPr>
                <w:p w14:paraId="520AC9C1">
                  <w:pPr>
                    <w:adjustRightInd w:val="0"/>
                    <w:snapToGrid w:val="0"/>
                    <w:jc w:val="center"/>
                    <w:rPr>
                      <w:kern w:val="0"/>
                      <w:szCs w:val="21"/>
                      <w:highlight w:val="yellow"/>
                    </w:rPr>
                  </w:pPr>
                </w:p>
              </w:tc>
              <w:tc>
                <w:tcPr>
                  <w:tcW w:w="225" w:type="pct"/>
                  <w:vMerge w:val="continue"/>
                  <w:tcBorders>
                    <w:tl2br w:val="nil"/>
                    <w:tr2bl w:val="nil"/>
                  </w:tcBorders>
                  <w:vAlign w:val="center"/>
                </w:tcPr>
                <w:p w14:paraId="520AC9C2">
                  <w:pPr>
                    <w:adjustRightInd w:val="0"/>
                    <w:snapToGrid w:val="0"/>
                    <w:jc w:val="center"/>
                    <w:rPr>
                      <w:szCs w:val="21"/>
                      <w:highlight w:val="yellow"/>
                    </w:rPr>
                  </w:pPr>
                </w:p>
              </w:tc>
              <w:tc>
                <w:tcPr>
                  <w:tcW w:w="225" w:type="pct"/>
                  <w:vMerge w:val="continue"/>
                  <w:tcBorders>
                    <w:tl2br w:val="nil"/>
                    <w:tr2bl w:val="nil"/>
                  </w:tcBorders>
                  <w:vAlign w:val="center"/>
                </w:tcPr>
                <w:p w14:paraId="520AC9C3">
                  <w:pPr>
                    <w:adjustRightInd w:val="0"/>
                    <w:snapToGrid w:val="0"/>
                    <w:jc w:val="center"/>
                    <w:rPr>
                      <w:szCs w:val="21"/>
                      <w:highlight w:val="yellow"/>
                    </w:rPr>
                  </w:pPr>
                </w:p>
              </w:tc>
              <w:tc>
                <w:tcPr>
                  <w:tcW w:w="282" w:type="pct"/>
                  <w:vMerge w:val="continue"/>
                  <w:tcBorders>
                    <w:tl2br w:val="nil"/>
                    <w:tr2bl w:val="nil"/>
                  </w:tcBorders>
                  <w:vAlign w:val="center"/>
                </w:tcPr>
                <w:p w14:paraId="520AC9C4">
                  <w:pPr>
                    <w:adjustRightInd w:val="0"/>
                    <w:snapToGrid w:val="0"/>
                    <w:jc w:val="center"/>
                    <w:rPr>
                      <w:szCs w:val="21"/>
                    </w:rPr>
                  </w:pPr>
                </w:p>
              </w:tc>
              <w:tc>
                <w:tcPr>
                  <w:tcW w:w="393" w:type="pct"/>
                  <w:tcBorders>
                    <w:tl2br w:val="nil"/>
                    <w:tr2bl w:val="nil"/>
                  </w:tcBorders>
                  <w:vAlign w:val="center"/>
                </w:tcPr>
                <w:p w14:paraId="520AC9C5">
                  <w:pPr>
                    <w:adjustRightInd w:val="0"/>
                    <w:snapToGrid w:val="0"/>
                    <w:jc w:val="center"/>
                    <w:rPr>
                      <w:szCs w:val="21"/>
                    </w:rPr>
                  </w:pPr>
                  <w:r>
                    <w:rPr>
                      <w:szCs w:val="21"/>
                    </w:rPr>
                    <w:t>西</w:t>
                  </w:r>
                  <w:r>
                    <w:rPr>
                      <w:rFonts w:hint="eastAsia"/>
                      <w:szCs w:val="21"/>
                    </w:rPr>
                    <w:t>10</w:t>
                  </w:r>
                </w:p>
              </w:tc>
              <w:tc>
                <w:tcPr>
                  <w:tcW w:w="450" w:type="pct"/>
                  <w:tcBorders>
                    <w:tl2br w:val="nil"/>
                    <w:tr2bl w:val="nil"/>
                  </w:tcBorders>
                  <w:vAlign w:val="center"/>
                </w:tcPr>
                <w:p w14:paraId="520AC9C6">
                  <w:pPr>
                    <w:adjustRightInd w:val="0"/>
                    <w:snapToGrid w:val="0"/>
                    <w:jc w:val="center"/>
                    <w:rPr>
                      <w:szCs w:val="21"/>
                    </w:rPr>
                  </w:pPr>
                  <w:r>
                    <w:rPr>
                      <w:rFonts w:hint="eastAsia"/>
                      <w:szCs w:val="21"/>
                    </w:rPr>
                    <w:t>60</w:t>
                  </w:r>
                </w:p>
              </w:tc>
              <w:tc>
                <w:tcPr>
                  <w:tcW w:w="281" w:type="pct"/>
                  <w:vMerge w:val="continue"/>
                  <w:tcBorders>
                    <w:tl2br w:val="nil"/>
                    <w:tr2bl w:val="nil"/>
                  </w:tcBorders>
                  <w:vAlign w:val="center"/>
                </w:tcPr>
                <w:p w14:paraId="520AC9C7">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9C8">
                  <w:pPr>
                    <w:pStyle w:val="41"/>
                    <w:adjustRightInd w:val="0"/>
                    <w:snapToGrid w:val="0"/>
                    <w:contextualSpacing w:val="0"/>
                    <w:rPr>
                      <w:highlight w:val="yellow"/>
                      <w:lang w:val="en-US"/>
                    </w:rPr>
                  </w:pPr>
                </w:p>
              </w:tc>
              <w:tc>
                <w:tcPr>
                  <w:tcW w:w="394" w:type="pct"/>
                  <w:tcBorders>
                    <w:tl2br w:val="nil"/>
                    <w:tr2bl w:val="nil"/>
                  </w:tcBorders>
                  <w:vAlign w:val="center"/>
                </w:tcPr>
                <w:p w14:paraId="520AC9C9">
                  <w:pPr>
                    <w:pStyle w:val="41"/>
                    <w:adjustRightInd w:val="0"/>
                    <w:snapToGrid w:val="0"/>
                    <w:contextualSpacing w:val="0"/>
                  </w:pPr>
                  <w:r>
                    <w:rPr>
                      <w:rFonts w:hint="eastAsia"/>
                    </w:rPr>
                    <w:t>35</w:t>
                  </w:r>
                </w:p>
              </w:tc>
              <w:tc>
                <w:tcPr>
                  <w:tcW w:w="372" w:type="pct"/>
                  <w:tcBorders>
                    <w:tl2br w:val="nil"/>
                    <w:tr2bl w:val="nil"/>
                  </w:tcBorders>
                  <w:vAlign w:val="center"/>
                </w:tcPr>
                <w:p w14:paraId="520AC9CA">
                  <w:pPr>
                    <w:pStyle w:val="41"/>
                    <w:adjustRightInd w:val="0"/>
                    <w:snapToGrid w:val="0"/>
                    <w:contextualSpacing w:val="0"/>
                  </w:pPr>
                  <w:r>
                    <w:rPr>
                      <w:rFonts w:hint="eastAsia"/>
                    </w:rPr>
                    <w:t>1</w:t>
                  </w:r>
                </w:p>
              </w:tc>
            </w:tr>
            <w:tr w14:paraId="520AC9DB">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9CC">
                  <w:pPr>
                    <w:pStyle w:val="41"/>
                    <w:adjustRightInd w:val="0"/>
                    <w:snapToGrid w:val="0"/>
                    <w:contextualSpacing w:val="0"/>
                    <w:rPr>
                      <w:highlight w:val="yellow"/>
                    </w:rPr>
                  </w:pPr>
                </w:p>
              </w:tc>
              <w:tc>
                <w:tcPr>
                  <w:tcW w:w="314" w:type="pct"/>
                  <w:vMerge w:val="continue"/>
                  <w:tcBorders>
                    <w:tl2br w:val="nil"/>
                    <w:tr2bl w:val="nil"/>
                  </w:tcBorders>
                  <w:vAlign w:val="center"/>
                </w:tcPr>
                <w:p w14:paraId="520AC9CD">
                  <w:pPr>
                    <w:pStyle w:val="41"/>
                    <w:adjustRightInd w:val="0"/>
                    <w:snapToGrid w:val="0"/>
                    <w:contextualSpacing w:val="0"/>
                    <w:rPr>
                      <w:highlight w:val="yellow"/>
                    </w:rPr>
                  </w:pPr>
                </w:p>
              </w:tc>
              <w:tc>
                <w:tcPr>
                  <w:tcW w:w="337" w:type="pct"/>
                  <w:vMerge w:val="continue"/>
                  <w:tcBorders>
                    <w:tl2br w:val="nil"/>
                    <w:tr2bl w:val="nil"/>
                  </w:tcBorders>
                  <w:vAlign w:val="center"/>
                </w:tcPr>
                <w:p w14:paraId="520AC9CE">
                  <w:pPr>
                    <w:pStyle w:val="41"/>
                    <w:adjustRightInd w:val="0"/>
                    <w:snapToGrid w:val="0"/>
                    <w:contextualSpacing w:val="0"/>
                    <w:rPr>
                      <w:highlight w:val="yellow"/>
                    </w:rPr>
                  </w:pPr>
                </w:p>
              </w:tc>
              <w:tc>
                <w:tcPr>
                  <w:tcW w:w="450" w:type="pct"/>
                  <w:vMerge w:val="continue"/>
                  <w:tcBorders>
                    <w:tl2br w:val="nil"/>
                    <w:tr2bl w:val="nil"/>
                  </w:tcBorders>
                  <w:vAlign w:val="center"/>
                </w:tcPr>
                <w:p w14:paraId="520AC9CF">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9D0">
                  <w:pPr>
                    <w:pStyle w:val="41"/>
                    <w:adjustRightInd w:val="0"/>
                    <w:snapToGrid w:val="0"/>
                    <w:contextualSpacing w:val="0"/>
                    <w:rPr>
                      <w:kern w:val="2"/>
                      <w:highlight w:val="yellow"/>
                      <w:lang w:val="en-US"/>
                    </w:rPr>
                  </w:pPr>
                </w:p>
              </w:tc>
              <w:tc>
                <w:tcPr>
                  <w:tcW w:w="394" w:type="pct"/>
                  <w:vMerge w:val="continue"/>
                  <w:tcBorders>
                    <w:tl2br w:val="nil"/>
                    <w:tr2bl w:val="nil"/>
                  </w:tcBorders>
                  <w:vAlign w:val="center"/>
                </w:tcPr>
                <w:p w14:paraId="520AC9D1">
                  <w:pPr>
                    <w:adjustRightInd w:val="0"/>
                    <w:snapToGrid w:val="0"/>
                    <w:jc w:val="center"/>
                    <w:rPr>
                      <w:kern w:val="0"/>
                      <w:szCs w:val="21"/>
                      <w:highlight w:val="yellow"/>
                    </w:rPr>
                  </w:pPr>
                </w:p>
              </w:tc>
              <w:tc>
                <w:tcPr>
                  <w:tcW w:w="225" w:type="pct"/>
                  <w:vMerge w:val="continue"/>
                  <w:tcBorders>
                    <w:tl2br w:val="nil"/>
                    <w:tr2bl w:val="nil"/>
                  </w:tcBorders>
                  <w:vAlign w:val="center"/>
                </w:tcPr>
                <w:p w14:paraId="520AC9D2">
                  <w:pPr>
                    <w:adjustRightInd w:val="0"/>
                    <w:snapToGrid w:val="0"/>
                    <w:jc w:val="center"/>
                    <w:rPr>
                      <w:szCs w:val="21"/>
                      <w:highlight w:val="yellow"/>
                    </w:rPr>
                  </w:pPr>
                </w:p>
              </w:tc>
              <w:tc>
                <w:tcPr>
                  <w:tcW w:w="225" w:type="pct"/>
                  <w:vMerge w:val="continue"/>
                  <w:tcBorders>
                    <w:tl2br w:val="nil"/>
                    <w:tr2bl w:val="nil"/>
                  </w:tcBorders>
                  <w:vAlign w:val="center"/>
                </w:tcPr>
                <w:p w14:paraId="520AC9D3">
                  <w:pPr>
                    <w:adjustRightInd w:val="0"/>
                    <w:snapToGrid w:val="0"/>
                    <w:jc w:val="center"/>
                    <w:rPr>
                      <w:szCs w:val="21"/>
                      <w:highlight w:val="yellow"/>
                    </w:rPr>
                  </w:pPr>
                </w:p>
              </w:tc>
              <w:tc>
                <w:tcPr>
                  <w:tcW w:w="282" w:type="pct"/>
                  <w:vMerge w:val="continue"/>
                  <w:tcBorders>
                    <w:tl2br w:val="nil"/>
                    <w:tr2bl w:val="nil"/>
                  </w:tcBorders>
                  <w:vAlign w:val="center"/>
                </w:tcPr>
                <w:p w14:paraId="520AC9D4">
                  <w:pPr>
                    <w:adjustRightInd w:val="0"/>
                    <w:snapToGrid w:val="0"/>
                    <w:jc w:val="center"/>
                    <w:rPr>
                      <w:szCs w:val="21"/>
                    </w:rPr>
                  </w:pPr>
                </w:p>
              </w:tc>
              <w:tc>
                <w:tcPr>
                  <w:tcW w:w="393" w:type="pct"/>
                  <w:tcBorders>
                    <w:tl2br w:val="nil"/>
                    <w:tr2bl w:val="nil"/>
                  </w:tcBorders>
                  <w:vAlign w:val="center"/>
                </w:tcPr>
                <w:p w14:paraId="520AC9D5">
                  <w:pPr>
                    <w:adjustRightInd w:val="0"/>
                    <w:snapToGrid w:val="0"/>
                    <w:jc w:val="center"/>
                    <w:rPr>
                      <w:szCs w:val="21"/>
                    </w:rPr>
                  </w:pPr>
                  <w:r>
                    <w:rPr>
                      <w:szCs w:val="21"/>
                    </w:rPr>
                    <w:t>南</w:t>
                  </w:r>
                  <w:r>
                    <w:rPr>
                      <w:rFonts w:hint="eastAsia"/>
                      <w:szCs w:val="21"/>
                    </w:rPr>
                    <w:t>25</w:t>
                  </w:r>
                </w:p>
              </w:tc>
              <w:tc>
                <w:tcPr>
                  <w:tcW w:w="450" w:type="pct"/>
                  <w:tcBorders>
                    <w:tl2br w:val="nil"/>
                    <w:tr2bl w:val="nil"/>
                  </w:tcBorders>
                  <w:vAlign w:val="center"/>
                </w:tcPr>
                <w:p w14:paraId="520AC9D6">
                  <w:pPr>
                    <w:adjustRightInd w:val="0"/>
                    <w:snapToGrid w:val="0"/>
                    <w:jc w:val="center"/>
                    <w:rPr>
                      <w:szCs w:val="21"/>
                    </w:rPr>
                  </w:pPr>
                  <w:r>
                    <w:rPr>
                      <w:rFonts w:hint="eastAsia"/>
                      <w:szCs w:val="21"/>
                    </w:rPr>
                    <w:t>52</w:t>
                  </w:r>
                </w:p>
              </w:tc>
              <w:tc>
                <w:tcPr>
                  <w:tcW w:w="281" w:type="pct"/>
                  <w:vMerge w:val="continue"/>
                  <w:tcBorders>
                    <w:tl2br w:val="nil"/>
                    <w:tr2bl w:val="nil"/>
                  </w:tcBorders>
                  <w:vAlign w:val="center"/>
                </w:tcPr>
                <w:p w14:paraId="520AC9D7">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9D8">
                  <w:pPr>
                    <w:pStyle w:val="41"/>
                    <w:adjustRightInd w:val="0"/>
                    <w:snapToGrid w:val="0"/>
                    <w:contextualSpacing w:val="0"/>
                    <w:rPr>
                      <w:highlight w:val="yellow"/>
                      <w:lang w:val="en-US"/>
                    </w:rPr>
                  </w:pPr>
                </w:p>
              </w:tc>
              <w:tc>
                <w:tcPr>
                  <w:tcW w:w="394" w:type="pct"/>
                  <w:tcBorders>
                    <w:tl2br w:val="nil"/>
                    <w:tr2bl w:val="nil"/>
                  </w:tcBorders>
                  <w:vAlign w:val="center"/>
                </w:tcPr>
                <w:p w14:paraId="520AC9D9">
                  <w:pPr>
                    <w:pStyle w:val="41"/>
                    <w:adjustRightInd w:val="0"/>
                    <w:snapToGrid w:val="0"/>
                    <w:contextualSpacing w:val="0"/>
                  </w:pPr>
                  <w:r>
                    <w:rPr>
                      <w:rFonts w:hint="eastAsia"/>
                    </w:rPr>
                    <w:t>27</w:t>
                  </w:r>
                </w:p>
              </w:tc>
              <w:tc>
                <w:tcPr>
                  <w:tcW w:w="372" w:type="pct"/>
                  <w:tcBorders>
                    <w:tl2br w:val="nil"/>
                    <w:tr2bl w:val="nil"/>
                  </w:tcBorders>
                  <w:vAlign w:val="center"/>
                </w:tcPr>
                <w:p w14:paraId="520AC9DA">
                  <w:pPr>
                    <w:pStyle w:val="41"/>
                    <w:adjustRightInd w:val="0"/>
                    <w:snapToGrid w:val="0"/>
                    <w:contextualSpacing w:val="0"/>
                  </w:pPr>
                  <w:r>
                    <w:rPr>
                      <w:rFonts w:hint="eastAsia"/>
                    </w:rPr>
                    <w:t>1</w:t>
                  </w:r>
                </w:p>
              </w:tc>
            </w:tr>
            <w:tr w14:paraId="520AC9EB">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152" w:type="pct"/>
                  <w:vMerge w:val="continue"/>
                  <w:tcBorders>
                    <w:tl2br w:val="nil"/>
                    <w:tr2bl w:val="nil"/>
                  </w:tcBorders>
                  <w:vAlign w:val="center"/>
                </w:tcPr>
                <w:p w14:paraId="520AC9DC">
                  <w:pPr>
                    <w:pStyle w:val="41"/>
                    <w:adjustRightInd w:val="0"/>
                    <w:snapToGrid w:val="0"/>
                    <w:contextualSpacing w:val="0"/>
                    <w:rPr>
                      <w:highlight w:val="yellow"/>
                    </w:rPr>
                  </w:pPr>
                </w:p>
              </w:tc>
              <w:tc>
                <w:tcPr>
                  <w:tcW w:w="314" w:type="pct"/>
                  <w:vMerge w:val="continue"/>
                  <w:tcBorders>
                    <w:tl2br w:val="nil"/>
                    <w:tr2bl w:val="nil"/>
                  </w:tcBorders>
                  <w:vAlign w:val="center"/>
                </w:tcPr>
                <w:p w14:paraId="520AC9DD">
                  <w:pPr>
                    <w:pStyle w:val="41"/>
                    <w:adjustRightInd w:val="0"/>
                    <w:snapToGrid w:val="0"/>
                    <w:contextualSpacing w:val="0"/>
                    <w:rPr>
                      <w:highlight w:val="yellow"/>
                    </w:rPr>
                  </w:pPr>
                </w:p>
              </w:tc>
              <w:tc>
                <w:tcPr>
                  <w:tcW w:w="337" w:type="pct"/>
                  <w:vMerge w:val="continue"/>
                  <w:tcBorders>
                    <w:tl2br w:val="nil"/>
                    <w:tr2bl w:val="nil"/>
                  </w:tcBorders>
                  <w:vAlign w:val="center"/>
                </w:tcPr>
                <w:p w14:paraId="520AC9DE">
                  <w:pPr>
                    <w:pStyle w:val="41"/>
                    <w:adjustRightInd w:val="0"/>
                    <w:snapToGrid w:val="0"/>
                    <w:contextualSpacing w:val="0"/>
                    <w:rPr>
                      <w:highlight w:val="yellow"/>
                    </w:rPr>
                  </w:pPr>
                </w:p>
              </w:tc>
              <w:tc>
                <w:tcPr>
                  <w:tcW w:w="450" w:type="pct"/>
                  <w:vMerge w:val="continue"/>
                  <w:tcBorders>
                    <w:tl2br w:val="nil"/>
                    <w:tr2bl w:val="nil"/>
                  </w:tcBorders>
                  <w:vAlign w:val="center"/>
                </w:tcPr>
                <w:p w14:paraId="520AC9DF">
                  <w:pPr>
                    <w:pStyle w:val="41"/>
                    <w:adjustRightInd w:val="0"/>
                    <w:snapToGrid w:val="0"/>
                    <w:contextualSpacing w:val="0"/>
                    <w:rPr>
                      <w:kern w:val="2"/>
                      <w:highlight w:val="yellow"/>
                    </w:rPr>
                  </w:pPr>
                </w:p>
              </w:tc>
              <w:tc>
                <w:tcPr>
                  <w:tcW w:w="281" w:type="pct"/>
                  <w:vMerge w:val="continue"/>
                  <w:tcBorders>
                    <w:tl2br w:val="nil"/>
                    <w:tr2bl w:val="nil"/>
                  </w:tcBorders>
                  <w:vAlign w:val="center"/>
                </w:tcPr>
                <w:p w14:paraId="520AC9E0">
                  <w:pPr>
                    <w:pStyle w:val="41"/>
                    <w:adjustRightInd w:val="0"/>
                    <w:snapToGrid w:val="0"/>
                    <w:contextualSpacing w:val="0"/>
                    <w:rPr>
                      <w:kern w:val="2"/>
                      <w:highlight w:val="yellow"/>
                      <w:lang w:val="en-US"/>
                    </w:rPr>
                  </w:pPr>
                </w:p>
              </w:tc>
              <w:tc>
                <w:tcPr>
                  <w:tcW w:w="394" w:type="pct"/>
                  <w:vMerge w:val="continue"/>
                  <w:tcBorders>
                    <w:tl2br w:val="nil"/>
                    <w:tr2bl w:val="nil"/>
                  </w:tcBorders>
                  <w:vAlign w:val="center"/>
                </w:tcPr>
                <w:p w14:paraId="520AC9E1">
                  <w:pPr>
                    <w:adjustRightInd w:val="0"/>
                    <w:snapToGrid w:val="0"/>
                    <w:jc w:val="center"/>
                    <w:rPr>
                      <w:kern w:val="0"/>
                      <w:szCs w:val="21"/>
                      <w:highlight w:val="yellow"/>
                    </w:rPr>
                  </w:pPr>
                </w:p>
              </w:tc>
              <w:tc>
                <w:tcPr>
                  <w:tcW w:w="225" w:type="pct"/>
                  <w:vMerge w:val="continue"/>
                  <w:tcBorders>
                    <w:tl2br w:val="nil"/>
                    <w:tr2bl w:val="nil"/>
                  </w:tcBorders>
                  <w:vAlign w:val="center"/>
                </w:tcPr>
                <w:p w14:paraId="520AC9E2">
                  <w:pPr>
                    <w:adjustRightInd w:val="0"/>
                    <w:snapToGrid w:val="0"/>
                    <w:jc w:val="center"/>
                    <w:rPr>
                      <w:szCs w:val="21"/>
                      <w:highlight w:val="yellow"/>
                    </w:rPr>
                  </w:pPr>
                </w:p>
              </w:tc>
              <w:tc>
                <w:tcPr>
                  <w:tcW w:w="225" w:type="pct"/>
                  <w:vMerge w:val="continue"/>
                  <w:tcBorders>
                    <w:tl2br w:val="nil"/>
                    <w:tr2bl w:val="nil"/>
                  </w:tcBorders>
                  <w:vAlign w:val="center"/>
                </w:tcPr>
                <w:p w14:paraId="520AC9E3">
                  <w:pPr>
                    <w:adjustRightInd w:val="0"/>
                    <w:snapToGrid w:val="0"/>
                    <w:jc w:val="center"/>
                    <w:rPr>
                      <w:szCs w:val="21"/>
                      <w:highlight w:val="yellow"/>
                    </w:rPr>
                  </w:pPr>
                </w:p>
              </w:tc>
              <w:tc>
                <w:tcPr>
                  <w:tcW w:w="282" w:type="pct"/>
                  <w:vMerge w:val="continue"/>
                  <w:tcBorders>
                    <w:tl2br w:val="nil"/>
                    <w:tr2bl w:val="nil"/>
                  </w:tcBorders>
                  <w:vAlign w:val="center"/>
                </w:tcPr>
                <w:p w14:paraId="520AC9E4">
                  <w:pPr>
                    <w:adjustRightInd w:val="0"/>
                    <w:snapToGrid w:val="0"/>
                    <w:jc w:val="center"/>
                    <w:rPr>
                      <w:szCs w:val="21"/>
                    </w:rPr>
                  </w:pPr>
                </w:p>
              </w:tc>
              <w:tc>
                <w:tcPr>
                  <w:tcW w:w="393" w:type="pct"/>
                  <w:tcBorders>
                    <w:tl2br w:val="nil"/>
                    <w:tr2bl w:val="nil"/>
                  </w:tcBorders>
                  <w:vAlign w:val="center"/>
                </w:tcPr>
                <w:p w14:paraId="520AC9E5">
                  <w:pPr>
                    <w:adjustRightInd w:val="0"/>
                    <w:snapToGrid w:val="0"/>
                    <w:jc w:val="center"/>
                    <w:rPr>
                      <w:szCs w:val="21"/>
                    </w:rPr>
                  </w:pPr>
                  <w:r>
                    <w:rPr>
                      <w:szCs w:val="21"/>
                    </w:rPr>
                    <w:t>北</w:t>
                  </w:r>
                  <w:r>
                    <w:rPr>
                      <w:rFonts w:hint="eastAsia"/>
                      <w:szCs w:val="21"/>
                    </w:rPr>
                    <w:t>19</w:t>
                  </w:r>
                </w:p>
              </w:tc>
              <w:tc>
                <w:tcPr>
                  <w:tcW w:w="450" w:type="pct"/>
                  <w:tcBorders>
                    <w:tl2br w:val="nil"/>
                    <w:tr2bl w:val="nil"/>
                  </w:tcBorders>
                  <w:vAlign w:val="center"/>
                </w:tcPr>
                <w:p w14:paraId="520AC9E6">
                  <w:pPr>
                    <w:adjustRightInd w:val="0"/>
                    <w:snapToGrid w:val="0"/>
                    <w:jc w:val="center"/>
                    <w:rPr>
                      <w:szCs w:val="21"/>
                    </w:rPr>
                  </w:pPr>
                  <w:r>
                    <w:rPr>
                      <w:rFonts w:hint="eastAsia"/>
                      <w:szCs w:val="21"/>
                    </w:rPr>
                    <w:t>54.4</w:t>
                  </w:r>
                </w:p>
              </w:tc>
              <w:tc>
                <w:tcPr>
                  <w:tcW w:w="281" w:type="pct"/>
                  <w:vMerge w:val="continue"/>
                  <w:tcBorders>
                    <w:tl2br w:val="nil"/>
                    <w:tr2bl w:val="nil"/>
                  </w:tcBorders>
                  <w:vAlign w:val="center"/>
                </w:tcPr>
                <w:p w14:paraId="520AC9E7">
                  <w:pPr>
                    <w:pStyle w:val="41"/>
                    <w:adjustRightInd w:val="0"/>
                    <w:snapToGrid w:val="0"/>
                    <w:contextualSpacing w:val="0"/>
                    <w:rPr>
                      <w:kern w:val="2"/>
                      <w:highlight w:val="yellow"/>
                      <w:lang w:val="en-US"/>
                    </w:rPr>
                  </w:pPr>
                </w:p>
              </w:tc>
              <w:tc>
                <w:tcPr>
                  <w:tcW w:w="450" w:type="pct"/>
                  <w:vMerge w:val="continue"/>
                  <w:tcBorders>
                    <w:tl2br w:val="nil"/>
                    <w:tr2bl w:val="nil"/>
                  </w:tcBorders>
                  <w:vAlign w:val="center"/>
                </w:tcPr>
                <w:p w14:paraId="520AC9E8">
                  <w:pPr>
                    <w:pStyle w:val="41"/>
                    <w:adjustRightInd w:val="0"/>
                    <w:snapToGrid w:val="0"/>
                    <w:contextualSpacing w:val="0"/>
                    <w:rPr>
                      <w:highlight w:val="yellow"/>
                      <w:lang w:val="en-US"/>
                    </w:rPr>
                  </w:pPr>
                </w:p>
              </w:tc>
              <w:tc>
                <w:tcPr>
                  <w:tcW w:w="394" w:type="pct"/>
                  <w:tcBorders>
                    <w:tl2br w:val="nil"/>
                    <w:tr2bl w:val="nil"/>
                  </w:tcBorders>
                  <w:vAlign w:val="center"/>
                </w:tcPr>
                <w:p w14:paraId="520AC9E9">
                  <w:pPr>
                    <w:pStyle w:val="41"/>
                    <w:adjustRightInd w:val="0"/>
                    <w:snapToGrid w:val="0"/>
                    <w:contextualSpacing w:val="0"/>
                  </w:pPr>
                  <w:r>
                    <w:rPr>
                      <w:rFonts w:hint="eastAsia"/>
                    </w:rPr>
                    <w:t>29.4</w:t>
                  </w:r>
                </w:p>
              </w:tc>
              <w:tc>
                <w:tcPr>
                  <w:tcW w:w="372" w:type="pct"/>
                  <w:tcBorders>
                    <w:tl2br w:val="nil"/>
                    <w:tr2bl w:val="nil"/>
                  </w:tcBorders>
                  <w:vAlign w:val="center"/>
                </w:tcPr>
                <w:p w14:paraId="520AC9EA">
                  <w:pPr>
                    <w:pStyle w:val="41"/>
                    <w:adjustRightInd w:val="0"/>
                    <w:snapToGrid w:val="0"/>
                    <w:contextualSpacing w:val="0"/>
                  </w:pPr>
                  <w:r>
                    <w:rPr>
                      <w:rFonts w:hint="eastAsia"/>
                    </w:rPr>
                    <w:t>1</w:t>
                  </w:r>
                </w:p>
              </w:tc>
            </w:tr>
            <w:tr w14:paraId="520AC9ED">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5000" w:type="pct"/>
                  <w:gridSpan w:val="15"/>
                  <w:tcBorders>
                    <w:tl2br w:val="nil"/>
                    <w:tr2bl w:val="nil"/>
                  </w:tcBorders>
                  <w:vAlign w:val="center"/>
                </w:tcPr>
                <w:p w14:paraId="520AC9EC">
                  <w:pPr>
                    <w:pStyle w:val="41"/>
                    <w:adjustRightInd w:val="0"/>
                    <w:snapToGrid w:val="0"/>
                    <w:contextualSpacing w:val="0"/>
                    <w:jc w:val="both"/>
                    <w:rPr>
                      <w:highlight w:val="yellow"/>
                    </w:rPr>
                  </w:pPr>
                  <w:r>
                    <w:rPr>
                      <w:rFonts w:eastAsia="黑体"/>
                    </w:rPr>
                    <w:t>注：*</w:t>
                  </w:r>
                  <w:r>
                    <w:rPr>
                      <w:rFonts w:hint="eastAsia" w:eastAsia="黑体"/>
                    </w:rPr>
                    <w:t>建设路厂区</w:t>
                  </w:r>
                  <w:r>
                    <w:rPr>
                      <w:rFonts w:eastAsia="黑体"/>
                    </w:rPr>
                    <w:t>空间坐标的（0,0,0）点为建设路厂区西南角</w:t>
                  </w:r>
                  <w:r>
                    <w:rPr>
                      <w:rFonts w:hint="eastAsia" w:eastAsia="黑体"/>
                    </w:rPr>
                    <w:t>地平线处。解放路厂区空间坐标的（0,0,0）</w:t>
                  </w:r>
                  <w:r>
                    <w:rPr>
                      <w:rFonts w:eastAsia="黑体"/>
                    </w:rPr>
                    <w:t>点为</w:t>
                  </w:r>
                  <w:r>
                    <w:rPr>
                      <w:rFonts w:hint="eastAsia" w:eastAsia="黑体"/>
                    </w:rPr>
                    <w:t>解放</w:t>
                  </w:r>
                  <w:r>
                    <w:rPr>
                      <w:rFonts w:eastAsia="黑体"/>
                    </w:rPr>
                    <w:t>路厂区西南角</w:t>
                  </w:r>
                  <w:r>
                    <w:rPr>
                      <w:rFonts w:hint="eastAsia" w:eastAsia="黑体"/>
                    </w:rPr>
                    <w:t>地平线处。</w:t>
                  </w:r>
                </w:p>
              </w:tc>
            </w:tr>
          </w:tbl>
          <w:p w14:paraId="520AC9EE">
            <w:pPr>
              <w:adjustRightInd w:val="0"/>
              <w:snapToGrid w:val="0"/>
              <w:spacing w:line="460" w:lineRule="exact"/>
              <w:ind w:firstLine="480" w:firstLineChars="200"/>
              <w:rPr>
                <w:rFonts w:eastAsia="黑体"/>
                <w:sz w:val="24"/>
              </w:rPr>
            </w:pPr>
            <w:bookmarkStart w:id="5" w:name="_Ref113462444"/>
            <w:r>
              <w:rPr>
                <w:rFonts w:hint="eastAsia" w:eastAsia="黑体"/>
                <w:sz w:val="24"/>
              </w:rPr>
              <w:t>表</w:t>
            </w:r>
            <w:bookmarkEnd w:id="5"/>
            <w:r>
              <w:rPr>
                <w:rFonts w:hint="eastAsia" w:eastAsia="黑体"/>
                <w:sz w:val="24"/>
              </w:rPr>
              <w:t>71                               工业企业声环境保护目标调查表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614"/>
              <w:gridCol w:w="2009"/>
              <w:gridCol w:w="862"/>
              <w:gridCol w:w="862"/>
              <w:gridCol w:w="864"/>
              <w:gridCol w:w="1000"/>
              <w:gridCol w:w="859"/>
              <w:gridCol w:w="2152"/>
              <w:gridCol w:w="3527"/>
            </w:tblGrid>
            <w:tr w14:paraId="520AC9F7">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Merge w:val="restart"/>
                  <w:vAlign w:val="center"/>
                </w:tcPr>
                <w:p w14:paraId="520AC9EF">
                  <w:pPr>
                    <w:adjustRightInd w:val="0"/>
                    <w:snapToGrid w:val="0"/>
                    <w:jc w:val="center"/>
                    <w:rPr>
                      <w:rFonts w:cs="宋体"/>
                      <w:b/>
                      <w:szCs w:val="20"/>
                    </w:rPr>
                  </w:pPr>
                  <w:r>
                    <w:rPr>
                      <w:rFonts w:cs="宋体"/>
                      <w:b/>
                      <w:szCs w:val="20"/>
                    </w:rPr>
                    <w:t>序号</w:t>
                  </w:r>
                </w:p>
              </w:tc>
              <w:tc>
                <w:tcPr>
                  <w:tcW w:w="788" w:type="pct"/>
                  <w:vMerge w:val="restart"/>
                  <w:vAlign w:val="center"/>
                </w:tcPr>
                <w:p w14:paraId="520AC9F0">
                  <w:pPr>
                    <w:adjustRightInd w:val="0"/>
                    <w:snapToGrid w:val="0"/>
                    <w:jc w:val="center"/>
                    <w:rPr>
                      <w:rFonts w:cs="宋体"/>
                      <w:b/>
                      <w:szCs w:val="20"/>
                    </w:rPr>
                  </w:pPr>
                  <w:r>
                    <w:rPr>
                      <w:rFonts w:hint="eastAsia" w:cs="宋体"/>
                      <w:b/>
                      <w:szCs w:val="20"/>
                    </w:rPr>
                    <w:t>声环境保护</w:t>
                  </w:r>
                </w:p>
                <w:p w14:paraId="520AC9F1">
                  <w:pPr>
                    <w:adjustRightInd w:val="0"/>
                    <w:snapToGrid w:val="0"/>
                    <w:jc w:val="center"/>
                    <w:rPr>
                      <w:rFonts w:cs="宋体"/>
                      <w:b/>
                      <w:szCs w:val="20"/>
                    </w:rPr>
                  </w:pPr>
                  <w:r>
                    <w:rPr>
                      <w:rFonts w:hint="eastAsia" w:cs="宋体"/>
                      <w:b/>
                      <w:szCs w:val="20"/>
                    </w:rPr>
                    <w:t>目标名称</w:t>
                  </w:r>
                </w:p>
              </w:tc>
              <w:tc>
                <w:tcPr>
                  <w:tcW w:w="1015" w:type="pct"/>
                  <w:gridSpan w:val="3"/>
                  <w:vAlign w:val="center"/>
                </w:tcPr>
                <w:p w14:paraId="520AC9F2">
                  <w:pPr>
                    <w:adjustRightInd w:val="0"/>
                    <w:snapToGrid w:val="0"/>
                    <w:jc w:val="center"/>
                    <w:rPr>
                      <w:rFonts w:cs="宋体"/>
                      <w:b/>
                      <w:szCs w:val="20"/>
                    </w:rPr>
                  </w:pPr>
                  <w:r>
                    <w:rPr>
                      <w:rFonts w:cs="宋体"/>
                      <w:b/>
                      <w:szCs w:val="20"/>
                    </w:rPr>
                    <w:t>空间相对位置</w:t>
                  </w:r>
                  <w:r>
                    <w:rPr>
                      <w:rFonts w:hint="eastAsia"/>
                      <w:szCs w:val="21"/>
                      <w:u w:val="single"/>
                    </w:rPr>
                    <w:t>*</w:t>
                  </w:r>
                  <w:r>
                    <w:rPr>
                      <w:rFonts w:hint="eastAsia" w:cs="宋体"/>
                      <w:b/>
                      <w:szCs w:val="20"/>
                    </w:rPr>
                    <w:t>/</w:t>
                  </w:r>
                  <w:r>
                    <w:rPr>
                      <w:rFonts w:cs="宋体"/>
                      <w:b/>
                      <w:szCs w:val="20"/>
                    </w:rPr>
                    <w:t>m</w:t>
                  </w:r>
                </w:p>
              </w:tc>
              <w:tc>
                <w:tcPr>
                  <w:tcW w:w="392" w:type="pct"/>
                  <w:vMerge w:val="restart"/>
                  <w:vAlign w:val="center"/>
                </w:tcPr>
                <w:p w14:paraId="520AC9F3">
                  <w:pPr>
                    <w:adjustRightInd w:val="0"/>
                    <w:snapToGrid w:val="0"/>
                    <w:jc w:val="center"/>
                    <w:rPr>
                      <w:rFonts w:cs="宋体"/>
                      <w:b/>
                      <w:szCs w:val="20"/>
                    </w:rPr>
                  </w:pPr>
                  <w:r>
                    <w:rPr>
                      <w:rFonts w:hint="eastAsia" w:cs="宋体"/>
                      <w:b/>
                      <w:szCs w:val="20"/>
                    </w:rPr>
                    <w:t>距厂界最近距离/m</w:t>
                  </w:r>
                </w:p>
              </w:tc>
              <w:tc>
                <w:tcPr>
                  <w:tcW w:w="337" w:type="pct"/>
                  <w:vMerge w:val="restart"/>
                  <w:vAlign w:val="center"/>
                </w:tcPr>
                <w:p w14:paraId="520AC9F4">
                  <w:pPr>
                    <w:adjustRightInd w:val="0"/>
                    <w:snapToGrid w:val="0"/>
                    <w:jc w:val="center"/>
                    <w:rPr>
                      <w:rFonts w:cs="宋体"/>
                      <w:b/>
                      <w:szCs w:val="20"/>
                    </w:rPr>
                  </w:pPr>
                  <w:r>
                    <w:rPr>
                      <w:rFonts w:hint="eastAsia" w:cs="宋体"/>
                      <w:b/>
                      <w:szCs w:val="20"/>
                    </w:rPr>
                    <w:t>方位</w:t>
                  </w:r>
                </w:p>
              </w:tc>
              <w:tc>
                <w:tcPr>
                  <w:tcW w:w="844" w:type="pct"/>
                  <w:vMerge w:val="restart"/>
                  <w:vAlign w:val="center"/>
                </w:tcPr>
                <w:p w14:paraId="520AC9F5">
                  <w:pPr>
                    <w:adjustRightInd w:val="0"/>
                    <w:snapToGrid w:val="0"/>
                    <w:jc w:val="center"/>
                    <w:rPr>
                      <w:rFonts w:cs="宋体"/>
                      <w:b/>
                      <w:szCs w:val="20"/>
                    </w:rPr>
                  </w:pPr>
                  <w:r>
                    <w:rPr>
                      <w:rFonts w:hint="eastAsia" w:cs="宋体"/>
                      <w:b/>
                      <w:szCs w:val="20"/>
                    </w:rPr>
                    <w:t>执行标准/功能区类别</w:t>
                  </w:r>
                </w:p>
              </w:tc>
              <w:tc>
                <w:tcPr>
                  <w:tcW w:w="1383" w:type="pct"/>
                  <w:vMerge w:val="restart"/>
                  <w:vAlign w:val="center"/>
                </w:tcPr>
                <w:p w14:paraId="520AC9F6">
                  <w:pPr>
                    <w:adjustRightInd w:val="0"/>
                    <w:snapToGrid w:val="0"/>
                    <w:jc w:val="center"/>
                    <w:rPr>
                      <w:rFonts w:cs="宋体"/>
                      <w:b/>
                      <w:szCs w:val="20"/>
                    </w:rPr>
                  </w:pPr>
                  <w:r>
                    <w:rPr>
                      <w:rFonts w:hint="eastAsia" w:cs="宋体"/>
                      <w:b/>
                      <w:szCs w:val="20"/>
                    </w:rPr>
                    <w:t>声环境保护目标情况说明</w:t>
                  </w:r>
                </w:p>
              </w:tc>
            </w:tr>
            <w:tr w14:paraId="520ACA01">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Merge w:val="continue"/>
                  <w:vAlign w:val="center"/>
                </w:tcPr>
                <w:p w14:paraId="520AC9F8">
                  <w:pPr>
                    <w:adjustRightInd w:val="0"/>
                    <w:snapToGrid w:val="0"/>
                    <w:jc w:val="center"/>
                    <w:rPr>
                      <w:rFonts w:cs="宋体"/>
                      <w:b/>
                      <w:szCs w:val="20"/>
                      <w:highlight w:val="yellow"/>
                    </w:rPr>
                  </w:pPr>
                </w:p>
              </w:tc>
              <w:tc>
                <w:tcPr>
                  <w:tcW w:w="788" w:type="pct"/>
                  <w:vMerge w:val="continue"/>
                  <w:vAlign w:val="center"/>
                </w:tcPr>
                <w:p w14:paraId="520AC9F9">
                  <w:pPr>
                    <w:adjustRightInd w:val="0"/>
                    <w:snapToGrid w:val="0"/>
                    <w:jc w:val="center"/>
                    <w:rPr>
                      <w:rFonts w:cs="宋体"/>
                      <w:b/>
                      <w:szCs w:val="20"/>
                      <w:highlight w:val="yellow"/>
                    </w:rPr>
                  </w:pPr>
                </w:p>
              </w:tc>
              <w:tc>
                <w:tcPr>
                  <w:tcW w:w="338" w:type="pct"/>
                  <w:vAlign w:val="center"/>
                </w:tcPr>
                <w:p w14:paraId="520AC9FA">
                  <w:pPr>
                    <w:adjustRightInd w:val="0"/>
                    <w:snapToGrid w:val="0"/>
                    <w:jc w:val="center"/>
                    <w:rPr>
                      <w:rFonts w:cs="宋体"/>
                      <w:b/>
                      <w:szCs w:val="20"/>
                    </w:rPr>
                  </w:pPr>
                  <w:r>
                    <w:rPr>
                      <w:rFonts w:hint="eastAsia" w:cs="宋体"/>
                      <w:b/>
                      <w:szCs w:val="20"/>
                    </w:rPr>
                    <w:t>X</w:t>
                  </w:r>
                </w:p>
              </w:tc>
              <w:tc>
                <w:tcPr>
                  <w:tcW w:w="338" w:type="pct"/>
                  <w:vAlign w:val="center"/>
                </w:tcPr>
                <w:p w14:paraId="520AC9FB">
                  <w:pPr>
                    <w:adjustRightInd w:val="0"/>
                    <w:snapToGrid w:val="0"/>
                    <w:jc w:val="center"/>
                    <w:rPr>
                      <w:rFonts w:cs="宋体"/>
                      <w:b/>
                      <w:szCs w:val="20"/>
                    </w:rPr>
                  </w:pPr>
                  <w:r>
                    <w:rPr>
                      <w:rFonts w:hint="eastAsia" w:cs="宋体"/>
                      <w:b/>
                      <w:szCs w:val="20"/>
                    </w:rPr>
                    <w:t>Y</w:t>
                  </w:r>
                </w:p>
              </w:tc>
              <w:tc>
                <w:tcPr>
                  <w:tcW w:w="339" w:type="pct"/>
                  <w:vAlign w:val="center"/>
                </w:tcPr>
                <w:p w14:paraId="520AC9FC">
                  <w:pPr>
                    <w:adjustRightInd w:val="0"/>
                    <w:snapToGrid w:val="0"/>
                    <w:jc w:val="center"/>
                    <w:rPr>
                      <w:rFonts w:cs="宋体"/>
                      <w:b/>
                      <w:szCs w:val="20"/>
                    </w:rPr>
                  </w:pPr>
                  <w:r>
                    <w:rPr>
                      <w:rFonts w:hint="eastAsia" w:cs="宋体"/>
                      <w:b/>
                      <w:szCs w:val="20"/>
                    </w:rPr>
                    <w:t>Z</w:t>
                  </w:r>
                </w:p>
              </w:tc>
              <w:tc>
                <w:tcPr>
                  <w:tcW w:w="392" w:type="pct"/>
                  <w:vMerge w:val="continue"/>
                  <w:vAlign w:val="center"/>
                </w:tcPr>
                <w:p w14:paraId="520AC9FD">
                  <w:pPr>
                    <w:adjustRightInd w:val="0"/>
                    <w:snapToGrid w:val="0"/>
                    <w:jc w:val="center"/>
                    <w:rPr>
                      <w:rFonts w:cs="宋体"/>
                      <w:b/>
                      <w:szCs w:val="20"/>
                      <w:highlight w:val="yellow"/>
                    </w:rPr>
                  </w:pPr>
                </w:p>
              </w:tc>
              <w:tc>
                <w:tcPr>
                  <w:tcW w:w="337" w:type="pct"/>
                  <w:vMerge w:val="continue"/>
                  <w:vAlign w:val="center"/>
                </w:tcPr>
                <w:p w14:paraId="520AC9FE">
                  <w:pPr>
                    <w:adjustRightInd w:val="0"/>
                    <w:snapToGrid w:val="0"/>
                    <w:jc w:val="center"/>
                    <w:rPr>
                      <w:rFonts w:cs="宋体"/>
                      <w:b/>
                      <w:szCs w:val="20"/>
                      <w:highlight w:val="yellow"/>
                    </w:rPr>
                  </w:pPr>
                </w:p>
              </w:tc>
              <w:tc>
                <w:tcPr>
                  <w:tcW w:w="844" w:type="pct"/>
                  <w:vMerge w:val="continue"/>
                  <w:vAlign w:val="center"/>
                </w:tcPr>
                <w:p w14:paraId="520AC9FF">
                  <w:pPr>
                    <w:adjustRightInd w:val="0"/>
                    <w:snapToGrid w:val="0"/>
                    <w:jc w:val="center"/>
                    <w:rPr>
                      <w:rFonts w:cs="宋体"/>
                      <w:b/>
                      <w:szCs w:val="20"/>
                    </w:rPr>
                  </w:pPr>
                </w:p>
              </w:tc>
              <w:tc>
                <w:tcPr>
                  <w:tcW w:w="1383" w:type="pct"/>
                  <w:vMerge w:val="continue"/>
                  <w:vAlign w:val="center"/>
                </w:tcPr>
                <w:p w14:paraId="520ACA00">
                  <w:pPr>
                    <w:adjustRightInd w:val="0"/>
                    <w:snapToGrid w:val="0"/>
                    <w:jc w:val="center"/>
                    <w:rPr>
                      <w:rFonts w:cs="宋体"/>
                      <w:b/>
                      <w:szCs w:val="20"/>
                    </w:rPr>
                  </w:pPr>
                </w:p>
              </w:tc>
            </w:tr>
            <w:tr w14:paraId="520ACA03">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5000" w:type="pct"/>
                  <w:gridSpan w:val="9"/>
                  <w:vAlign w:val="center"/>
                </w:tcPr>
                <w:p w14:paraId="520ACA02">
                  <w:pPr>
                    <w:pStyle w:val="41"/>
                    <w:adjustRightInd w:val="0"/>
                    <w:snapToGrid w:val="0"/>
                    <w:contextualSpacing w:val="0"/>
                    <w:rPr>
                      <w:b/>
                      <w:bCs/>
                    </w:rPr>
                  </w:pPr>
                  <w:r>
                    <w:rPr>
                      <w:rFonts w:hint="eastAsia"/>
                      <w:b/>
                      <w:bCs/>
                    </w:rPr>
                    <w:t>建设路厂区</w:t>
                  </w:r>
                </w:p>
              </w:tc>
            </w:tr>
            <w:tr w14:paraId="520ACA0D">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04">
                  <w:pPr>
                    <w:autoSpaceDE w:val="0"/>
                    <w:autoSpaceDN w:val="0"/>
                    <w:adjustRightInd w:val="0"/>
                    <w:snapToGrid w:val="0"/>
                    <w:jc w:val="center"/>
                    <w:rPr>
                      <w:szCs w:val="21"/>
                    </w:rPr>
                  </w:pPr>
                  <w:r>
                    <w:rPr>
                      <w:szCs w:val="21"/>
                    </w:rPr>
                    <w:t>1</w:t>
                  </w:r>
                </w:p>
              </w:tc>
              <w:tc>
                <w:tcPr>
                  <w:tcW w:w="788" w:type="pct"/>
                  <w:vAlign w:val="center"/>
                </w:tcPr>
                <w:p w14:paraId="520ACA05">
                  <w:pPr>
                    <w:autoSpaceDE w:val="0"/>
                    <w:autoSpaceDN w:val="0"/>
                    <w:adjustRightInd w:val="0"/>
                    <w:snapToGrid w:val="0"/>
                    <w:jc w:val="center"/>
                    <w:rPr>
                      <w:szCs w:val="21"/>
                    </w:rPr>
                  </w:pPr>
                  <w:r>
                    <w:rPr>
                      <w:szCs w:val="21"/>
                    </w:rPr>
                    <w:t>新乡市第一实验学校</w:t>
                  </w:r>
                </w:p>
              </w:tc>
              <w:tc>
                <w:tcPr>
                  <w:tcW w:w="338" w:type="pct"/>
                  <w:vAlign w:val="center"/>
                </w:tcPr>
                <w:p w14:paraId="520ACA06">
                  <w:pPr>
                    <w:autoSpaceDE w:val="0"/>
                    <w:autoSpaceDN w:val="0"/>
                    <w:adjustRightInd w:val="0"/>
                    <w:snapToGrid w:val="0"/>
                    <w:jc w:val="center"/>
                    <w:rPr>
                      <w:szCs w:val="21"/>
                    </w:rPr>
                  </w:pPr>
                  <w:r>
                    <w:rPr>
                      <w:rFonts w:eastAsia="等线"/>
                      <w:szCs w:val="21"/>
                    </w:rPr>
                    <w:t>422</w:t>
                  </w:r>
                </w:p>
              </w:tc>
              <w:tc>
                <w:tcPr>
                  <w:tcW w:w="338" w:type="pct"/>
                  <w:vAlign w:val="center"/>
                </w:tcPr>
                <w:p w14:paraId="520ACA07">
                  <w:pPr>
                    <w:autoSpaceDE w:val="0"/>
                    <w:autoSpaceDN w:val="0"/>
                    <w:adjustRightInd w:val="0"/>
                    <w:snapToGrid w:val="0"/>
                    <w:jc w:val="center"/>
                    <w:rPr>
                      <w:szCs w:val="21"/>
                    </w:rPr>
                  </w:pPr>
                  <w:r>
                    <w:rPr>
                      <w:rFonts w:eastAsia="等线"/>
                      <w:szCs w:val="21"/>
                    </w:rPr>
                    <w:t>238</w:t>
                  </w:r>
                </w:p>
              </w:tc>
              <w:tc>
                <w:tcPr>
                  <w:tcW w:w="339" w:type="pct"/>
                  <w:vAlign w:val="center"/>
                </w:tcPr>
                <w:p w14:paraId="520ACA08">
                  <w:pPr>
                    <w:autoSpaceDE w:val="0"/>
                    <w:autoSpaceDN w:val="0"/>
                    <w:adjustRightInd w:val="0"/>
                    <w:snapToGrid w:val="0"/>
                    <w:jc w:val="center"/>
                    <w:rPr>
                      <w:szCs w:val="21"/>
                    </w:rPr>
                  </w:pPr>
                  <w:r>
                    <w:rPr>
                      <w:rFonts w:hint="eastAsia"/>
                      <w:szCs w:val="21"/>
                    </w:rPr>
                    <w:t>1.2</w:t>
                  </w:r>
                </w:p>
              </w:tc>
              <w:tc>
                <w:tcPr>
                  <w:tcW w:w="392" w:type="pct"/>
                  <w:vAlign w:val="center"/>
                </w:tcPr>
                <w:p w14:paraId="520ACA09">
                  <w:pPr>
                    <w:autoSpaceDE w:val="0"/>
                    <w:autoSpaceDN w:val="0"/>
                    <w:adjustRightInd w:val="0"/>
                    <w:snapToGrid w:val="0"/>
                    <w:jc w:val="center"/>
                    <w:rPr>
                      <w:szCs w:val="21"/>
                    </w:rPr>
                  </w:pPr>
                  <w:r>
                    <w:rPr>
                      <w:rFonts w:hint="eastAsia"/>
                      <w:szCs w:val="21"/>
                    </w:rPr>
                    <w:t>7</w:t>
                  </w:r>
                </w:p>
              </w:tc>
              <w:tc>
                <w:tcPr>
                  <w:tcW w:w="337" w:type="pct"/>
                  <w:vAlign w:val="center"/>
                </w:tcPr>
                <w:p w14:paraId="520ACA0A">
                  <w:pPr>
                    <w:autoSpaceDE w:val="0"/>
                    <w:autoSpaceDN w:val="0"/>
                    <w:adjustRightInd w:val="0"/>
                    <w:snapToGrid w:val="0"/>
                    <w:jc w:val="center"/>
                    <w:rPr>
                      <w:szCs w:val="21"/>
                    </w:rPr>
                  </w:pPr>
                  <w:r>
                    <w:rPr>
                      <w:rFonts w:hint="eastAsia"/>
                      <w:szCs w:val="21"/>
                    </w:rPr>
                    <w:t>东</w:t>
                  </w:r>
                </w:p>
              </w:tc>
              <w:tc>
                <w:tcPr>
                  <w:tcW w:w="844" w:type="pct"/>
                  <w:vAlign w:val="center"/>
                </w:tcPr>
                <w:p w14:paraId="520ACA0B">
                  <w:pPr>
                    <w:adjustRightInd w:val="0"/>
                    <w:snapToGrid w:val="0"/>
                    <w:jc w:val="center"/>
                    <w:textAlignment w:val="baseline"/>
                    <w:rPr>
                      <w:kern w:val="0"/>
                      <w:szCs w:val="21"/>
                    </w:rPr>
                  </w:pPr>
                  <w:r>
                    <w:rPr>
                      <w:rFonts w:hint="eastAsia"/>
                      <w:szCs w:val="21"/>
                    </w:rPr>
                    <w:t>《声环境质量标准》（</w:t>
                  </w:r>
                  <w:r>
                    <w:rPr>
                      <w:szCs w:val="21"/>
                    </w:rPr>
                    <w:t>GB3096</w:t>
                  </w:r>
                  <w:r>
                    <w:rPr>
                      <w:rFonts w:hint="eastAsia"/>
                      <w:szCs w:val="21"/>
                    </w:rPr>
                    <w:t>-2008）1类</w:t>
                  </w:r>
                </w:p>
              </w:tc>
              <w:tc>
                <w:tcPr>
                  <w:tcW w:w="1383" w:type="pct"/>
                  <w:vAlign w:val="center"/>
                </w:tcPr>
                <w:p w14:paraId="520ACA0C">
                  <w:pPr>
                    <w:pStyle w:val="41"/>
                    <w:adjustRightInd w:val="0"/>
                    <w:snapToGrid w:val="0"/>
                    <w:contextualSpacing w:val="0"/>
                  </w:pPr>
                  <w:r>
                    <w:t>占地13895</w:t>
                  </w:r>
                  <w:r>
                    <w:rPr>
                      <w:rFonts w:hint="eastAsia"/>
                    </w:rPr>
                    <w:t>m</w:t>
                  </w:r>
                  <w:r>
                    <w:rPr>
                      <w:rFonts w:hint="eastAsia"/>
                      <w:vertAlign w:val="superscript"/>
                    </w:rPr>
                    <w:t>2</w:t>
                  </w:r>
                  <w:r>
                    <w:rPr>
                      <w:rFonts w:hint="eastAsia"/>
                    </w:rPr>
                    <w:t>，</w:t>
                  </w:r>
                  <w:r>
                    <w:t>在校</w:t>
                  </w:r>
                  <w:r>
                    <w:rPr>
                      <w:rFonts w:hint="eastAsia"/>
                    </w:rPr>
                    <w:t>师生约940</w:t>
                  </w:r>
                  <w:r>
                    <w:t>人</w:t>
                  </w:r>
                </w:p>
              </w:tc>
            </w:tr>
            <w:tr w14:paraId="520ACA17">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0E">
                  <w:pPr>
                    <w:autoSpaceDE w:val="0"/>
                    <w:autoSpaceDN w:val="0"/>
                    <w:adjustRightInd w:val="0"/>
                    <w:snapToGrid w:val="0"/>
                    <w:jc w:val="center"/>
                    <w:rPr>
                      <w:szCs w:val="21"/>
                    </w:rPr>
                  </w:pPr>
                  <w:r>
                    <w:rPr>
                      <w:rFonts w:hint="eastAsia"/>
                      <w:szCs w:val="21"/>
                    </w:rPr>
                    <w:t>2</w:t>
                  </w:r>
                </w:p>
              </w:tc>
              <w:tc>
                <w:tcPr>
                  <w:tcW w:w="788" w:type="pct"/>
                  <w:vAlign w:val="center"/>
                </w:tcPr>
                <w:p w14:paraId="520ACA0F">
                  <w:pPr>
                    <w:autoSpaceDE w:val="0"/>
                    <w:autoSpaceDN w:val="0"/>
                    <w:adjustRightInd w:val="0"/>
                    <w:snapToGrid w:val="0"/>
                    <w:jc w:val="center"/>
                    <w:rPr>
                      <w:szCs w:val="21"/>
                    </w:rPr>
                  </w:pPr>
                  <w:r>
                    <w:rPr>
                      <w:szCs w:val="21"/>
                    </w:rPr>
                    <w:t>坛后新村</w:t>
                  </w:r>
                </w:p>
              </w:tc>
              <w:tc>
                <w:tcPr>
                  <w:tcW w:w="338" w:type="pct"/>
                  <w:vAlign w:val="center"/>
                </w:tcPr>
                <w:p w14:paraId="520ACA10">
                  <w:pPr>
                    <w:autoSpaceDE w:val="0"/>
                    <w:autoSpaceDN w:val="0"/>
                    <w:adjustRightInd w:val="0"/>
                    <w:snapToGrid w:val="0"/>
                    <w:jc w:val="center"/>
                    <w:rPr>
                      <w:szCs w:val="21"/>
                    </w:rPr>
                  </w:pPr>
                  <w:r>
                    <w:rPr>
                      <w:rFonts w:eastAsia="等线"/>
                      <w:sz w:val="22"/>
                      <w:szCs w:val="22"/>
                    </w:rPr>
                    <w:t>215</w:t>
                  </w:r>
                </w:p>
              </w:tc>
              <w:tc>
                <w:tcPr>
                  <w:tcW w:w="338" w:type="pct"/>
                  <w:vAlign w:val="center"/>
                </w:tcPr>
                <w:p w14:paraId="520ACA11">
                  <w:pPr>
                    <w:autoSpaceDE w:val="0"/>
                    <w:autoSpaceDN w:val="0"/>
                    <w:adjustRightInd w:val="0"/>
                    <w:snapToGrid w:val="0"/>
                    <w:jc w:val="center"/>
                    <w:rPr>
                      <w:szCs w:val="21"/>
                    </w:rPr>
                  </w:pPr>
                  <w:r>
                    <w:rPr>
                      <w:rFonts w:eastAsia="等线"/>
                      <w:sz w:val="22"/>
                      <w:szCs w:val="22"/>
                    </w:rPr>
                    <w:t>458</w:t>
                  </w:r>
                </w:p>
              </w:tc>
              <w:tc>
                <w:tcPr>
                  <w:tcW w:w="339" w:type="pct"/>
                  <w:vAlign w:val="center"/>
                </w:tcPr>
                <w:p w14:paraId="520ACA12">
                  <w:pPr>
                    <w:autoSpaceDE w:val="0"/>
                    <w:autoSpaceDN w:val="0"/>
                    <w:adjustRightInd w:val="0"/>
                    <w:snapToGrid w:val="0"/>
                    <w:jc w:val="center"/>
                    <w:rPr>
                      <w:szCs w:val="21"/>
                    </w:rPr>
                  </w:pPr>
                  <w:r>
                    <w:rPr>
                      <w:rFonts w:hint="eastAsia"/>
                      <w:szCs w:val="21"/>
                    </w:rPr>
                    <w:t>1.2</w:t>
                  </w:r>
                </w:p>
              </w:tc>
              <w:tc>
                <w:tcPr>
                  <w:tcW w:w="392" w:type="pct"/>
                  <w:vAlign w:val="center"/>
                </w:tcPr>
                <w:p w14:paraId="520ACA13">
                  <w:pPr>
                    <w:autoSpaceDE w:val="0"/>
                    <w:autoSpaceDN w:val="0"/>
                    <w:adjustRightInd w:val="0"/>
                    <w:snapToGrid w:val="0"/>
                    <w:jc w:val="center"/>
                    <w:rPr>
                      <w:szCs w:val="21"/>
                    </w:rPr>
                  </w:pPr>
                  <w:r>
                    <w:rPr>
                      <w:rFonts w:hint="eastAsia"/>
                      <w:szCs w:val="21"/>
                    </w:rPr>
                    <w:t>2</w:t>
                  </w:r>
                </w:p>
              </w:tc>
              <w:tc>
                <w:tcPr>
                  <w:tcW w:w="337" w:type="pct"/>
                  <w:vAlign w:val="center"/>
                </w:tcPr>
                <w:p w14:paraId="520ACA14">
                  <w:pPr>
                    <w:autoSpaceDE w:val="0"/>
                    <w:autoSpaceDN w:val="0"/>
                    <w:adjustRightInd w:val="0"/>
                    <w:snapToGrid w:val="0"/>
                    <w:jc w:val="center"/>
                    <w:rPr>
                      <w:szCs w:val="21"/>
                    </w:rPr>
                  </w:pPr>
                  <w:r>
                    <w:rPr>
                      <w:rFonts w:hint="eastAsia"/>
                      <w:szCs w:val="21"/>
                    </w:rPr>
                    <w:t>北</w:t>
                  </w:r>
                </w:p>
              </w:tc>
              <w:tc>
                <w:tcPr>
                  <w:tcW w:w="844" w:type="pct"/>
                  <w:vMerge w:val="restart"/>
                  <w:vAlign w:val="center"/>
                </w:tcPr>
                <w:p w14:paraId="520ACA15">
                  <w:pPr>
                    <w:adjustRightInd w:val="0"/>
                    <w:snapToGrid w:val="0"/>
                    <w:jc w:val="center"/>
                    <w:textAlignment w:val="baseline"/>
                    <w:rPr>
                      <w:kern w:val="0"/>
                      <w:szCs w:val="21"/>
                    </w:rPr>
                  </w:pPr>
                  <w:r>
                    <w:rPr>
                      <w:rFonts w:hint="eastAsia"/>
                      <w:kern w:val="0"/>
                      <w:szCs w:val="21"/>
                    </w:rPr>
                    <w:t>《声环境质量标准》（</w:t>
                  </w:r>
                  <w:r>
                    <w:rPr>
                      <w:kern w:val="0"/>
                      <w:szCs w:val="21"/>
                    </w:rPr>
                    <w:t>GB3096</w:t>
                  </w:r>
                  <w:r>
                    <w:rPr>
                      <w:rFonts w:hint="eastAsia"/>
                      <w:kern w:val="0"/>
                      <w:szCs w:val="21"/>
                    </w:rPr>
                    <w:t>-2008）2类</w:t>
                  </w:r>
                </w:p>
              </w:tc>
              <w:tc>
                <w:tcPr>
                  <w:tcW w:w="1383" w:type="pct"/>
                  <w:vAlign w:val="center"/>
                </w:tcPr>
                <w:p w14:paraId="520ACA16">
                  <w:pPr>
                    <w:pStyle w:val="41"/>
                    <w:adjustRightInd w:val="0"/>
                    <w:snapToGrid w:val="0"/>
                    <w:contextualSpacing w:val="0"/>
                  </w:pPr>
                  <w:r>
                    <w:rPr>
                      <w:rFonts w:hint="eastAsia"/>
                    </w:rPr>
                    <w:t>12栋，6层，南北朝向，约266户</w:t>
                  </w:r>
                </w:p>
              </w:tc>
            </w:tr>
            <w:tr w14:paraId="520ACA21">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18">
                  <w:pPr>
                    <w:autoSpaceDE w:val="0"/>
                    <w:autoSpaceDN w:val="0"/>
                    <w:adjustRightInd w:val="0"/>
                    <w:snapToGrid w:val="0"/>
                    <w:jc w:val="center"/>
                    <w:rPr>
                      <w:szCs w:val="21"/>
                    </w:rPr>
                  </w:pPr>
                  <w:r>
                    <w:rPr>
                      <w:rFonts w:hint="eastAsia"/>
                      <w:szCs w:val="21"/>
                    </w:rPr>
                    <w:t>3</w:t>
                  </w:r>
                </w:p>
              </w:tc>
              <w:tc>
                <w:tcPr>
                  <w:tcW w:w="788" w:type="pct"/>
                  <w:vAlign w:val="center"/>
                </w:tcPr>
                <w:p w14:paraId="520ACA19">
                  <w:pPr>
                    <w:autoSpaceDE w:val="0"/>
                    <w:autoSpaceDN w:val="0"/>
                    <w:adjustRightInd w:val="0"/>
                    <w:snapToGrid w:val="0"/>
                    <w:jc w:val="center"/>
                    <w:rPr>
                      <w:szCs w:val="21"/>
                    </w:rPr>
                  </w:pPr>
                  <w:r>
                    <w:rPr>
                      <w:szCs w:val="21"/>
                    </w:rPr>
                    <w:t>静馨嘉园小区</w:t>
                  </w:r>
                </w:p>
              </w:tc>
              <w:tc>
                <w:tcPr>
                  <w:tcW w:w="338" w:type="pct"/>
                  <w:vAlign w:val="center"/>
                </w:tcPr>
                <w:p w14:paraId="520ACA1A">
                  <w:pPr>
                    <w:autoSpaceDE w:val="0"/>
                    <w:autoSpaceDN w:val="0"/>
                    <w:adjustRightInd w:val="0"/>
                    <w:snapToGrid w:val="0"/>
                    <w:jc w:val="center"/>
                    <w:rPr>
                      <w:szCs w:val="21"/>
                    </w:rPr>
                  </w:pPr>
                  <w:r>
                    <w:rPr>
                      <w:rFonts w:eastAsia="等线"/>
                      <w:sz w:val="22"/>
                      <w:szCs w:val="22"/>
                    </w:rPr>
                    <w:t>422</w:t>
                  </w:r>
                </w:p>
              </w:tc>
              <w:tc>
                <w:tcPr>
                  <w:tcW w:w="338" w:type="pct"/>
                  <w:vAlign w:val="center"/>
                </w:tcPr>
                <w:p w14:paraId="520ACA1B">
                  <w:pPr>
                    <w:autoSpaceDE w:val="0"/>
                    <w:autoSpaceDN w:val="0"/>
                    <w:adjustRightInd w:val="0"/>
                    <w:snapToGrid w:val="0"/>
                    <w:jc w:val="center"/>
                    <w:rPr>
                      <w:szCs w:val="21"/>
                    </w:rPr>
                  </w:pPr>
                  <w:r>
                    <w:rPr>
                      <w:rFonts w:eastAsia="等线"/>
                      <w:sz w:val="22"/>
                      <w:szCs w:val="22"/>
                    </w:rPr>
                    <w:t>323</w:t>
                  </w:r>
                </w:p>
              </w:tc>
              <w:tc>
                <w:tcPr>
                  <w:tcW w:w="339" w:type="pct"/>
                  <w:vAlign w:val="center"/>
                </w:tcPr>
                <w:p w14:paraId="520ACA1C">
                  <w:pPr>
                    <w:autoSpaceDE w:val="0"/>
                    <w:autoSpaceDN w:val="0"/>
                    <w:adjustRightInd w:val="0"/>
                    <w:snapToGrid w:val="0"/>
                    <w:jc w:val="center"/>
                    <w:rPr>
                      <w:szCs w:val="21"/>
                    </w:rPr>
                  </w:pPr>
                  <w:r>
                    <w:rPr>
                      <w:rFonts w:hint="eastAsia"/>
                      <w:szCs w:val="21"/>
                    </w:rPr>
                    <w:t>1.2</w:t>
                  </w:r>
                </w:p>
              </w:tc>
              <w:tc>
                <w:tcPr>
                  <w:tcW w:w="392" w:type="pct"/>
                  <w:vAlign w:val="center"/>
                </w:tcPr>
                <w:p w14:paraId="520ACA1D">
                  <w:pPr>
                    <w:autoSpaceDE w:val="0"/>
                    <w:autoSpaceDN w:val="0"/>
                    <w:adjustRightInd w:val="0"/>
                    <w:snapToGrid w:val="0"/>
                    <w:jc w:val="center"/>
                    <w:rPr>
                      <w:szCs w:val="21"/>
                    </w:rPr>
                  </w:pPr>
                  <w:r>
                    <w:rPr>
                      <w:rFonts w:hint="eastAsia"/>
                      <w:szCs w:val="21"/>
                    </w:rPr>
                    <w:t>7</w:t>
                  </w:r>
                </w:p>
              </w:tc>
              <w:tc>
                <w:tcPr>
                  <w:tcW w:w="337" w:type="pct"/>
                  <w:vAlign w:val="center"/>
                </w:tcPr>
                <w:p w14:paraId="520ACA1E">
                  <w:pPr>
                    <w:autoSpaceDE w:val="0"/>
                    <w:autoSpaceDN w:val="0"/>
                    <w:adjustRightInd w:val="0"/>
                    <w:snapToGrid w:val="0"/>
                    <w:jc w:val="center"/>
                    <w:rPr>
                      <w:szCs w:val="21"/>
                    </w:rPr>
                  </w:pPr>
                  <w:r>
                    <w:rPr>
                      <w:rFonts w:hint="eastAsia"/>
                      <w:szCs w:val="21"/>
                    </w:rPr>
                    <w:t>东</w:t>
                  </w:r>
                </w:p>
              </w:tc>
              <w:tc>
                <w:tcPr>
                  <w:tcW w:w="844" w:type="pct"/>
                  <w:vMerge w:val="continue"/>
                  <w:vAlign w:val="center"/>
                </w:tcPr>
                <w:p w14:paraId="520ACA1F">
                  <w:pPr>
                    <w:adjustRightInd w:val="0"/>
                    <w:snapToGrid w:val="0"/>
                    <w:jc w:val="center"/>
                    <w:textAlignment w:val="baseline"/>
                    <w:rPr>
                      <w:szCs w:val="21"/>
                    </w:rPr>
                  </w:pPr>
                </w:p>
              </w:tc>
              <w:tc>
                <w:tcPr>
                  <w:tcW w:w="1383" w:type="pct"/>
                  <w:vAlign w:val="center"/>
                </w:tcPr>
                <w:p w14:paraId="520ACA20">
                  <w:pPr>
                    <w:adjustRightInd w:val="0"/>
                    <w:snapToGrid w:val="0"/>
                    <w:jc w:val="center"/>
                    <w:textAlignment w:val="baseline"/>
                    <w:rPr>
                      <w:kern w:val="0"/>
                      <w:szCs w:val="21"/>
                    </w:rPr>
                  </w:pPr>
                  <w:r>
                    <w:rPr>
                      <w:rFonts w:hint="eastAsia"/>
                      <w:kern w:val="0"/>
                      <w:szCs w:val="21"/>
                    </w:rPr>
                    <w:t>8</w:t>
                  </w:r>
                  <w:r>
                    <w:rPr>
                      <w:kern w:val="0"/>
                      <w:szCs w:val="21"/>
                    </w:rPr>
                    <w:t>栋</w:t>
                  </w:r>
                  <w:r>
                    <w:rPr>
                      <w:rFonts w:hint="eastAsia"/>
                      <w:kern w:val="0"/>
                      <w:szCs w:val="21"/>
                    </w:rPr>
                    <w:t>，6层，南北朝向，约94户</w:t>
                  </w:r>
                </w:p>
              </w:tc>
            </w:tr>
            <w:tr w14:paraId="520ACA2B">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22">
                  <w:pPr>
                    <w:autoSpaceDE w:val="0"/>
                    <w:autoSpaceDN w:val="0"/>
                    <w:adjustRightInd w:val="0"/>
                    <w:snapToGrid w:val="0"/>
                    <w:jc w:val="center"/>
                    <w:rPr>
                      <w:szCs w:val="21"/>
                    </w:rPr>
                  </w:pPr>
                  <w:r>
                    <w:rPr>
                      <w:rFonts w:hint="eastAsia"/>
                      <w:szCs w:val="21"/>
                    </w:rPr>
                    <w:t>4</w:t>
                  </w:r>
                </w:p>
              </w:tc>
              <w:tc>
                <w:tcPr>
                  <w:tcW w:w="788" w:type="pct"/>
                  <w:vAlign w:val="center"/>
                </w:tcPr>
                <w:p w14:paraId="520ACA23">
                  <w:pPr>
                    <w:autoSpaceDE w:val="0"/>
                    <w:autoSpaceDN w:val="0"/>
                    <w:adjustRightInd w:val="0"/>
                    <w:snapToGrid w:val="0"/>
                    <w:jc w:val="center"/>
                    <w:rPr>
                      <w:szCs w:val="21"/>
                    </w:rPr>
                  </w:pPr>
                  <w:r>
                    <w:rPr>
                      <w:szCs w:val="21"/>
                    </w:rPr>
                    <w:t>豫新</w:t>
                  </w:r>
                  <w:r>
                    <w:rPr>
                      <w:rFonts w:hint="eastAsia"/>
                      <w:szCs w:val="21"/>
                    </w:rPr>
                    <w:t>五</w:t>
                  </w:r>
                  <w:r>
                    <w:rPr>
                      <w:szCs w:val="21"/>
                    </w:rPr>
                    <w:t>号生活区</w:t>
                  </w:r>
                </w:p>
              </w:tc>
              <w:tc>
                <w:tcPr>
                  <w:tcW w:w="338" w:type="pct"/>
                  <w:vAlign w:val="center"/>
                </w:tcPr>
                <w:p w14:paraId="520ACA24">
                  <w:pPr>
                    <w:autoSpaceDE w:val="0"/>
                    <w:autoSpaceDN w:val="0"/>
                    <w:adjustRightInd w:val="0"/>
                    <w:snapToGrid w:val="0"/>
                    <w:jc w:val="center"/>
                    <w:rPr>
                      <w:szCs w:val="21"/>
                    </w:rPr>
                  </w:pPr>
                  <w:r>
                    <w:rPr>
                      <w:rFonts w:eastAsia="等线"/>
                      <w:sz w:val="22"/>
                      <w:szCs w:val="22"/>
                    </w:rPr>
                    <w:t>422</w:t>
                  </w:r>
                </w:p>
              </w:tc>
              <w:tc>
                <w:tcPr>
                  <w:tcW w:w="338" w:type="pct"/>
                  <w:vAlign w:val="center"/>
                </w:tcPr>
                <w:p w14:paraId="520ACA25">
                  <w:pPr>
                    <w:autoSpaceDE w:val="0"/>
                    <w:autoSpaceDN w:val="0"/>
                    <w:adjustRightInd w:val="0"/>
                    <w:snapToGrid w:val="0"/>
                    <w:jc w:val="center"/>
                    <w:rPr>
                      <w:szCs w:val="21"/>
                    </w:rPr>
                  </w:pPr>
                  <w:r>
                    <w:rPr>
                      <w:rFonts w:eastAsia="等线"/>
                      <w:sz w:val="22"/>
                      <w:szCs w:val="22"/>
                    </w:rPr>
                    <w:t>126</w:t>
                  </w:r>
                </w:p>
              </w:tc>
              <w:tc>
                <w:tcPr>
                  <w:tcW w:w="339" w:type="pct"/>
                  <w:vAlign w:val="center"/>
                </w:tcPr>
                <w:p w14:paraId="520ACA26">
                  <w:pPr>
                    <w:autoSpaceDE w:val="0"/>
                    <w:autoSpaceDN w:val="0"/>
                    <w:adjustRightInd w:val="0"/>
                    <w:snapToGrid w:val="0"/>
                    <w:jc w:val="center"/>
                    <w:rPr>
                      <w:szCs w:val="21"/>
                    </w:rPr>
                  </w:pPr>
                  <w:r>
                    <w:rPr>
                      <w:rFonts w:hint="eastAsia"/>
                      <w:szCs w:val="21"/>
                    </w:rPr>
                    <w:t>1.2</w:t>
                  </w:r>
                </w:p>
              </w:tc>
              <w:tc>
                <w:tcPr>
                  <w:tcW w:w="392" w:type="pct"/>
                  <w:vAlign w:val="center"/>
                </w:tcPr>
                <w:p w14:paraId="520ACA27">
                  <w:pPr>
                    <w:autoSpaceDE w:val="0"/>
                    <w:autoSpaceDN w:val="0"/>
                    <w:adjustRightInd w:val="0"/>
                    <w:snapToGrid w:val="0"/>
                    <w:jc w:val="center"/>
                    <w:rPr>
                      <w:szCs w:val="21"/>
                    </w:rPr>
                  </w:pPr>
                  <w:r>
                    <w:rPr>
                      <w:rFonts w:hint="eastAsia"/>
                      <w:szCs w:val="21"/>
                    </w:rPr>
                    <w:t>7</w:t>
                  </w:r>
                </w:p>
              </w:tc>
              <w:tc>
                <w:tcPr>
                  <w:tcW w:w="337" w:type="pct"/>
                  <w:vAlign w:val="center"/>
                </w:tcPr>
                <w:p w14:paraId="520ACA28">
                  <w:pPr>
                    <w:autoSpaceDE w:val="0"/>
                    <w:autoSpaceDN w:val="0"/>
                    <w:adjustRightInd w:val="0"/>
                    <w:snapToGrid w:val="0"/>
                    <w:jc w:val="center"/>
                    <w:rPr>
                      <w:szCs w:val="21"/>
                    </w:rPr>
                  </w:pPr>
                  <w:r>
                    <w:rPr>
                      <w:rFonts w:hint="eastAsia"/>
                      <w:szCs w:val="21"/>
                    </w:rPr>
                    <w:t>东</w:t>
                  </w:r>
                </w:p>
              </w:tc>
              <w:tc>
                <w:tcPr>
                  <w:tcW w:w="844" w:type="pct"/>
                  <w:vMerge w:val="continue"/>
                  <w:vAlign w:val="center"/>
                </w:tcPr>
                <w:p w14:paraId="520ACA29">
                  <w:pPr>
                    <w:adjustRightInd w:val="0"/>
                    <w:snapToGrid w:val="0"/>
                    <w:jc w:val="center"/>
                    <w:textAlignment w:val="baseline"/>
                    <w:rPr>
                      <w:szCs w:val="21"/>
                    </w:rPr>
                  </w:pPr>
                </w:p>
              </w:tc>
              <w:tc>
                <w:tcPr>
                  <w:tcW w:w="1383" w:type="pct"/>
                  <w:vAlign w:val="center"/>
                </w:tcPr>
                <w:p w14:paraId="520ACA2A">
                  <w:pPr>
                    <w:adjustRightInd w:val="0"/>
                    <w:snapToGrid w:val="0"/>
                    <w:jc w:val="center"/>
                    <w:textAlignment w:val="baseline"/>
                    <w:rPr>
                      <w:kern w:val="0"/>
                      <w:szCs w:val="21"/>
                    </w:rPr>
                  </w:pPr>
                  <w:r>
                    <w:rPr>
                      <w:rFonts w:hint="eastAsia"/>
                      <w:kern w:val="0"/>
                      <w:szCs w:val="21"/>
                    </w:rPr>
                    <w:t>9栋，6层，南北朝向，约432户</w:t>
                  </w:r>
                </w:p>
              </w:tc>
            </w:tr>
            <w:tr w14:paraId="520ACA35">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2C">
                  <w:pPr>
                    <w:autoSpaceDE w:val="0"/>
                    <w:autoSpaceDN w:val="0"/>
                    <w:adjustRightInd w:val="0"/>
                    <w:snapToGrid w:val="0"/>
                    <w:jc w:val="center"/>
                    <w:rPr>
                      <w:szCs w:val="21"/>
                    </w:rPr>
                  </w:pPr>
                  <w:r>
                    <w:rPr>
                      <w:rFonts w:hint="eastAsia"/>
                      <w:szCs w:val="21"/>
                    </w:rPr>
                    <w:t>5</w:t>
                  </w:r>
                </w:p>
              </w:tc>
              <w:tc>
                <w:tcPr>
                  <w:tcW w:w="788" w:type="pct"/>
                  <w:vAlign w:val="center"/>
                </w:tcPr>
                <w:p w14:paraId="520ACA2D">
                  <w:pPr>
                    <w:autoSpaceDE w:val="0"/>
                    <w:autoSpaceDN w:val="0"/>
                    <w:adjustRightInd w:val="0"/>
                    <w:snapToGrid w:val="0"/>
                    <w:jc w:val="center"/>
                    <w:rPr>
                      <w:szCs w:val="21"/>
                    </w:rPr>
                  </w:pPr>
                  <w:r>
                    <w:rPr>
                      <w:szCs w:val="21"/>
                    </w:rPr>
                    <w:t>六合园小区</w:t>
                  </w:r>
                </w:p>
              </w:tc>
              <w:tc>
                <w:tcPr>
                  <w:tcW w:w="338" w:type="pct"/>
                  <w:vAlign w:val="center"/>
                </w:tcPr>
                <w:p w14:paraId="520ACA2E">
                  <w:pPr>
                    <w:autoSpaceDE w:val="0"/>
                    <w:autoSpaceDN w:val="0"/>
                    <w:adjustRightInd w:val="0"/>
                    <w:snapToGrid w:val="0"/>
                    <w:jc w:val="center"/>
                    <w:rPr>
                      <w:szCs w:val="21"/>
                    </w:rPr>
                  </w:pPr>
                  <w:r>
                    <w:rPr>
                      <w:rFonts w:eastAsia="等线"/>
                      <w:sz w:val="22"/>
                      <w:szCs w:val="22"/>
                    </w:rPr>
                    <w:t>29</w:t>
                  </w:r>
                </w:p>
              </w:tc>
              <w:tc>
                <w:tcPr>
                  <w:tcW w:w="338" w:type="pct"/>
                  <w:vAlign w:val="center"/>
                </w:tcPr>
                <w:p w14:paraId="520ACA2F">
                  <w:pPr>
                    <w:autoSpaceDE w:val="0"/>
                    <w:autoSpaceDN w:val="0"/>
                    <w:adjustRightInd w:val="0"/>
                    <w:snapToGrid w:val="0"/>
                    <w:jc w:val="center"/>
                    <w:rPr>
                      <w:szCs w:val="21"/>
                    </w:rPr>
                  </w:pPr>
                  <w:r>
                    <w:rPr>
                      <w:rFonts w:eastAsia="等线"/>
                      <w:sz w:val="22"/>
                      <w:szCs w:val="22"/>
                    </w:rPr>
                    <w:t>283</w:t>
                  </w:r>
                </w:p>
              </w:tc>
              <w:tc>
                <w:tcPr>
                  <w:tcW w:w="339" w:type="pct"/>
                  <w:vAlign w:val="center"/>
                </w:tcPr>
                <w:p w14:paraId="520ACA30">
                  <w:pPr>
                    <w:autoSpaceDE w:val="0"/>
                    <w:autoSpaceDN w:val="0"/>
                    <w:adjustRightInd w:val="0"/>
                    <w:snapToGrid w:val="0"/>
                    <w:jc w:val="center"/>
                    <w:rPr>
                      <w:szCs w:val="21"/>
                    </w:rPr>
                  </w:pPr>
                  <w:r>
                    <w:rPr>
                      <w:rFonts w:hint="eastAsia"/>
                      <w:szCs w:val="21"/>
                    </w:rPr>
                    <w:t>1.2</w:t>
                  </w:r>
                </w:p>
              </w:tc>
              <w:tc>
                <w:tcPr>
                  <w:tcW w:w="392" w:type="pct"/>
                  <w:vAlign w:val="center"/>
                </w:tcPr>
                <w:p w14:paraId="520ACA31">
                  <w:pPr>
                    <w:autoSpaceDE w:val="0"/>
                    <w:autoSpaceDN w:val="0"/>
                    <w:adjustRightInd w:val="0"/>
                    <w:snapToGrid w:val="0"/>
                    <w:jc w:val="center"/>
                    <w:rPr>
                      <w:szCs w:val="21"/>
                    </w:rPr>
                  </w:pPr>
                  <w:r>
                    <w:rPr>
                      <w:rFonts w:hint="eastAsia"/>
                      <w:szCs w:val="21"/>
                    </w:rPr>
                    <w:t>7</w:t>
                  </w:r>
                </w:p>
              </w:tc>
              <w:tc>
                <w:tcPr>
                  <w:tcW w:w="337" w:type="pct"/>
                  <w:vAlign w:val="center"/>
                </w:tcPr>
                <w:p w14:paraId="520ACA32">
                  <w:pPr>
                    <w:autoSpaceDE w:val="0"/>
                    <w:autoSpaceDN w:val="0"/>
                    <w:adjustRightInd w:val="0"/>
                    <w:snapToGrid w:val="0"/>
                    <w:jc w:val="center"/>
                    <w:rPr>
                      <w:szCs w:val="21"/>
                    </w:rPr>
                  </w:pPr>
                  <w:r>
                    <w:rPr>
                      <w:rFonts w:hint="eastAsia"/>
                      <w:szCs w:val="21"/>
                    </w:rPr>
                    <w:t>西</w:t>
                  </w:r>
                </w:p>
              </w:tc>
              <w:tc>
                <w:tcPr>
                  <w:tcW w:w="844" w:type="pct"/>
                  <w:vMerge w:val="continue"/>
                  <w:vAlign w:val="center"/>
                </w:tcPr>
                <w:p w14:paraId="520ACA33">
                  <w:pPr>
                    <w:adjustRightInd w:val="0"/>
                    <w:snapToGrid w:val="0"/>
                    <w:jc w:val="center"/>
                    <w:textAlignment w:val="baseline"/>
                    <w:rPr>
                      <w:szCs w:val="21"/>
                    </w:rPr>
                  </w:pPr>
                </w:p>
              </w:tc>
              <w:tc>
                <w:tcPr>
                  <w:tcW w:w="1383" w:type="pct"/>
                  <w:vAlign w:val="center"/>
                </w:tcPr>
                <w:p w14:paraId="520ACA34">
                  <w:pPr>
                    <w:adjustRightInd w:val="0"/>
                    <w:snapToGrid w:val="0"/>
                    <w:jc w:val="center"/>
                    <w:textAlignment w:val="baseline"/>
                    <w:rPr>
                      <w:kern w:val="0"/>
                      <w:szCs w:val="21"/>
                    </w:rPr>
                  </w:pPr>
                  <w:r>
                    <w:rPr>
                      <w:rFonts w:hint="eastAsia"/>
                      <w:kern w:val="0"/>
                      <w:szCs w:val="21"/>
                    </w:rPr>
                    <w:t>8栋，6层，南北朝向，约211户</w:t>
                  </w:r>
                </w:p>
              </w:tc>
            </w:tr>
            <w:tr w14:paraId="520ACA3F">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36">
                  <w:pPr>
                    <w:autoSpaceDE w:val="0"/>
                    <w:autoSpaceDN w:val="0"/>
                    <w:adjustRightInd w:val="0"/>
                    <w:snapToGrid w:val="0"/>
                    <w:jc w:val="center"/>
                    <w:rPr>
                      <w:szCs w:val="21"/>
                    </w:rPr>
                  </w:pPr>
                  <w:r>
                    <w:rPr>
                      <w:rFonts w:hint="eastAsia"/>
                      <w:szCs w:val="21"/>
                    </w:rPr>
                    <w:t>6</w:t>
                  </w:r>
                </w:p>
              </w:tc>
              <w:tc>
                <w:tcPr>
                  <w:tcW w:w="788" w:type="pct"/>
                  <w:vAlign w:val="center"/>
                </w:tcPr>
                <w:p w14:paraId="520ACA37">
                  <w:pPr>
                    <w:autoSpaceDE w:val="0"/>
                    <w:autoSpaceDN w:val="0"/>
                    <w:adjustRightInd w:val="0"/>
                    <w:snapToGrid w:val="0"/>
                    <w:jc w:val="center"/>
                    <w:rPr>
                      <w:szCs w:val="21"/>
                    </w:rPr>
                  </w:pPr>
                  <w:r>
                    <w:rPr>
                      <w:szCs w:val="21"/>
                    </w:rPr>
                    <w:t>建北小区</w:t>
                  </w:r>
                </w:p>
              </w:tc>
              <w:tc>
                <w:tcPr>
                  <w:tcW w:w="338" w:type="pct"/>
                  <w:vAlign w:val="center"/>
                </w:tcPr>
                <w:p w14:paraId="520ACA38">
                  <w:pPr>
                    <w:autoSpaceDE w:val="0"/>
                    <w:autoSpaceDN w:val="0"/>
                    <w:adjustRightInd w:val="0"/>
                    <w:snapToGrid w:val="0"/>
                    <w:jc w:val="center"/>
                    <w:rPr>
                      <w:szCs w:val="21"/>
                    </w:rPr>
                  </w:pPr>
                  <w:r>
                    <w:rPr>
                      <w:rFonts w:eastAsia="等线"/>
                      <w:sz w:val="22"/>
                      <w:szCs w:val="22"/>
                    </w:rPr>
                    <w:t>27</w:t>
                  </w:r>
                </w:p>
              </w:tc>
              <w:tc>
                <w:tcPr>
                  <w:tcW w:w="338" w:type="pct"/>
                  <w:vAlign w:val="center"/>
                </w:tcPr>
                <w:p w14:paraId="520ACA39">
                  <w:pPr>
                    <w:autoSpaceDE w:val="0"/>
                    <w:autoSpaceDN w:val="0"/>
                    <w:adjustRightInd w:val="0"/>
                    <w:snapToGrid w:val="0"/>
                    <w:jc w:val="center"/>
                    <w:rPr>
                      <w:szCs w:val="21"/>
                    </w:rPr>
                  </w:pPr>
                  <w:r>
                    <w:rPr>
                      <w:rFonts w:eastAsia="等线"/>
                      <w:sz w:val="22"/>
                      <w:szCs w:val="22"/>
                    </w:rPr>
                    <w:t>467</w:t>
                  </w:r>
                </w:p>
              </w:tc>
              <w:tc>
                <w:tcPr>
                  <w:tcW w:w="339" w:type="pct"/>
                  <w:vAlign w:val="center"/>
                </w:tcPr>
                <w:p w14:paraId="520ACA3A">
                  <w:pPr>
                    <w:autoSpaceDE w:val="0"/>
                    <w:autoSpaceDN w:val="0"/>
                    <w:adjustRightInd w:val="0"/>
                    <w:snapToGrid w:val="0"/>
                    <w:jc w:val="center"/>
                    <w:rPr>
                      <w:szCs w:val="21"/>
                    </w:rPr>
                  </w:pPr>
                  <w:r>
                    <w:rPr>
                      <w:rFonts w:hint="eastAsia"/>
                      <w:szCs w:val="21"/>
                    </w:rPr>
                    <w:t>1.2</w:t>
                  </w:r>
                </w:p>
              </w:tc>
              <w:tc>
                <w:tcPr>
                  <w:tcW w:w="392" w:type="pct"/>
                  <w:vAlign w:val="center"/>
                </w:tcPr>
                <w:p w14:paraId="520ACA3B">
                  <w:pPr>
                    <w:autoSpaceDE w:val="0"/>
                    <w:autoSpaceDN w:val="0"/>
                    <w:adjustRightInd w:val="0"/>
                    <w:snapToGrid w:val="0"/>
                    <w:jc w:val="center"/>
                    <w:rPr>
                      <w:szCs w:val="21"/>
                    </w:rPr>
                  </w:pPr>
                  <w:r>
                    <w:rPr>
                      <w:rFonts w:hint="eastAsia"/>
                      <w:szCs w:val="21"/>
                    </w:rPr>
                    <w:t>15</w:t>
                  </w:r>
                </w:p>
              </w:tc>
              <w:tc>
                <w:tcPr>
                  <w:tcW w:w="337" w:type="pct"/>
                  <w:vAlign w:val="center"/>
                </w:tcPr>
                <w:p w14:paraId="520ACA3C">
                  <w:pPr>
                    <w:autoSpaceDE w:val="0"/>
                    <w:autoSpaceDN w:val="0"/>
                    <w:adjustRightInd w:val="0"/>
                    <w:snapToGrid w:val="0"/>
                    <w:jc w:val="center"/>
                    <w:rPr>
                      <w:szCs w:val="21"/>
                    </w:rPr>
                  </w:pPr>
                  <w:r>
                    <w:rPr>
                      <w:rFonts w:hint="eastAsia"/>
                      <w:szCs w:val="21"/>
                    </w:rPr>
                    <w:t>北</w:t>
                  </w:r>
                </w:p>
              </w:tc>
              <w:tc>
                <w:tcPr>
                  <w:tcW w:w="844" w:type="pct"/>
                  <w:vMerge w:val="continue"/>
                  <w:vAlign w:val="center"/>
                </w:tcPr>
                <w:p w14:paraId="520ACA3D">
                  <w:pPr>
                    <w:adjustRightInd w:val="0"/>
                    <w:snapToGrid w:val="0"/>
                    <w:jc w:val="center"/>
                    <w:textAlignment w:val="baseline"/>
                    <w:rPr>
                      <w:szCs w:val="21"/>
                    </w:rPr>
                  </w:pPr>
                </w:p>
              </w:tc>
              <w:tc>
                <w:tcPr>
                  <w:tcW w:w="1383" w:type="pct"/>
                  <w:vAlign w:val="center"/>
                </w:tcPr>
                <w:p w14:paraId="520ACA3E">
                  <w:pPr>
                    <w:adjustRightInd w:val="0"/>
                    <w:snapToGrid w:val="0"/>
                    <w:jc w:val="center"/>
                    <w:textAlignment w:val="baseline"/>
                    <w:rPr>
                      <w:kern w:val="0"/>
                      <w:szCs w:val="21"/>
                    </w:rPr>
                  </w:pPr>
                  <w:r>
                    <w:rPr>
                      <w:rFonts w:hint="eastAsia"/>
                      <w:kern w:val="0"/>
                      <w:szCs w:val="21"/>
                    </w:rPr>
                    <w:t>8</w:t>
                  </w:r>
                  <w:r>
                    <w:rPr>
                      <w:kern w:val="0"/>
                      <w:szCs w:val="21"/>
                    </w:rPr>
                    <w:t>栋</w:t>
                  </w:r>
                  <w:r>
                    <w:rPr>
                      <w:rFonts w:hint="eastAsia"/>
                      <w:kern w:val="0"/>
                      <w:szCs w:val="21"/>
                    </w:rPr>
                    <w:t>，6</w:t>
                  </w:r>
                  <w:r>
                    <w:rPr>
                      <w:kern w:val="0"/>
                      <w:szCs w:val="21"/>
                    </w:rPr>
                    <w:t>层</w:t>
                  </w:r>
                  <w:r>
                    <w:rPr>
                      <w:rFonts w:hint="eastAsia"/>
                      <w:kern w:val="0"/>
                      <w:szCs w:val="21"/>
                    </w:rPr>
                    <w:t>，南北朝向，约288户</w:t>
                  </w:r>
                </w:p>
              </w:tc>
            </w:tr>
            <w:tr w14:paraId="520ACA4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40">
                  <w:pPr>
                    <w:autoSpaceDE w:val="0"/>
                    <w:autoSpaceDN w:val="0"/>
                    <w:adjustRightInd w:val="0"/>
                    <w:snapToGrid w:val="0"/>
                    <w:jc w:val="center"/>
                    <w:rPr>
                      <w:szCs w:val="21"/>
                    </w:rPr>
                  </w:pPr>
                  <w:r>
                    <w:rPr>
                      <w:rFonts w:hint="eastAsia"/>
                      <w:szCs w:val="21"/>
                    </w:rPr>
                    <w:t>7</w:t>
                  </w:r>
                </w:p>
              </w:tc>
              <w:tc>
                <w:tcPr>
                  <w:tcW w:w="788" w:type="pct"/>
                  <w:vAlign w:val="center"/>
                </w:tcPr>
                <w:p w14:paraId="520ACA41">
                  <w:pPr>
                    <w:autoSpaceDE w:val="0"/>
                    <w:autoSpaceDN w:val="0"/>
                    <w:adjustRightInd w:val="0"/>
                    <w:snapToGrid w:val="0"/>
                    <w:jc w:val="center"/>
                    <w:rPr>
                      <w:szCs w:val="21"/>
                    </w:rPr>
                  </w:pPr>
                  <w:r>
                    <w:rPr>
                      <w:szCs w:val="21"/>
                    </w:rPr>
                    <w:t>豫新生活区南院</w:t>
                  </w:r>
                </w:p>
              </w:tc>
              <w:tc>
                <w:tcPr>
                  <w:tcW w:w="338" w:type="pct"/>
                  <w:vAlign w:val="center"/>
                </w:tcPr>
                <w:p w14:paraId="520ACA42">
                  <w:pPr>
                    <w:autoSpaceDE w:val="0"/>
                    <w:autoSpaceDN w:val="0"/>
                    <w:adjustRightInd w:val="0"/>
                    <w:snapToGrid w:val="0"/>
                    <w:jc w:val="center"/>
                    <w:rPr>
                      <w:szCs w:val="21"/>
                    </w:rPr>
                  </w:pPr>
                  <w:r>
                    <w:rPr>
                      <w:rFonts w:eastAsia="等线"/>
                      <w:sz w:val="22"/>
                      <w:szCs w:val="22"/>
                    </w:rPr>
                    <w:t>352</w:t>
                  </w:r>
                </w:p>
              </w:tc>
              <w:tc>
                <w:tcPr>
                  <w:tcW w:w="338" w:type="pct"/>
                  <w:vAlign w:val="center"/>
                </w:tcPr>
                <w:p w14:paraId="520ACA43">
                  <w:pPr>
                    <w:autoSpaceDE w:val="0"/>
                    <w:autoSpaceDN w:val="0"/>
                    <w:adjustRightInd w:val="0"/>
                    <w:snapToGrid w:val="0"/>
                    <w:jc w:val="center"/>
                    <w:rPr>
                      <w:szCs w:val="21"/>
                    </w:rPr>
                  </w:pPr>
                  <w:r>
                    <w:rPr>
                      <w:rFonts w:eastAsia="等线"/>
                      <w:sz w:val="22"/>
                      <w:szCs w:val="22"/>
                    </w:rPr>
                    <w:t>-16</w:t>
                  </w:r>
                </w:p>
              </w:tc>
              <w:tc>
                <w:tcPr>
                  <w:tcW w:w="339" w:type="pct"/>
                  <w:vAlign w:val="center"/>
                </w:tcPr>
                <w:p w14:paraId="520ACA44">
                  <w:pPr>
                    <w:autoSpaceDE w:val="0"/>
                    <w:autoSpaceDN w:val="0"/>
                    <w:adjustRightInd w:val="0"/>
                    <w:snapToGrid w:val="0"/>
                    <w:jc w:val="center"/>
                    <w:rPr>
                      <w:szCs w:val="21"/>
                    </w:rPr>
                  </w:pPr>
                  <w:r>
                    <w:rPr>
                      <w:rFonts w:hint="eastAsia"/>
                      <w:szCs w:val="21"/>
                    </w:rPr>
                    <w:t>1.2</w:t>
                  </w:r>
                </w:p>
              </w:tc>
              <w:tc>
                <w:tcPr>
                  <w:tcW w:w="392" w:type="pct"/>
                  <w:vAlign w:val="center"/>
                </w:tcPr>
                <w:p w14:paraId="520ACA45">
                  <w:pPr>
                    <w:autoSpaceDE w:val="0"/>
                    <w:autoSpaceDN w:val="0"/>
                    <w:adjustRightInd w:val="0"/>
                    <w:snapToGrid w:val="0"/>
                    <w:jc w:val="center"/>
                    <w:rPr>
                      <w:szCs w:val="21"/>
                    </w:rPr>
                  </w:pPr>
                  <w:r>
                    <w:rPr>
                      <w:rFonts w:hint="eastAsia"/>
                      <w:szCs w:val="21"/>
                    </w:rPr>
                    <w:t>30</w:t>
                  </w:r>
                </w:p>
              </w:tc>
              <w:tc>
                <w:tcPr>
                  <w:tcW w:w="337" w:type="pct"/>
                  <w:vAlign w:val="center"/>
                </w:tcPr>
                <w:p w14:paraId="520ACA46">
                  <w:pPr>
                    <w:autoSpaceDE w:val="0"/>
                    <w:autoSpaceDN w:val="0"/>
                    <w:adjustRightInd w:val="0"/>
                    <w:snapToGrid w:val="0"/>
                    <w:jc w:val="center"/>
                    <w:rPr>
                      <w:szCs w:val="21"/>
                    </w:rPr>
                  </w:pPr>
                  <w:r>
                    <w:rPr>
                      <w:rFonts w:hint="eastAsia"/>
                      <w:szCs w:val="21"/>
                    </w:rPr>
                    <w:t>南</w:t>
                  </w:r>
                </w:p>
              </w:tc>
              <w:tc>
                <w:tcPr>
                  <w:tcW w:w="844" w:type="pct"/>
                  <w:vMerge w:val="continue"/>
                  <w:vAlign w:val="center"/>
                </w:tcPr>
                <w:p w14:paraId="520ACA47">
                  <w:pPr>
                    <w:adjustRightInd w:val="0"/>
                    <w:snapToGrid w:val="0"/>
                    <w:jc w:val="center"/>
                    <w:textAlignment w:val="baseline"/>
                    <w:rPr>
                      <w:szCs w:val="21"/>
                    </w:rPr>
                  </w:pPr>
                </w:p>
              </w:tc>
              <w:tc>
                <w:tcPr>
                  <w:tcW w:w="1383" w:type="pct"/>
                  <w:vAlign w:val="center"/>
                </w:tcPr>
                <w:p w14:paraId="520ACA48">
                  <w:pPr>
                    <w:adjustRightInd w:val="0"/>
                    <w:snapToGrid w:val="0"/>
                    <w:jc w:val="center"/>
                    <w:textAlignment w:val="baseline"/>
                    <w:rPr>
                      <w:kern w:val="0"/>
                      <w:szCs w:val="21"/>
                    </w:rPr>
                  </w:pPr>
                  <w:r>
                    <w:rPr>
                      <w:rFonts w:hint="eastAsia"/>
                      <w:kern w:val="0"/>
                      <w:szCs w:val="21"/>
                    </w:rPr>
                    <w:t>24栋，6层，南北朝向，约1148户</w:t>
                  </w:r>
                </w:p>
              </w:tc>
            </w:tr>
            <w:tr w14:paraId="520ACA53">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4A">
                  <w:pPr>
                    <w:autoSpaceDE w:val="0"/>
                    <w:autoSpaceDN w:val="0"/>
                    <w:adjustRightInd w:val="0"/>
                    <w:snapToGrid w:val="0"/>
                    <w:jc w:val="center"/>
                    <w:rPr>
                      <w:szCs w:val="21"/>
                    </w:rPr>
                  </w:pPr>
                  <w:r>
                    <w:rPr>
                      <w:rFonts w:hint="eastAsia"/>
                      <w:szCs w:val="21"/>
                    </w:rPr>
                    <w:t>8</w:t>
                  </w:r>
                </w:p>
              </w:tc>
              <w:tc>
                <w:tcPr>
                  <w:tcW w:w="788" w:type="pct"/>
                  <w:vAlign w:val="center"/>
                </w:tcPr>
                <w:p w14:paraId="520ACA4B">
                  <w:pPr>
                    <w:autoSpaceDE w:val="0"/>
                    <w:autoSpaceDN w:val="0"/>
                    <w:adjustRightInd w:val="0"/>
                    <w:snapToGrid w:val="0"/>
                    <w:jc w:val="center"/>
                    <w:rPr>
                      <w:szCs w:val="21"/>
                    </w:rPr>
                  </w:pPr>
                  <w:r>
                    <w:rPr>
                      <w:szCs w:val="21"/>
                    </w:rPr>
                    <w:t>太行电源集团家属院</w:t>
                  </w:r>
                </w:p>
              </w:tc>
              <w:tc>
                <w:tcPr>
                  <w:tcW w:w="338" w:type="pct"/>
                  <w:vAlign w:val="center"/>
                </w:tcPr>
                <w:p w14:paraId="520ACA4C">
                  <w:pPr>
                    <w:autoSpaceDE w:val="0"/>
                    <w:autoSpaceDN w:val="0"/>
                    <w:adjustRightInd w:val="0"/>
                    <w:snapToGrid w:val="0"/>
                    <w:jc w:val="center"/>
                    <w:rPr>
                      <w:szCs w:val="21"/>
                    </w:rPr>
                  </w:pPr>
                  <w:r>
                    <w:rPr>
                      <w:rFonts w:eastAsia="等线"/>
                      <w:sz w:val="22"/>
                      <w:szCs w:val="22"/>
                    </w:rPr>
                    <w:t>52</w:t>
                  </w:r>
                </w:p>
              </w:tc>
              <w:tc>
                <w:tcPr>
                  <w:tcW w:w="338" w:type="pct"/>
                  <w:vAlign w:val="center"/>
                </w:tcPr>
                <w:p w14:paraId="520ACA4D">
                  <w:pPr>
                    <w:autoSpaceDE w:val="0"/>
                    <w:autoSpaceDN w:val="0"/>
                    <w:adjustRightInd w:val="0"/>
                    <w:snapToGrid w:val="0"/>
                    <w:jc w:val="center"/>
                    <w:rPr>
                      <w:szCs w:val="21"/>
                    </w:rPr>
                  </w:pPr>
                  <w:r>
                    <w:rPr>
                      <w:rFonts w:eastAsia="等线"/>
                      <w:sz w:val="22"/>
                      <w:szCs w:val="22"/>
                    </w:rPr>
                    <w:t>-25</w:t>
                  </w:r>
                </w:p>
              </w:tc>
              <w:tc>
                <w:tcPr>
                  <w:tcW w:w="339" w:type="pct"/>
                  <w:vAlign w:val="center"/>
                </w:tcPr>
                <w:p w14:paraId="520ACA4E">
                  <w:pPr>
                    <w:autoSpaceDE w:val="0"/>
                    <w:autoSpaceDN w:val="0"/>
                    <w:adjustRightInd w:val="0"/>
                    <w:snapToGrid w:val="0"/>
                    <w:jc w:val="center"/>
                    <w:rPr>
                      <w:szCs w:val="21"/>
                    </w:rPr>
                  </w:pPr>
                  <w:r>
                    <w:rPr>
                      <w:rFonts w:hint="eastAsia"/>
                      <w:szCs w:val="21"/>
                    </w:rPr>
                    <w:t>1.2</w:t>
                  </w:r>
                </w:p>
              </w:tc>
              <w:tc>
                <w:tcPr>
                  <w:tcW w:w="392" w:type="pct"/>
                  <w:vAlign w:val="center"/>
                </w:tcPr>
                <w:p w14:paraId="520ACA4F">
                  <w:pPr>
                    <w:autoSpaceDE w:val="0"/>
                    <w:autoSpaceDN w:val="0"/>
                    <w:adjustRightInd w:val="0"/>
                    <w:snapToGrid w:val="0"/>
                    <w:jc w:val="center"/>
                    <w:rPr>
                      <w:szCs w:val="21"/>
                    </w:rPr>
                  </w:pPr>
                  <w:r>
                    <w:rPr>
                      <w:rFonts w:hint="eastAsia"/>
                      <w:szCs w:val="21"/>
                    </w:rPr>
                    <w:t>30</w:t>
                  </w:r>
                </w:p>
              </w:tc>
              <w:tc>
                <w:tcPr>
                  <w:tcW w:w="337" w:type="pct"/>
                  <w:vAlign w:val="center"/>
                </w:tcPr>
                <w:p w14:paraId="520ACA50">
                  <w:pPr>
                    <w:autoSpaceDE w:val="0"/>
                    <w:autoSpaceDN w:val="0"/>
                    <w:adjustRightInd w:val="0"/>
                    <w:snapToGrid w:val="0"/>
                    <w:jc w:val="center"/>
                    <w:rPr>
                      <w:szCs w:val="21"/>
                    </w:rPr>
                  </w:pPr>
                  <w:r>
                    <w:rPr>
                      <w:rFonts w:hint="eastAsia"/>
                      <w:szCs w:val="21"/>
                    </w:rPr>
                    <w:t>南</w:t>
                  </w:r>
                </w:p>
              </w:tc>
              <w:tc>
                <w:tcPr>
                  <w:tcW w:w="844" w:type="pct"/>
                  <w:vMerge w:val="continue"/>
                  <w:vAlign w:val="center"/>
                </w:tcPr>
                <w:p w14:paraId="520ACA51">
                  <w:pPr>
                    <w:adjustRightInd w:val="0"/>
                    <w:snapToGrid w:val="0"/>
                    <w:jc w:val="center"/>
                    <w:textAlignment w:val="baseline"/>
                    <w:rPr>
                      <w:szCs w:val="21"/>
                    </w:rPr>
                  </w:pPr>
                </w:p>
              </w:tc>
              <w:tc>
                <w:tcPr>
                  <w:tcW w:w="1383" w:type="pct"/>
                  <w:vAlign w:val="center"/>
                </w:tcPr>
                <w:p w14:paraId="520ACA52">
                  <w:pPr>
                    <w:adjustRightInd w:val="0"/>
                    <w:snapToGrid w:val="0"/>
                    <w:jc w:val="center"/>
                    <w:textAlignment w:val="baseline"/>
                    <w:rPr>
                      <w:kern w:val="0"/>
                      <w:szCs w:val="21"/>
                    </w:rPr>
                  </w:pPr>
                  <w:r>
                    <w:rPr>
                      <w:rFonts w:hint="eastAsia"/>
                      <w:kern w:val="0"/>
                      <w:szCs w:val="21"/>
                    </w:rPr>
                    <w:t>53栋，6层，南北朝向，约2449户</w:t>
                  </w:r>
                </w:p>
              </w:tc>
            </w:tr>
            <w:tr w14:paraId="520ACA5D">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54">
                  <w:pPr>
                    <w:autoSpaceDE w:val="0"/>
                    <w:autoSpaceDN w:val="0"/>
                    <w:adjustRightInd w:val="0"/>
                    <w:snapToGrid w:val="0"/>
                    <w:jc w:val="center"/>
                    <w:rPr>
                      <w:szCs w:val="21"/>
                    </w:rPr>
                  </w:pPr>
                  <w:r>
                    <w:rPr>
                      <w:rFonts w:hint="eastAsia"/>
                      <w:szCs w:val="21"/>
                    </w:rPr>
                    <w:t>9</w:t>
                  </w:r>
                </w:p>
              </w:tc>
              <w:tc>
                <w:tcPr>
                  <w:tcW w:w="788" w:type="pct"/>
                  <w:vAlign w:val="center"/>
                </w:tcPr>
                <w:p w14:paraId="520ACA55">
                  <w:pPr>
                    <w:autoSpaceDE w:val="0"/>
                    <w:autoSpaceDN w:val="0"/>
                    <w:adjustRightInd w:val="0"/>
                    <w:snapToGrid w:val="0"/>
                    <w:jc w:val="center"/>
                    <w:rPr>
                      <w:szCs w:val="21"/>
                    </w:rPr>
                  </w:pPr>
                  <w:r>
                    <w:rPr>
                      <w:rFonts w:hint="eastAsia"/>
                      <w:szCs w:val="21"/>
                    </w:rPr>
                    <w:t>尚都国际</w:t>
                  </w:r>
                </w:p>
              </w:tc>
              <w:tc>
                <w:tcPr>
                  <w:tcW w:w="338" w:type="pct"/>
                  <w:vAlign w:val="center"/>
                </w:tcPr>
                <w:p w14:paraId="520ACA56">
                  <w:pPr>
                    <w:autoSpaceDE w:val="0"/>
                    <w:autoSpaceDN w:val="0"/>
                    <w:adjustRightInd w:val="0"/>
                    <w:snapToGrid w:val="0"/>
                    <w:jc w:val="center"/>
                    <w:rPr>
                      <w:szCs w:val="21"/>
                    </w:rPr>
                  </w:pPr>
                  <w:r>
                    <w:rPr>
                      <w:rFonts w:eastAsia="等线"/>
                      <w:sz w:val="22"/>
                      <w:szCs w:val="22"/>
                    </w:rPr>
                    <w:t>572</w:t>
                  </w:r>
                </w:p>
              </w:tc>
              <w:tc>
                <w:tcPr>
                  <w:tcW w:w="338" w:type="pct"/>
                  <w:vAlign w:val="center"/>
                </w:tcPr>
                <w:p w14:paraId="520ACA57">
                  <w:pPr>
                    <w:autoSpaceDE w:val="0"/>
                    <w:autoSpaceDN w:val="0"/>
                    <w:adjustRightInd w:val="0"/>
                    <w:snapToGrid w:val="0"/>
                    <w:jc w:val="center"/>
                    <w:rPr>
                      <w:szCs w:val="21"/>
                    </w:rPr>
                  </w:pPr>
                  <w:r>
                    <w:rPr>
                      <w:rFonts w:eastAsia="等线"/>
                      <w:sz w:val="22"/>
                      <w:szCs w:val="22"/>
                    </w:rPr>
                    <w:t>410</w:t>
                  </w:r>
                </w:p>
              </w:tc>
              <w:tc>
                <w:tcPr>
                  <w:tcW w:w="339" w:type="pct"/>
                  <w:vAlign w:val="center"/>
                </w:tcPr>
                <w:p w14:paraId="520ACA58">
                  <w:pPr>
                    <w:autoSpaceDE w:val="0"/>
                    <w:autoSpaceDN w:val="0"/>
                    <w:adjustRightInd w:val="0"/>
                    <w:snapToGrid w:val="0"/>
                    <w:jc w:val="center"/>
                    <w:rPr>
                      <w:szCs w:val="21"/>
                    </w:rPr>
                  </w:pPr>
                  <w:r>
                    <w:rPr>
                      <w:rFonts w:hint="eastAsia"/>
                      <w:szCs w:val="21"/>
                    </w:rPr>
                    <w:t>1.2</w:t>
                  </w:r>
                </w:p>
              </w:tc>
              <w:tc>
                <w:tcPr>
                  <w:tcW w:w="392" w:type="pct"/>
                  <w:vAlign w:val="center"/>
                </w:tcPr>
                <w:p w14:paraId="520ACA59">
                  <w:pPr>
                    <w:autoSpaceDE w:val="0"/>
                    <w:autoSpaceDN w:val="0"/>
                    <w:adjustRightInd w:val="0"/>
                    <w:snapToGrid w:val="0"/>
                    <w:jc w:val="center"/>
                    <w:rPr>
                      <w:szCs w:val="21"/>
                    </w:rPr>
                  </w:pPr>
                  <w:r>
                    <w:rPr>
                      <w:rFonts w:hint="eastAsia"/>
                      <w:szCs w:val="21"/>
                    </w:rPr>
                    <w:t>36</w:t>
                  </w:r>
                </w:p>
              </w:tc>
              <w:tc>
                <w:tcPr>
                  <w:tcW w:w="337" w:type="pct"/>
                  <w:vAlign w:val="center"/>
                </w:tcPr>
                <w:p w14:paraId="520ACA5A">
                  <w:pPr>
                    <w:autoSpaceDE w:val="0"/>
                    <w:autoSpaceDN w:val="0"/>
                    <w:adjustRightInd w:val="0"/>
                    <w:snapToGrid w:val="0"/>
                    <w:jc w:val="center"/>
                    <w:rPr>
                      <w:szCs w:val="21"/>
                    </w:rPr>
                  </w:pPr>
                  <w:r>
                    <w:rPr>
                      <w:rFonts w:hint="eastAsia"/>
                      <w:szCs w:val="21"/>
                    </w:rPr>
                    <w:t>东</w:t>
                  </w:r>
                </w:p>
              </w:tc>
              <w:tc>
                <w:tcPr>
                  <w:tcW w:w="844" w:type="pct"/>
                  <w:vMerge w:val="continue"/>
                  <w:vAlign w:val="center"/>
                </w:tcPr>
                <w:p w14:paraId="520ACA5B">
                  <w:pPr>
                    <w:adjustRightInd w:val="0"/>
                    <w:snapToGrid w:val="0"/>
                    <w:jc w:val="center"/>
                    <w:textAlignment w:val="baseline"/>
                    <w:rPr>
                      <w:szCs w:val="21"/>
                    </w:rPr>
                  </w:pPr>
                </w:p>
              </w:tc>
              <w:tc>
                <w:tcPr>
                  <w:tcW w:w="1383" w:type="pct"/>
                  <w:vAlign w:val="center"/>
                </w:tcPr>
                <w:p w14:paraId="520ACA5C">
                  <w:pPr>
                    <w:adjustRightInd w:val="0"/>
                    <w:snapToGrid w:val="0"/>
                    <w:jc w:val="center"/>
                    <w:textAlignment w:val="baseline"/>
                    <w:rPr>
                      <w:kern w:val="0"/>
                      <w:szCs w:val="21"/>
                    </w:rPr>
                  </w:pPr>
                  <w:r>
                    <w:rPr>
                      <w:rFonts w:hint="eastAsia"/>
                      <w:kern w:val="0"/>
                      <w:szCs w:val="21"/>
                    </w:rPr>
                    <w:t>18栋，16层，南北朝向，约1065户</w:t>
                  </w:r>
                </w:p>
              </w:tc>
            </w:tr>
            <w:tr w14:paraId="520ACA5F">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5000" w:type="pct"/>
                  <w:gridSpan w:val="9"/>
                  <w:vAlign w:val="center"/>
                </w:tcPr>
                <w:p w14:paraId="520ACA5E">
                  <w:pPr>
                    <w:adjustRightInd w:val="0"/>
                    <w:snapToGrid w:val="0"/>
                    <w:jc w:val="center"/>
                    <w:textAlignment w:val="baseline"/>
                    <w:rPr>
                      <w:b/>
                      <w:bCs/>
                      <w:kern w:val="0"/>
                      <w:szCs w:val="21"/>
                    </w:rPr>
                  </w:pPr>
                  <w:r>
                    <w:rPr>
                      <w:rFonts w:hint="eastAsia"/>
                      <w:b/>
                      <w:bCs/>
                      <w:kern w:val="0"/>
                      <w:szCs w:val="21"/>
                    </w:rPr>
                    <w:t>解放路厂区</w:t>
                  </w:r>
                </w:p>
              </w:tc>
            </w:tr>
            <w:tr w14:paraId="520ACA69">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60">
                  <w:pPr>
                    <w:autoSpaceDE w:val="0"/>
                    <w:autoSpaceDN w:val="0"/>
                    <w:adjustRightInd w:val="0"/>
                    <w:snapToGrid w:val="0"/>
                    <w:jc w:val="center"/>
                    <w:rPr>
                      <w:szCs w:val="21"/>
                    </w:rPr>
                  </w:pPr>
                  <w:r>
                    <w:rPr>
                      <w:rFonts w:hint="eastAsia"/>
                      <w:szCs w:val="21"/>
                    </w:rPr>
                    <w:t>1</w:t>
                  </w:r>
                </w:p>
              </w:tc>
              <w:tc>
                <w:tcPr>
                  <w:tcW w:w="788" w:type="pct"/>
                  <w:vAlign w:val="center"/>
                </w:tcPr>
                <w:p w14:paraId="520ACA61">
                  <w:pPr>
                    <w:autoSpaceDE w:val="0"/>
                    <w:autoSpaceDN w:val="0"/>
                    <w:adjustRightInd w:val="0"/>
                    <w:snapToGrid w:val="0"/>
                    <w:jc w:val="center"/>
                    <w:rPr>
                      <w:szCs w:val="21"/>
                    </w:rPr>
                  </w:pPr>
                  <w:r>
                    <w:rPr>
                      <w:rFonts w:hint="eastAsia"/>
                      <w:szCs w:val="21"/>
                    </w:rPr>
                    <w:t>中原社区</w:t>
                  </w:r>
                </w:p>
              </w:tc>
              <w:tc>
                <w:tcPr>
                  <w:tcW w:w="338" w:type="pct"/>
                  <w:vAlign w:val="center"/>
                </w:tcPr>
                <w:p w14:paraId="520ACA62">
                  <w:pPr>
                    <w:autoSpaceDE w:val="0"/>
                    <w:autoSpaceDN w:val="0"/>
                    <w:adjustRightInd w:val="0"/>
                    <w:snapToGrid w:val="0"/>
                    <w:jc w:val="center"/>
                    <w:rPr>
                      <w:rFonts w:eastAsia="等线"/>
                      <w:sz w:val="22"/>
                      <w:szCs w:val="22"/>
                    </w:rPr>
                  </w:pPr>
                  <w:r>
                    <w:rPr>
                      <w:rFonts w:hint="eastAsia" w:eastAsia="等线"/>
                      <w:sz w:val="22"/>
                      <w:szCs w:val="22"/>
                    </w:rPr>
                    <w:t>32</w:t>
                  </w:r>
                </w:p>
              </w:tc>
              <w:tc>
                <w:tcPr>
                  <w:tcW w:w="338" w:type="pct"/>
                  <w:vAlign w:val="center"/>
                </w:tcPr>
                <w:p w14:paraId="520ACA63">
                  <w:pPr>
                    <w:autoSpaceDE w:val="0"/>
                    <w:autoSpaceDN w:val="0"/>
                    <w:adjustRightInd w:val="0"/>
                    <w:snapToGrid w:val="0"/>
                    <w:jc w:val="center"/>
                    <w:rPr>
                      <w:rFonts w:eastAsia="等线"/>
                      <w:sz w:val="22"/>
                      <w:szCs w:val="22"/>
                    </w:rPr>
                  </w:pPr>
                  <w:r>
                    <w:rPr>
                      <w:rFonts w:hint="eastAsia" w:eastAsia="等线"/>
                      <w:sz w:val="22"/>
                      <w:szCs w:val="22"/>
                    </w:rPr>
                    <w:t>-36</w:t>
                  </w:r>
                </w:p>
              </w:tc>
              <w:tc>
                <w:tcPr>
                  <w:tcW w:w="339" w:type="pct"/>
                  <w:vAlign w:val="center"/>
                </w:tcPr>
                <w:p w14:paraId="520ACA64">
                  <w:pPr>
                    <w:autoSpaceDE w:val="0"/>
                    <w:autoSpaceDN w:val="0"/>
                    <w:adjustRightInd w:val="0"/>
                    <w:snapToGrid w:val="0"/>
                    <w:jc w:val="center"/>
                    <w:rPr>
                      <w:szCs w:val="21"/>
                    </w:rPr>
                  </w:pPr>
                  <w:r>
                    <w:rPr>
                      <w:rFonts w:hint="eastAsia"/>
                      <w:szCs w:val="21"/>
                    </w:rPr>
                    <w:t>1.2</w:t>
                  </w:r>
                </w:p>
              </w:tc>
              <w:tc>
                <w:tcPr>
                  <w:tcW w:w="392" w:type="pct"/>
                  <w:vAlign w:val="center"/>
                </w:tcPr>
                <w:p w14:paraId="520ACA65">
                  <w:pPr>
                    <w:autoSpaceDE w:val="0"/>
                    <w:autoSpaceDN w:val="0"/>
                    <w:adjustRightInd w:val="0"/>
                    <w:snapToGrid w:val="0"/>
                    <w:jc w:val="center"/>
                    <w:rPr>
                      <w:szCs w:val="21"/>
                    </w:rPr>
                  </w:pPr>
                  <w:r>
                    <w:rPr>
                      <w:rFonts w:hint="eastAsia"/>
                      <w:szCs w:val="21"/>
                    </w:rPr>
                    <w:t>14</w:t>
                  </w:r>
                </w:p>
              </w:tc>
              <w:tc>
                <w:tcPr>
                  <w:tcW w:w="337" w:type="pct"/>
                  <w:vAlign w:val="center"/>
                </w:tcPr>
                <w:p w14:paraId="520ACA66">
                  <w:pPr>
                    <w:autoSpaceDE w:val="0"/>
                    <w:autoSpaceDN w:val="0"/>
                    <w:adjustRightInd w:val="0"/>
                    <w:snapToGrid w:val="0"/>
                    <w:jc w:val="center"/>
                    <w:rPr>
                      <w:szCs w:val="21"/>
                    </w:rPr>
                  </w:pPr>
                  <w:r>
                    <w:rPr>
                      <w:rFonts w:hint="eastAsia"/>
                      <w:szCs w:val="21"/>
                    </w:rPr>
                    <w:t>南</w:t>
                  </w:r>
                </w:p>
              </w:tc>
              <w:tc>
                <w:tcPr>
                  <w:tcW w:w="844" w:type="pct"/>
                  <w:vMerge w:val="restart"/>
                  <w:vAlign w:val="center"/>
                </w:tcPr>
                <w:p w14:paraId="520ACA67">
                  <w:pPr>
                    <w:adjustRightInd w:val="0"/>
                    <w:snapToGrid w:val="0"/>
                    <w:jc w:val="center"/>
                    <w:textAlignment w:val="baseline"/>
                    <w:rPr>
                      <w:szCs w:val="21"/>
                    </w:rPr>
                  </w:pPr>
                  <w:r>
                    <w:rPr>
                      <w:rFonts w:hint="eastAsia"/>
                      <w:kern w:val="0"/>
                      <w:szCs w:val="21"/>
                    </w:rPr>
                    <w:t>《声环境质量标准》（</w:t>
                  </w:r>
                  <w:r>
                    <w:rPr>
                      <w:kern w:val="0"/>
                      <w:szCs w:val="21"/>
                    </w:rPr>
                    <w:t>GB3096</w:t>
                  </w:r>
                  <w:r>
                    <w:rPr>
                      <w:rFonts w:hint="eastAsia"/>
                      <w:kern w:val="0"/>
                      <w:szCs w:val="21"/>
                    </w:rPr>
                    <w:t>-2008）2类</w:t>
                  </w:r>
                </w:p>
              </w:tc>
              <w:tc>
                <w:tcPr>
                  <w:tcW w:w="1383" w:type="pct"/>
                  <w:vAlign w:val="center"/>
                </w:tcPr>
                <w:p w14:paraId="520ACA68">
                  <w:pPr>
                    <w:adjustRightInd w:val="0"/>
                    <w:snapToGrid w:val="0"/>
                    <w:jc w:val="center"/>
                    <w:textAlignment w:val="baseline"/>
                    <w:rPr>
                      <w:kern w:val="0"/>
                      <w:szCs w:val="21"/>
                    </w:rPr>
                  </w:pPr>
                  <w:r>
                    <w:rPr>
                      <w:rFonts w:hint="eastAsia"/>
                      <w:kern w:val="0"/>
                      <w:szCs w:val="21"/>
                    </w:rPr>
                    <w:t>186栋，2层，南北朝向，约186户</w:t>
                  </w:r>
                </w:p>
              </w:tc>
            </w:tr>
            <w:tr w14:paraId="520ACA73">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6A">
                  <w:pPr>
                    <w:autoSpaceDE w:val="0"/>
                    <w:autoSpaceDN w:val="0"/>
                    <w:adjustRightInd w:val="0"/>
                    <w:snapToGrid w:val="0"/>
                    <w:jc w:val="center"/>
                    <w:rPr>
                      <w:szCs w:val="21"/>
                    </w:rPr>
                  </w:pPr>
                  <w:r>
                    <w:rPr>
                      <w:rFonts w:hint="eastAsia"/>
                      <w:szCs w:val="21"/>
                    </w:rPr>
                    <w:t>2</w:t>
                  </w:r>
                </w:p>
              </w:tc>
              <w:tc>
                <w:tcPr>
                  <w:tcW w:w="788" w:type="pct"/>
                  <w:vAlign w:val="center"/>
                </w:tcPr>
                <w:p w14:paraId="520ACA6B">
                  <w:pPr>
                    <w:autoSpaceDE w:val="0"/>
                    <w:autoSpaceDN w:val="0"/>
                    <w:adjustRightInd w:val="0"/>
                    <w:snapToGrid w:val="0"/>
                    <w:jc w:val="center"/>
                    <w:rPr>
                      <w:szCs w:val="21"/>
                    </w:rPr>
                  </w:pPr>
                  <w:r>
                    <w:rPr>
                      <w:rFonts w:hint="eastAsia"/>
                      <w:szCs w:val="21"/>
                    </w:rPr>
                    <w:t>九鼎美庐</w:t>
                  </w:r>
                </w:p>
              </w:tc>
              <w:tc>
                <w:tcPr>
                  <w:tcW w:w="338" w:type="pct"/>
                  <w:vAlign w:val="center"/>
                </w:tcPr>
                <w:p w14:paraId="520ACA6C">
                  <w:pPr>
                    <w:autoSpaceDE w:val="0"/>
                    <w:autoSpaceDN w:val="0"/>
                    <w:adjustRightInd w:val="0"/>
                    <w:snapToGrid w:val="0"/>
                    <w:jc w:val="center"/>
                    <w:rPr>
                      <w:rFonts w:eastAsia="等线"/>
                      <w:sz w:val="22"/>
                      <w:szCs w:val="22"/>
                    </w:rPr>
                  </w:pPr>
                  <w:r>
                    <w:rPr>
                      <w:rFonts w:hint="eastAsia" w:eastAsia="等线"/>
                      <w:sz w:val="22"/>
                      <w:szCs w:val="22"/>
                    </w:rPr>
                    <w:t>125</w:t>
                  </w:r>
                </w:p>
              </w:tc>
              <w:tc>
                <w:tcPr>
                  <w:tcW w:w="338" w:type="pct"/>
                  <w:vAlign w:val="center"/>
                </w:tcPr>
                <w:p w14:paraId="520ACA6D">
                  <w:pPr>
                    <w:autoSpaceDE w:val="0"/>
                    <w:autoSpaceDN w:val="0"/>
                    <w:adjustRightInd w:val="0"/>
                    <w:snapToGrid w:val="0"/>
                    <w:jc w:val="center"/>
                    <w:rPr>
                      <w:rFonts w:eastAsia="等线"/>
                      <w:sz w:val="22"/>
                      <w:szCs w:val="22"/>
                    </w:rPr>
                  </w:pPr>
                  <w:r>
                    <w:rPr>
                      <w:rFonts w:hint="eastAsia" w:eastAsia="等线"/>
                      <w:sz w:val="22"/>
                      <w:szCs w:val="22"/>
                    </w:rPr>
                    <w:t>313</w:t>
                  </w:r>
                </w:p>
              </w:tc>
              <w:tc>
                <w:tcPr>
                  <w:tcW w:w="339" w:type="pct"/>
                  <w:vAlign w:val="center"/>
                </w:tcPr>
                <w:p w14:paraId="520ACA6E">
                  <w:pPr>
                    <w:autoSpaceDE w:val="0"/>
                    <w:autoSpaceDN w:val="0"/>
                    <w:adjustRightInd w:val="0"/>
                    <w:snapToGrid w:val="0"/>
                    <w:jc w:val="center"/>
                    <w:rPr>
                      <w:szCs w:val="21"/>
                    </w:rPr>
                  </w:pPr>
                  <w:r>
                    <w:rPr>
                      <w:rFonts w:hint="eastAsia"/>
                      <w:szCs w:val="21"/>
                    </w:rPr>
                    <w:t>1.2</w:t>
                  </w:r>
                </w:p>
              </w:tc>
              <w:tc>
                <w:tcPr>
                  <w:tcW w:w="392" w:type="pct"/>
                  <w:vAlign w:val="center"/>
                </w:tcPr>
                <w:p w14:paraId="520ACA6F">
                  <w:pPr>
                    <w:autoSpaceDE w:val="0"/>
                    <w:autoSpaceDN w:val="0"/>
                    <w:adjustRightInd w:val="0"/>
                    <w:snapToGrid w:val="0"/>
                    <w:jc w:val="center"/>
                    <w:rPr>
                      <w:szCs w:val="21"/>
                    </w:rPr>
                  </w:pPr>
                  <w:r>
                    <w:rPr>
                      <w:rFonts w:hint="eastAsia"/>
                      <w:szCs w:val="21"/>
                    </w:rPr>
                    <w:t>42</w:t>
                  </w:r>
                </w:p>
              </w:tc>
              <w:tc>
                <w:tcPr>
                  <w:tcW w:w="337" w:type="pct"/>
                  <w:vAlign w:val="center"/>
                </w:tcPr>
                <w:p w14:paraId="520ACA70">
                  <w:pPr>
                    <w:autoSpaceDE w:val="0"/>
                    <w:autoSpaceDN w:val="0"/>
                    <w:adjustRightInd w:val="0"/>
                    <w:snapToGrid w:val="0"/>
                    <w:jc w:val="center"/>
                    <w:rPr>
                      <w:szCs w:val="21"/>
                    </w:rPr>
                  </w:pPr>
                  <w:r>
                    <w:rPr>
                      <w:rFonts w:hint="eastAsia"/>
                      <w:szCs w:val="21"/>
                    </w:rPr>
                    <w:t>北</w:t>
                  </w:r>
                </w:p>
              </w:tc>
              <w:tc>
                <w:tcPr>
                  <w:tcW w:w="844" w:type="pct"/>
                  <w:vMerge w:val="continue"/>
                  <w:vAlign w:val="center"/>
                </w:tcPr>
                <w:p w14:paraId="520ACA71">
                  <w:pPr>
                    <w:adjustRightInd w:val="0"/>
                    <w:snapToGrid w:val="0"/>
                    <w:jc w:val="center"/>
                    <w:textAlignment w:val="baseline"/>
                    <w:rPr>
                      <w:szCs w:val="21"/>
                    </w:rPr>
                  </w:pPr>
                </w:p>
              </w:tc>
              <w:tc>
                <w:tcPr>
                  <w:tcW w:w="1383" w:type="pct"/>
                  <w:vAlign w:val="center"/>
                </w:tcPr>
                <w:p w14:paraId="520ACA72">
                  <w:pPr>
                    <w:adjustRightInd w:val="0"/>
                    <w:snapToGrid w:val="0"/>
                    <w:jc w:val="center"/>
                    <w:textAlignment w:val="baseline"/>
                    <w:rPr>
                      <w:kern w:val="0"/>
                      <w:szCs w:val="21"/>
                    </w:rPr>
                  </w:pPr>
                  <w:r>
                    <w:rPr>
                      <w:rFonts w:hint="eastAsia"/>
                      <w:kern w:val="0"/>
                      <w:szCs w:val="21"/>
                    </w:rPr>
                    <w:t>9栋，18层，南北朝向，约972户</w:t>
                  </w:r>
                </w:p>
              </w:tc>
            </w:tr>
            <w:tr w14:paraId="520ACA7D">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74">
                  <w:pPr>
                    <w:autoSpaceDE w:val="0"/>
                    <w:autoSpaceDN w:val="0"/>
                    <w:adjustRightInd w:val="0"/>
                    <w:snapToGrid w:val="0"/>
                    <w:jc w:val="center"/>
                    <w:rPr>
                      <w:szCs w:val="21"/>
                    </w:rPr>
                  </w:pPr>
                  <w:r>
                    <w:rPr>
                      <w:rFonts w:hint="eastAsia"/>
                      <w:szCs w:val="21"/>
                    </w:rPr>
                    <w:t>3</w:t>
                  </w:r>
                </w:p>
              </w:tc>
              <w:tc>
                <w:tcPr>
                  <w:tcW w:w="788" w:type="pct"/>
                  <w:vAlign w:val="center"/>
                </w:tcPr>
                <w:p w14:paraId="520ACA75">
                  <w:pPr>
                    <w:autoSpaceDE w:val="0"/>
                    <w:autoSpaceDN w:val="0"/>
                    <w:adjustRightInd w:val="0"/>
                    <w:snapToGrid w:val="0"/>
                    <w:jc w:val="center"/>
                    <w:rPr>
                      <w:szCs w:val="21"/>
                    </w:rPr>
                  </w:pPr>
                  <w:r>
                    <w:rPr>
                      <w:rFonts w:hint="eastAsia"/>
                      <w:szCs w:val="21"/>
                    </w:rPr>
                    <w:t>1</w:t>
                  </w:r>
                  <w:r>
                    <w:rPr>
                      <w:szCs w:val="21"/>
                    </w:rPr>
                    <w:t>16</w:t>
                  </w:r>
                  <w:r>
                    <w:rPr>
                      <w:rFonts w:hint="eastAsia"/>
                      <w:szCs w:val="21"/>
                    </w:rPr>
                    <w:t>家属院</w:t>
                  </w:r>
                </w:p>
              </w:tc>
              <w:tc>
                <w:tcPr>
                  <w:tcW w:w="338" w:type="pct"/>
                  <w:vAlign w:val="center"/>
                </w:tcPr>
                <w:p w14:paraId="520ACA76">
                  <w:pPr>
                    <w:autoSpaceDE w:val="0"/>
                    <w:autoSpaceDN w:val="0"/>
                    <w:adjustRightInd w:val="0"/>
                    <w:snapToGrid w:val="0"/>
                    <w:jc w:val="center"/>
                    <w:rPr>
                      <w:rFonts w:eastAsia="等线"/>
                      <w:sz w:val="22"/>
                      <w:szCs w:val="22"/>
                    </w:rPr>
                  </w:pPr>
                  <w:r>
                    <w:rPr>
                      <w:rFonts w:hint="eastAsia" w:eastAsia="等线"/>
                      <w:sz w:val="22"/>
                      <w:szCs w:val="22"/>
                    </w:rPr>
                    <w:t>375</w:t>
                  </w:r>
                </w:p>
              </w:tc>
              <w:tc>
                <w:tcPr>
                  <w:tcW w:w="338" w:type="pct"/>
                  <w:vAlign w:val="center"/>
                </w:tcPr>
                <w:p w14:paraId="520ACA77">
                  <w:pPr>
                    <w:autoSpaceDE w:val="0"/>
                    <w:autoSpaceDN w:val="0"/>
                    <w:adjustRightInd w:val="0"/>
                    <w:snapToGrid w:val="0"/>
                    <w:jc w:val="center"/>
                    <w:rPr>
                      <w:rFonts w:eastAsia="等线"/>
                      <w:sz w:val="22"/>
                      <w:szCs w:val="22"/>
                    </w:rPr>
                  </w:pPr>
                  <w:r>
                    <w:rPr>
                      <w:rFonts w:hint="eastAsia" w:eastAsia="等线"/>
                      <w:sz w:val="22"/>
                      <w:szCs w:val="22"/>
                    </w:rPr>
                    <w:t>141</w:t>
                  </w:r>
                </w:p>
              </w:tc>
              <w:tc>
                <w:tcPr>
                  <w:tcW w:w="339" w:type="pct"/>
                  <w:vAlign w:val="center"/>
                </w:tcPr>
                <w:p w14:paraId="520ACA78">
                  <w:pPr>
                    <w:autoSpaceDE w:val="0"/>
                    <w:autoSpaceDN w:val="0"/>
                    <w:adjustRightInd w:val="0"/>
                    <w:snapToGrid w:val="0"/>
                    <w:jc w:val="center"/>
                    <w:rPr>
                      <w:szCs w:val="21"/>
                    </w:rPr>
                  </w:pPr>
                  <w:r>
                    <w:rPr>
                      <w:rFonts w:hint="eastAsia"/>
                      <w:szCs w:val="21"/>
                    </w:rPr>
                    <w:t>1.2</w:t>
                  </w:r>
                </w:p>
              </w:tc>
              <w:tc>
                <w:tcPr>
                  <w:tcW w:w="392" w:type="pct"/>
                  <w:vAlign w:val="center"/>
                </w:tcPr>
                <w:p w14:paraId="520ACA79">
                  <w:pPr>
                    <w:autoSpaceDE w:val="0"/>
                    <w:autoSpaceDN w:val="0"/>
                    <w:adjustRightInd w:val="0"/>
                    <w:snapToGrid w:val="0"/>
                    <w:jc w:val="center"/>
                    <w:rPr>
                      <w:szCs w:val="21"/>
                    </w:rPr>
                  </w:pPr>
                  <w:r>
                    <w:rPr>
                      <w:rFonts w:hint="eastAsia"/>
                      <w:szCs w:val="21"/>
                    </w:rPr>
                    <w:t>35</w:t>
                  </w:r>
                </w:p>
              </w:tc>
              <w:tc>
                <w:tcPr>
                  <w:tcW w:w="337" w:type="pct"/>
                  <w:vAlign w:val="center"/>
                </w:tcPr>
                <w:p w14:paraId="520ACA7A">
                  <w:pPr>
                    <w:autoSpaceDE w:val="0"/>
                    <w:autoSpaceDN w:val="0"/>
                    <w:adjustRightInd w:val="0"/>
                    <w:snapToGrid w:val="0"/>
                    <w:jc w:val="center"/>
                    <w:rPr>
                      <w:szCs w:val="21"/>
                    </w:rPr>
                  </w:pPr>
                  <w:r>
                    <w:rPr>
                      <w:rFonts w:hint="eastAsia"/>
                      <w:szCs w:val="21"/>
                    </w:rPr>
                    <w:t>东</w:t>
                  </w:r>
                </w:p>
              </w:tc>
              <w:tc>
                <w:tcPr>
                  <w:tcW w:w="844" w:type="pct"/>
                  <w:vMerge w:val="continue"/>
                  <w:vAlign w:val="center"/>
                </w:tcPr>
                <w:p w14:paraId="520ACA7B">
                  <w:pPr>
                    <w:adjustRightInd w:val="0"/>
                    <w:snapToGrid w:val="0"/>
                    <w:jc w:val="center"/>
                    <w:textAlignment w:val="baseline"/>
                    <w:rPr>
                      <w:szCs w:val="21"/>
                    </w:rPr>
                  </w:pPr>
                </w:p>
              </w:tc>
              <w:tc>
                <w:tcPr>
                  <w:tcW w:w="1383" w:type="pct"/>
                  <w:vAlign w:val="center"/>
                </w:tcPr>
                <w:p w14:paraId="520ACA7C">
                  <w:pPr>
                    <w:adjustRightInd w:val="0"/>
                    <w:snapToGrid w:val="0"/>
                    <w:jc w:val="center"/>
                    <w:textAlignment w:val="baseline"/>
                    <w:rPr>
                      <w:kern w:val="0"/>
                      <w:szCs w:val="21"/>
                    </w:rPr>
                  </w:pPr>
                  <w:r>
                    <w:rPr>
                      <w:rFonts w:hint="eastAsia"/>
                      <w:kern w:val="0"/>
                      <w:szCs w:val="21"/>
                    </w:rPr>
                    <w:t>9栋，6层，南北朝向，约324户</w:t>
                  </w:r>
                </w:p>
              </w:tc>
            </w:tr>
            <w:tr w14:paraId="520ACA87">
              <w:tblPrEx>
                <w:tblBorders>
                  <w:top w:val="single" w:color="auto" w:sz="8" w:space="0"/>
                  <w:left w:val="none" w:color="auto" w:sz="0" w:space="0"/>
                  <w:bottom w:val="single" w:color="auto" w:sz="8"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97" w:hRule="atLeast"/>
                <w:jc w:val="center"/>
              </w:trPr>
              <w:tc>
                <w:tcPr>
                  <w:tcW w:w="241" w:type="pct"/>
                  <w:vAlign w:val="center"/>
                </w:tcPr>
                <w:p w14:paraId="520ACA7E">
                  <w:pPr>
                    <w:autoSpaceDE w:val="0"/>
                    <w:autoSpaceDN w:val="0"/>
                    <w:adjustRightInd w:val="0"/>
                    <w:snapToGrid w:val="0"/>
                    <w:jc w:val="center"/>
                    <w:rPr>
                      <w:szCs w:val="21"/>
                    </w:rPr>
                  </w:pPr>
                  <w:r>
                    <w:rPr>
                      <w:rFonts w:hint="eastAsia"/>
                      <w:szCs w:val="21"/>
                    </w:rPr>
                    <w:t>4</w:t>
                  </w:r>
                </w:p>
              </w:tc>
              <w:tc>
                <w:tcPr>
                  <w:tcW w:w="788" w:type="pct"/>
                  <w:vAlign w:val="center"/>
                </w:tcPr>
                <w:p w14:paraId="520ACA7F">
                  <w:pPr>
                    <w:autoSpaceDE w:val="0"/>
                    <w:autoSpaceDN w:val="0"/>
                    <w:adjustRightInd w:val="0"/>
                    <w:snapToGrid w:val="0"/>
                    <w:jc w:val="center"/>
                    <w:rPr>
                      <w:szCs w:val="21"/>
                    </w:rPr>
                  </w:pPr>
                  <w:r>
                    <w:rPr>
                      <w:rFonts w:hint="eastAsia"/>
                      <w:szCs w:val="21"/>
                    </w:rPr>
                    <w:t>利民巷社区</w:t>
                  </w:r>
                </w:p>
              </w:tc>
              <w:tc>
                <w:tcPr>
                  <w:tcW w:w="338" w:type="pct"/>
                  <w:vAlign w:val="center"/>
                </w:tcPr>
                <w:p w14:paraId="520ACA80">
                  <w:pPr>
                    <w:autoSpaceDE w:val="0"/>
                    <w:autoSpaceDN w:val="0"/>
                    <w:adjustRightInd w:val="0"/>
                    <w:snapToGrid w:val="0"/>
                    <w:jc w:val="center"/>
                    <w:rPr>
                      <w:rFonts w:eastAsia="等线"/>
                      <w:sz w:val="22"/>
                      <w:szCs w:val="22"/>
                    </w:rPr>
                  </w:pPr>
                  <w:r>
                    <w:rPr>
                      <w:rFonts w:hint="eastAsia" w:eastAsia="等线"/>
                      <w:sz w:val="22"/>
                      <w:szCs w:val="22"/>
                    </w:rPr>
                    <w:t>348</w:t>
                  </w:r>
                </w:p>
              </w:tc>
              <w:tc>
                <w:tcPr>
                  <w:tcW w:w="338" w:type="pct"/>
                  <w:vAlign w:val="center"/>
                </w:tcPr>
                <w:p w14:paraId="520ACA81">
                  <w:pPr>
                    <w:autoSpaceDE w:val="0"/>
                    <w:autoSpaceDN w:val="0"/>
                    <w:adjustRightInd w:val="0"/>
                    <w:snapToGrid w:val="0"/>
                    <w:jc w:val="center"/>
                    <w:rPr>
                      <w:rFonts w:eastAsia="等线"/>
                      <w:sz w:val="22"/>
                      <w:szCs w:val="22"/>
                    </w:rPr>
                  </w:pPr>
                  <w:r>
                    <w:rPr>
                      <w:rFonts w:hint="eastAsia" w:eastAsia="等线"/>
                      <w:sz w:val="22"/>
                      <w:szCs w:val="22"/>
                    </w:rPr>
                    <w:t>22</w:t>
                  </w:r>
                </w:p>
              </w:tc>
              <w:tc>
                <w:tcPr>
                  <w:tcW w:w="339" w:type="pct"/>
                  <w:vAlign w:val="center"/>
                </w:tcPr>
                <w:p w14:paraId="520ACA82">
                  <w:pPr>
                    <w:autoSpaceDE w:val="0"/>
                    <w:autoSpaceDN w:val="0"/>
                    <w:adjustRightInd w:val="0"/>
                    <w:snapToGrid w:val="0"/>
                    <w:jc w:val="center"/>
                    <w:rPr>
                      <w:szCs w:val="21"/>
                    </w:rPr>
                  </w:pPr>
                  <w:r>
                    <w:rPr>
                      <w:rFonts w:hint="eastAsia"/>
                      <w:szCs w:val="21"/>
                    </w:rPr>
                    <w:t>1.2</w:t>
                  </w:r>
                </w:p>
              </w:tc>
              <w:tc>
                <w:tcPr>
                  <w:tcW w:w="392" w:type="pct"/>
                  <w:vAlign w:val="center"/>
                </w:tcPr>
                <w:p w14:paraId="520ACA83">
                  <w:pPr>
                    <w:autoSpaceDE w:val="0"/>
                    <w:autoSpaceDN w:val="0"/>
                    <w:adjustRightInd w:val="0"/>
                    <w:snapToGrid w:val="0"/>
                    <w:jc w:val="center"/>
                    <w:rPr>
                      <w:szCs w:val="21"/>
                    </w:rPr>
                  </w:pPr>
                  <w:r>
                    <w:rPr>
                      <w:rFonts w:hint="eastAsia"/>
                      <w:szCs w:val="21"/>
                    </w:rPr>
                    <w:t>35</w:t>
                  </w:r>
                </w:p>
              </w:tc>
              <w:tc>
                <w:tcPr>
                  <w:tcW w:w="337" w:type="pct"/>
                  <w:vAlign w:val="center"/>
                </w:tcPr>
                <w:p w14:paraId="520ACA84">
                  <w:pPr>
                    <w:autoSpaceDE w:val="0"/>
                    <w:autoSpaceDN w:val="0"/>
                    <w:adjustRightInd w:val="0"/>
                    <w:snapToGrid w:val="0"/>
                    <w:jc w:val="center"/>
                    <w:rPr>
                      <w:szCs w:val="21"/>
                    </w:rPr>
                  </w:pPr>
                  <w:r>
                    <w:rPr>
                      <w:rFonts w:hint="eastAsia"/>
                      <w:szCs w:val="21"/>
                    </w:rPr>
                    <w:t>东</w:t>
                  </w:r>
                </w:p>
              </w:tc>
              <w:tc>
                <w:tcPr>
                  <w:tcW w:w="844" w:type="pct"/>
                  <w:vMerge w:val="continue"/>
                  <w:vAlign w:val="center"/>
                </w:tcPr>
                <w:p w14:paraId="520ACA85">
                  <w:pPr>
                    <w:adjustRightInd w:val="0"/>
                    <w:snapToGrid w:val="0"/>
                    <w:jc w:val="center"/>
                    <w:textAlignment w:val="baseline"/>
                    <w:rPr>
                      <w:szCs w:val="21"/>
                    </w:rPr>
                  </w:pPr>
                </w:p>
              </w:tc>
              <w:tc>
                <w:tcPr>
                  <w:tcW w:w="1383" w:type="pct"/>
                  <w:vAlign w:val="center"/>
                </w:tcPr>
                <w:p w14:paraId="520ACA86">
                  <w:pPr>
                    <w:adjustRightInd w:val="0"/>
                    <w:snapToGrid w:val="0"/>
                    <w:jc w:val="center"/>
                    <w:textAlignment w:val="baseline"/>
                    <w:rPr>
                      <w:kern w:val="0"/>
                      <w:szCs w:val="21"/>
                    </w:rPr>
                  </w:pPr>
                  <w:r>
                    <w:rPr>
                      <w:rFonts w:hint="eastAsia"/>
                      <w:kern w:val="0"/>
                      <w:szCs w:val="21"/>
                    </w:rPr>
                    <w:t>127栋，2层，南北朝向，约127户</w:t>
                  </w:r>
                </w:p>
              </w:tc>
            </w:tr>
          </w:tbl>
          <w:p w14:paraId="520ACA88">
            <w:pPr>
              <w:spacing w:line="460" w:lineRule="exact"/>
              <w:ind w:firstLine="482" w:firstLineChars="200"/>
              <w:rPr>
                <w:b/>
                <w:sz w:val="24"/>
                <w:highlight w:val="yellow"/>
              </w:rPr>
            </w:pPr>
          </w:p>
          <w:p w14:paraId="520ACA89">
            <w:pPr>
              <w:spacing w:line="460" w:lineRule="exact"/>
              <w:ind w:firstLine="482" w:firstLineChars="200"/>
              <w:rPr>
                <w:b/>
                <w:sz w:val="24"/>
                <w:highlight w:val="yellow"/>
              </w:rPr>
            </w:pPr>
          </w:p>
          <w:p w14:paraId="520ACA8A">
            <w:pPr>
              <w:spacing w:line="460" w:lineRule="exact"/>
              <w:ind w:firstLine="482" w:firstLineChars="200"/>
              <w:rPr>
                <w:b/>
                <w:sz w:val="24"/>
                <w:highlight w:val="yellow"/>
              </w:rPr>
            </w:pPr>
          </w:p>
          <w:p w14:paraId="520ACA8B">
            <w:pPr>
              <w:spacing w:line="460" w:lineRule="exact"/>
              <w:ind w:firstLine="482" w:firstLineChars="200"/>
              <w:rPr>
                <w:b/>
                <w:sz w:val="24"/>
                <w:highlight w:val="yellow"/>
              </w:rPr>
            </w:pPr>
          </w:p>
          <w:p w14:paraId="520ACA8C">
            <w:pPr>
              <w:spacing w:line="460" w:lineRule="exact"/>
              <w:ind w:firstLine="482" w:firstLineChars="200"/>
              <w:rPr>
                <w:b/>
                <w:sz w:val="24"/>
                <w:highlight w:val="yellow"/>
              </w:rPr>
            </w:pPr>
          </w:p>
          <w:p w14:paraId="520ACA8D">
            <w:pPr>
              <w:spacing w:line="460" w:lineRule="exact"/>
              <w:ind w:firstLine="482" w:firstLineChars="200"/>
              <w:rPr>
                <w:b/>
                <w:sz w:val="24"/>
                <w:highlight w:val="yellow"/>
              </w:rPr>
            </w:pPr>
          </w:p>
          <w:p w14:paraId="520ACA8E">
            <w:pPr>
              <w:spacing w:line="460" w:lineRule="exact"/>
              <w:ind w:firstLine="482" w:firstLineChars="200"/>
              <w:rPr>
                <w:b/>
                <w:sz w:val="24"/>
                <w:highlight w:val="yellow"/>
              </w:rPr>
            </w:pPr>
          </w:p>
          <w:p w14:paraId="520ACA8F">
            <w:pPr>
              <w:spacing w:line="460" w:lineRule="exact"/>
              <w:ind w:firstLine="482" w:firstLineChars="200"/>
              <w:rPr>
                <w:b/>
                <w:sz w:val="24"/>
                <w:highlight w:val="yellow"/>
              </w:rPr>
            </w:pPr>
          </w:p>
          <w:p w14:paraId="520ACA90">
            <w:pPr>
              <w:spacing w:line="460" w:lineRule="exact"/>
              <w:ind w:firstLine="482" w:firstLineChars="200"/>
              <w:rPr>
                <w:b/>
                <w:sz w:val="24"/>
                <w:highlight w:val="yellow"/>
              </w:rPr>
            </w:pPr>
          </w:p>
          <w:p w14:paraId="520ACA91">
            <w:pPr>
              <w:spacing w:line="460" w:lineRule="exact"/>
              <w:ind w:firstLine="482" w:firstLineChars="200"/>
              <w:rPr>
                <w:b/>
                <w:sz w:val="24"/>
                <w:highlight w:val="yellow"/>
              </w:rPr>
            </w:pPr>
          </w:p>
          <w:p w14:paraId="520ACA92">
            <w:pPr>
              <w:spacing w:line="460" w:lineRule="exact"/>
              <w:ind w:firstLine="482" w:firstLineChars="200"/>
              <w:rPr>
                <w:b/>
                <w:sz w:val="24"/>
                <w:highlight w:val="yellow"/>
              </w:rPr>
            </w:pPr>
          </w:p>
        </w:tc>
      </w:tr>
    </w:tbl>
    <w:p w14:paraId="520ACA94">
      <w:pPr>
        <w:adjustRightInd w:val="0"/>
        <w:snapToGrid w:val="0"/>
        <w:rPr>
          <w:rFonts w:ascii="宋体" w:cs="宋体"/>
          <w:b/>
          <w:kern w:val="0"/>
          <w:sz w:val="15"/>
          <w:szCs w:val="15"/>
          <w:highlight w:val="yellow"/>
        </w:rPr>
        <w:sectPr>
          <w:pgSz w:w="16840" w:h="11907" w:orient="landscape"/>
          <w:pgMar w:top="1531" w:right="1701" w:bottom="1531" w:left="2127" w:header="851" w:footer="851" w:gutter="0"/>
          <w:cols w:space="720" w:num="1"/>
          <w:docGrid w:linePitch="312" w:charSpace="0"/>
        </w:sectPr>
      </w:pPr>
    </w:p>
    <w:tbl>
      <w:tblPr>
        <w:tblStyle w:val="18"/>
        <w:tblW w:w="890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57"/>
        <w:gridCol w:w="8351"/>
      </w:tblGrid>
      <w:tr w14:paraId="520ACE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557" w:type="dxa"/>
            <w:tcMar>
              <w:left w:w="28" w:type="dxa"/>
              <w:right w:w="28" w:type="dxa"/>
            </w:tcMar>
            <w:vAlign w:val="center"/>
          </w:tcPr>
          <w:p w14:paraId="520ACA95">
            <w:pPr>
              <w:adjustRightInd w:val="0"/>
              <w:snapToGrid w:val="0"/>
              <w:jc w:val="center"/>
              <w:rPr>
                <w:rFonts w:hint="eastAsia" w:ascii="宋体" w:hAnsi="宋体" w:cs="宋体"/>
                <w:bCs/>
                <w:szCs w:val="21"/>
              </w:rPr>
            </w:pPr>
            <w:r>
              <w:rPr>
                <w:rFonts w:hint="eastAsia" w:ascii="宋体" w:hAnsi="宋体" w:cs="宋体"/>
                <w:bCs/>
                <w:szCs w:val="21"/>
              </w:rPr>
              <w:t>运营</w:t>
            </w:r>
          </w:p>
          <w:p w14:paraId="520ACA96">
            <w:pPr>
              <w:adjustRightInd w:val="0"/>
              <w:snapToGrid w:val="0"/>
              <w:jc w:val="center"/>
              <w:rPr>
                <w:rFonts w:hint="eastAsia" w:ascii="宋体" w:hAnsi="宋体" w:cs="宋体"/>
                <w:bCs/>
                <w:szCs w:val="21"/>
              </w:rPr>
            </w:pPr>
            <w:r>
              <w:rPr>
                <w:rFonts w:hint="eastAsia" w:ascii="宋体" w:hAnsi="宋体" w:cs="宋体"/>
                <w:bCs/>
                <w:szCs w:val="21"/>
              </w:rPr>
              <w:t>期环</w:t>
            </w:r>
          </w:p>
          <w:p w14:paraId="520ACA97">
            <w:pPr>
              <w:adjustRightInd w:val="0"/>
              <w:snapToGrid w:val="0"/>
              <w:jc w:val="center"/>
              <w:rPr>
                <w:rFonts w:hint="eastAsia" w:ascii="宋体" w:hAnsi="宋体" w:cs="宋体"/>
                <w:bCs/>
                <w:szCs w:val="21"/>
              </w:rPr>
            </w:pPr>
            <w:r>
              <w:rPr>
                <w:rFonts w:hint="eastAsia" w:ascii="宋体" w:hAnsi="宋体" w:cs="宋体"/>
                <w:bCs/>
                <w:szCs w:val="21"/>
              </w:rPr>
              <w:t>境影</w:t>
            </w:r>
          </w:p>
          <w:p w14:paraId="520ACA98">
            <w:pPr>
              <w:adjustRightInd w:val="0"/>
              <w:snapToGrid w:val="0"/>
              <w:jc w:val="center"/>
              <w:rPr>
                <w:rFonts w:hint="eastAsia" w:ascii="宋体" w:hAnsi="宋体" w:cs="宋体"/>
                <w:bCs/>
                <w:szCs w:val="21"/>
              </w:rPr>
            </w:pPr>
            <w:r>
              <w:rPr>
                <w:rFonts w:hint="eastAsia" w:ascii="宋体" w:hAnsi="宋体" w:cs="宋体"/>
                <w:bCs/>
                <w:szCs w:val="21"/>
              </w:rPr>
              <w:t>响和</w:t>
            </w:r>
          </w:p>
          <w:p w14:paraId="520ACA99">
            <w:pPr>
              <w:adjustRightInd w:val="0"/>
              <w:snapToGrid w:val="0"/>
              <w:jc w:val="center"/>
              <w:rPr>
                <w:rFonts w:hint="eastAsia" w:ascii="宋体" w:hAnsi="宋体" w:cs="宋体"/>
                <w:bCs/>
                <w:szCs w:val="21"/>
              </w:rPr>
            </w:pPr>
            <w:r>
              <w:rPr>
                <w:rFonts w:hint="eastAsia" w:ascii="宋体" w:hAnsi="宋体" w:cs="宋体"/>
                <w:bCs/>
                <w:szCs w:val="21"/>
              </w:rPr>
              <w:t>保护</w:t>
            </w:r>
          </w:p>
          <w:p w14:paraId="520ACA9A">
            <w:pPr>
              <w:adjustRightInd w:val="0"/>
              <w:snapToGrid w:val="0"/>
              <w:jc w:val="center"/>
              <w:rPr>
                <w:rFonts w:hint="eastAsia" w:ascii="宋体" w:hAnsi="宋体" w:cs="宋体"/>
                <w:bCs/>
                <w:szCs w:val="21"/>
                <w:highlight w:val="yellow"/>
              </w:rPr>
            </w:pPr>
            <w:r>
              <w:rPr>
                <w:rFonts w:hint="eastAsia" w:ascii="宋体" w:hAnsi="宋体" w:cs="宋体"/>
                <w:bCs/>
                <w:szCs w:val="21"/>
              </w:rPr>
              <w:t>措施</w:t>
            </w:r>
          </w:p>
        </w:tc>
        <w:tc>
          <w:tcPr>
            <w:tcW w:w="8351" w:type="dxa"/>
            <w:vAlign w:val="center"/>
          </w:tcPr>
          <w:p w14:paraId="520ACA9B">
            <w:pPr>
              <w:spacing w:line="460" w:lineRule="exact"/>
              <w:ind w:firstLine="482" w:firstLineChars="200"/>
              <w:rPr>
                <w:b/>
                <w:bCs/>
                <w:sz w:val="24"/>
              </w:rPr>
            </w:pPr>
            <w:r>
              <w:rPr>
                <w:rFonts w:hint="eastAsia"/>
                <w:b/>
                <w:bCs/>
                <w:sz w:val="24"/>
              </w:rPr>
              <w:t>2、预测计算</w:t>
            </w:r>
          </w:p>
          <w:p w14:paraId="520ACA9C">
            <w:pPr>
              <w:spacing w:line="460" w:lineRule="exact"/>
              <w:ind w:firstLine="480" w:firstLineChars="200"/>
              <w:rPr>
                <w:sz w:val="24"/>
              </w:rPr>
            </w:pPr>
            <w:r>
              <w:rPr>
                <w:rFonts w:hint="eastAsia"/>
                <w:sz w:val="24"/>
              </w:rPr>
              <w:t>（1）噪声源衰减分析方法</w:t>
            </w:r>
          </w:p>
          <w:p w14:paraId="520ACA9D">
            <w:pPr>
              <w:spacing w:line="460" w:lineRule="exact"/>
              <w:ind w:firstLine="480" w:firstLineChars="200"/>
              <w:rPr>
                <w:sz w:val="24"/>
              </w:rPr>
            </w:pPr>
            <w:r>
              <w:rPr>
                <w:rFonts w:hint="eastAsia"/>
                <w:sz w:val="24"/>
              </w:rPr>
              <w:t>设备声源传播到受声点的距离为r，厂房高度为a，厂房的长度为b，对于靠近墙面中心为r距离的受声点声压级的计算（仅考虑距离衰减）：</w:t>
            </w:r>
          </w:p>
          <w:p w14:paraId="520ACA9E">
            <w:pPr>
              <w:spacing w:line="460" w:lineRule="exact"/>
              <w:ind w:firstLine="480" w:firstLineChars="200"/>
              <w:rPr>
                <w:sz w:val="24"/>
              </w:rPr>
            </w:pPr>
            <w:r>
              <w:rPr>
                <w:rFonts w:hint="eastAsia"/>
                <w:sz w:val="24"/>
              </w:rPr>
              <w:t>当r≤a/π，噪声传播途径中的声级值与距离无关，基本上没有明显衰减；</w:t>
            </w:r>
          </w:p>
          <w:p w14:paraId="520ACA9F">
            <w:pPr>
              <w:spacing w:line="460" w:lineRule="exact"/>
              <w:ind w:firstLine="480" w:firstLineChars="200"/>
              <w:rPr>
                <w:sz w:val="24"/>
              </w:rPr>
            </w:pPr>
            <w:r>
              <w:rPr>
                <w:rFonts w:hint="eastAsia"/>
                <w:sz w:val="24"/>
              </w:rPr>
              <w:t>当a/π≤r≤b/π时，声源面可近似退化为线源，声压级计算公式为：</w:t>
            </w:r>
          </w:p>
          <w:p w14:paraId="520ACAA0">
            <w:pPr>
              <w:pStyle w:val="59"/>
            </w:pPr>
            <w:r>
              <w:drawing>
                <wp:inline distT="0" distB="0" distL="114300" distR="114300">
                  <wp:extent cx="1219200" cy="232410"/>
                  <wp:effectExtent l="0" t="0" r="0" b="15875"/>
                  <wp:docPr id="338259548"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259548" name="图片 19"/>
                          <pic:cNvPicPr>
                            <a:picLocks noChangeAspect="1"/>
                          </pic:cNvPicPr>
                        </pic:nvPicPr>
                        <pic:blipFill>
                          <a:blip r:embed="rId28"/>
                          <a:stretch>
                            <a:fillRect/>
                          </a:stretch>
                        </pic:blipFill>
                        <pic:spPr>
                          <a:xfrm>
                            <a:off x="0" y="0"/>
                            <a:ext cx="1219200" cy="232410"/>
                          </a:xfrm>
                          <a:prstGeom prst="rect">
                            <a:avLst/>
                          </a:prstGeom>
                        </pic:spPr>
                      </pic:pic>
                    </a:graphicData>
                  </a:graphic>
                </wp:inline>
              </w:drawing>
            </w:r>
          </w:p>
          <w:p w14:paraId="520ACAA1">
            <w:pPr>
              <w:spacing w:line="460" w:lineRule="exact"/>
              <w:ind w:firstLine="480" w:firstLineChars="200"/>
              <w:rPr>
                <w:sz w:val="24"/>
              </w:rPr>
            </w:pPr>
            <w:r>
              <w:rPr>
                <w:rFonts w:hint="eastAsia"/>
                <w:sz w:val="24"/>
              </w:rPr>
              <w:t>当r＞b/π时，可近似认为声源退化为一个点源，计算公式为：</w:t>
            </w:r>
          </w:p>
          <w:p w14:paraId="520ACAA2">
            <w:pPr>
              <w:pStyle w:val="59"/>
            </w:pPr>
            <w:r>
              <w:drawing>
                <wp:inline distT="0" distB="0" distL="114300" distR="114300">
                  <wp:extent cx="1385570" cy="221615"/>
                  <wp:effectExtent l="0" t="0" r="5080" b="5715"/>
                  <wp:docPr id="1995526319"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5526319" name="图片 22"/>
                          <pic:cNvPicPr>
                            <a:picLocks noChangeAspect="1"/>
                          </pic:cNvPicPr>
                        </pic:nvPicPr>
                        <pic:blipFill>
                          <a:blip r:embed="rId29"/>
                          <a:stretch>
                            <a:fillRect/>
                          </a:stretch>
                        </pic:blipFill>
                        <pic:spPr>
                          <a:xfrm>
                            <a:off x="0" y="0"/>
                            <a:ext cx="1385570" cy="221615"/>
                          </a:xfrm>
                          <a:prstGeom prst="rect">
                            <a:avLst/>
                          </a:prstGeom>
                        </pic:spPr>
                      </pic:pic>
                    </a:graphicData>
                  </a:graphic>
                </wp:inline>
              </w:drawing>
            </w:r>
          </w:p>
          <w:p w14:paraId="520ACAA3">
            <w:pPr>
              <w:spacing w:line="460" w:lineRule="exact"/>
              <w:ind w:firstLine="480" w:firstLineChars="200"/>
              <w:rPr>
                <w:sz w:val="24"/>
              </w:rPr>
            </w:pPr>
            <w:r>
              <w:rPr>
                <w:rFonts w:hint="eastAsia"/>
                <w:sz w:val="24"/>
              </w:rPr>
              <w:t>式中：</w:t>
            </w:r>
            <w:r>
              <w:rPr>
                <w:sz w:val="24"/>
              </w:rPr>
              <w:drawing>
                <wp:inline distT="0" distB="0" distL="114300" distR="114300">
                  <wp:extent cx="184150" cy="224155"/>
                  <wp:effectExtent l="0" t="0" r="6350" b="3810"/>
                  <wp:docPr id="716468708"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468708" name="图片 23"/>
                          <pic:cNvPicPr>
                            <a:picLocks noChangeAspect="1"/>
                          </pic:cNvPicPr>
                        </pic:nvPicPr>
                        <pic:blipFill>
                          <a:blip r:embed="rId30"/>
                          <a:stretch>
                            <a:fillRect/>
                          </a:stretch>
                        </pic:blipFill>
                        <pic:spPr>
                          <a:xfrm>
                            <a:off x="0" y="0"/>
                            <a:ext cx="184150" cy="224155"/>
                          </a:xfrm>
                          <a:prstGeom prst="rect">
                            <a:avLst/>
                          </a:prstGeom>
                        </pic:spPr>
                      </pic:pic>
                    </a:graphicData>
                  </a:graphic>
                </wp:inline>
              </w:drawing>
            </w:r>
            <w:r>
              <w:rPr>
                <w:sz w:val="24"/>
              </w:rPr>
              <w:t>—</w:t>
            </w:r>
            <w:r>
              <w:rPr>
                <w:rFonts w:hint="eastAsia"/>
                <w:sz w:val="24"/>
              </w:rPr>
              <w:t>距噪声源距离为</w:t>
            </w:r>
            <w:r>
              <w:rPr>
                <w:sz w:val="24"/>
              </w:rPr>
              <w:drawing>
                <wp:inline distT="0" distB="0" distL="114300" distR="114300">
                  <wp:extent cx="116205" cy="139065"/>
                  <wp:effectExtent l="0" t="0" r="17145" b="13970"/>
                  <wp:docPr id="2113998931"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998931" name="图片 24"/>
                          <pic:cNvPicPr>
                            <a:picLocks noChangeAspect="1"/>
                          </pic:cNvPicPr>
                        </pic:nvPicPr>
                        <pic:blipFill>
                          <a:blip r:embed="rId31"/>
                          <a:stretch>
                            <a:fillRect/>
                          </a:stretch>
                        </pic:blipFill>
                        <pic:spPr>
                          <a:xfrm>
                            <a:off x="0" y="0"/>
                            <a:ext cx="116205" cy="139065"/>
                          </a:xfrm>
                          <a:prstGeom prst="rect">
                            <a:avLst/>
                          </a:prstGeom>
                        </pic:spPr>
                      </pic:pic>
                    </a:graphicData>
                  </a:graphic>
                </wp:inline>
              </w:drawing>
            </w:r>
            <w:r>
              <w:rPr>
                <w:rFonts w:hint="eastAsia"/>
                <w:sz w:val="24"/>
              </w:rPr>
              <w:t>处声级值，[dB(A)]；</w:t>
            </w:r>
          </w:p>
          <w:p w14:paraId="520ACAA4">
            <w:pPr>
              <w:spacing w:line="460" w:lineRule="exact"/>
              <w:ind w:firstLine="1200" w:firstLineChars="500"/>
              <w:rPr>
                <w:sz w:val="24"/>
              </w:rPr>
            </w:pPr>
            <w:r>
              <w:rPr>
                <w:sz w:val="24"/>
              </w:rPr>
              <w:drawing>
                <wp:inline distT="0" distB="0" distL="114300" distR="114300">
                  <wp:extent cx="184150" cy="230505"/>
                  <wp:effectExtent l="0" t="0" r="6350" b="17780"/>
                  <wp:docPr id="972989248"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989248" name="图片 25"/>
                          <pic:cNvPicPr>
                            <a:picLocks noChangeAspect="1"/>
                          </pic:cNvPicPr>
                        </pic:nvPicPr>
                        <pic:blipFill>
                          <a:blip r:embed="rId32"/>
                          <a:stretch>
                            <a:fillRect/>
                          </a:stretch>
                        </pic:blipFill>
                        <pic:spPr>
                          <a:xfrm>
                            <a:off x="0" y="0"/>
                            <a:ext cx="184150" cy="230505"/>
                          </a:xfrm>
                          <a:prstGeom prst="rect">
                            <a:avLst/>
                          </a:prstGeom>
                        </pic:spPr>
                      </pic:pic>
                    </a:graphicData>
                  </a:graphic>
                </wp:inline>
              </w:drawing>
            </w:r>
            <w:r>
              <w:rPr>
                <w:sz w:val="24"/>
              </w:rPr>
              <w:t>—</w:t>
            </w:r>
            <w:r>
              <w:rPr>
                <w:rFonts w:hint="eastAsia"/>
                <w:sz w:val="24"/>
              </w:rPr>
              <w:t>距噪声源距离为</w:t>
            </w:r>
            <w:r>
              <w:rPr>
                <w:sz w:val="24"/>
              </w:rPr>
              <w:drawing>
                <wp:inline distT="0" distB="0" distL="114300" distR="114300">
                  <wp:extent cx="137795" cy="230505"/>
                  <wp:effectExtent l="0" t="0" r="14605" b="17780"/>
                  <wp:docPr id="334333853"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333853" name="图片 26"/>
                          <pic:cNvPicPr>
                            <a:picLocks noChangeAspect="1"/>
                          </pic:cNvPicPr>
                        </pic:nvPicPr>
                        <pic:blipFill>
                          <a:blip r:embed="rId33"/>
                          <a:stretch>
                            <a:fillRect/>
                          </a:stretch>
                        </pic:blipFill>
                        <pic:spPr>
                          <a:xfrm>
                            <a:off x="0" y="0"/>
                            <a:ext cx="137795" cy="230505"/>
                          </a:xfrm>
                          <a:prstGeom prst="rect">
                            <a:avLst/>
                          </a:prstGeom>
                        </pic:spPr>
                      </pic:pic>
                    </a:graphicData>
                  </a:graphic>
                </wp:inline>
              </w:drawing>
            </w:r>
            <w:r>
              <w:rPr>
                <w:rFonts w:hint="eastAsia"/>
                <w:sz w:val="24"/>
              </w:rPr>
              <w:t>处声级值，[dB(A)]；</w:t>
            </w:r>
          </w:p>
          <w:p w14:paraId="520ACAA5">
            <w:pPr>
              <w:pStyle w:val="63"/>
              <w:numPr>
                <w:ilvl w:val="0"/>
                <w:numId w:val="1"/>
              </w:numPr>
              <w:spacing w:line="460" w:lineRule="exact"/>
              <w:ind w:firstLineChars="0"/>
              <w:rPr>
                <w:sz w:val="24"/>
              </w:rPr>
            </w:pPr>
            <w:r>
              <w:rPr>
                <w:sz w:val="24"/>
              </w:rPr>
              <w:t>—</w:t>
            </w:r>
            <w:r>
              <w:rPr>
                <w:rFonts w:hint="eastAsia"/>
                <w:sz w:val="24"/>
              </w:rPr>
              <w:t>关心点距噪声源距离，m；</w:t>
            </w:r>
          </w:p>
          <w:p w14:paraId="520ACAA6">
            <w:pPr>
              <w:pStyle w:val="63"/>
              <w:numPr>
                <w:ilvl w:val="0"/>
                <w:numId w:val="1"/>
              </w:numPr>
              <w:spacing w:line="460" w:lineRule="exact"/>
              <w:ind w:firstLineChars="0"/>
              <w:rPr>
                <w:sz w:val="24"/>
              </w:rPr>
            </w:pPr>
            <w:r>
              <w:drawing>
                <wp:inline distT="0" distB="0" distL="114300" distR="114300">
                  <wp:extent cx="137795" cy="230505"/>
                  <wp:effectExtent l="0" t="0" r="14605" b="17780"/>
                  <wp:docPr id="171722021"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22021" name="图片 28"/>
                          <pic:cNvPicPr>
                            <a:picLocks noChangeAspect="1"/>
                          </pic:cNvPicPr>
                        </pic:nvPicPr>
                        <pic:blipFill>
                          <a:blip r:embed="rId34"/>
                          <a:stretch>
                            <a:fillRect/>
                          </a:stretch>
                        </pic:blipFill>
                        <pic:spPr>
                          <a:xfrm>
                            <a:off x="0" y="0"/>
                            <a:ext cx="137795" cy="230505"/>
                          </a:xfrm>
                          <a:prstGeom prst="rect">
                            <a:avLst/>
                          </a:prstGeom>
                        </pic:spPr>
                      </pic:pic>
                    </a:graphicData>
                  </a:graphic>
                </wp:inline>
              </w:drawing>
            </w:r>
            <w:r>
              <w:rPr>
                <w:sz w:val="24"/>
              </w:rPr>
              <w:t>—</w:t>
            </w:r>
            <w:r>
              <w:rPr>
                <w:rFonts w:hint="eastAsia"/>
                <w:sz w:val="24"/>
              </w:rPr>
              <w:t>距噪声源距离，</w:t>
            </w:r>
            <w:r>
              <w:drawing>
                <wp:inline distT="0" distB="0" distL="114300" distR="114300">
                  <wp:extent cx="139065" cy="232410"/>
                  <wp:effectExtent l="0" t="0" r="13335" b="16510"/>
                  <wp:docPr id="782077167"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077167" name="图片 29"/>
                          <pic:cNvPicPr>
                            <a:picLocks noChangeAspect="1"/>
                          </pic:cNvPicPr>
                        </pic:nvPicPr>
                        <pic:blipFill>
                          <a:blip r:embed="rId34"/>
                          <a:stretch>
                            <a:fillRect/>
                          </a:stretch>
                        </pic:blipFill>
                        <pic:spPr>
                          <a:xfrm>
                            <a:off x="0" y="0"/>
                            <a:ext cx="139065" cy="232410"/>
                          </a:xfrm>
                          <a:prstGeom prst="rect">
                            <a:avLst/>
                          </a:prstGeom>
                        </pic:spPr>
                      </pic:pic>
                    </a:graphicData>
                  </a:graphic>
                </wp:inline>
              </w:drawing>
            </w:r>
            <w:r>
              <w:rPr>
                <w:rFonts w:hint="eastAsia"/>
                <w:sz w:val="24"/>
              </w:rPr>
              <w:t>取1m。</w:t>
            </w:r>
          </w:p>
          <w:p w14:paraId="520ACAA7">
            <w:pPr>
              <w:spacing w:line="460" w:lineRule="exact"/>
              <w:ind w:firstLine="480" w:firstLineChars="200"/>
              <w:rPr>
                <w:sz w:val="24"/>
              </w:rPr>
            </w:pPr>
            <w:r>
              <w:rPr>
                <w:rFonts w:hint="eastAsia"/>
                <w:sz w:val="24"/>
              </w:rPr>
              <w:t>预测时，根据判定结果，取合适公式进行预测。</w:t>
            </w:r>
          </w:p>
          <w:p w14:paraId="520ACAA8">
            <w:pPr>
              <w:spacing w:line="460" w:lineRule="exact"/>
              <w:ind w:firstLine="480" w:firstLineChars="200"/>
              <w:rPr>
                <w:sz w:val="24"/>
              </w:rPr>
            </w:pPr>
            <w:r>
              <w:rPr>
                <w:rFonts w:hint="eastAsia"/>
                <w:sz w:val="24"/>
              </w:rPr>
              <w:t>（2）室内声源等效室外声源声功率计算</w:t>
            </w:r>
          </w:p>
          <w:p w14:paraId="520ACAA9">
            <w:pPr>
              <w:spacing w:line="460" w:lineRule="exact"/>
              <w:ind w:firstLine="480" w:firstLineChars="200"/>
            </w:pPr>
            <w:r>
              <w:rPr>
                <w:rFonts w:hint="eastAsia"/>
                <w:sz w:val="24"/>
              </w:rPr>
              <w:t>噪声声源位于室内，室内声源可采用等效室外声源声功率级法进行计算。设靠近开口处（或窗户）室内、室外某倍频带的声压级分别为Lp1和Lp2。若声源所在室内声场为近似扩散声场，则室外的倍频带声压级可按公式近似求出。</w:t>
            </w:r>
          </w:p>
          <w:p w14:paraId="520ACAAA">
            <w:pPr>
              <w:pStyle w:val="59"/>
            </w:pPr>
            <w:r>
              <w:t>Lp2=Lp1-(TL+6)</w:t>
            </w:r>
          </w:p>
          <w:p w14:paraId="520ACAAB">
            <w:pPr>
              <w:spacing w:line="460" w:lineRule="exact"/>
              <w:ind w:firstLine="480" w:firstLineChars="200"/>
              <w:rPr>
                <w:sz w:val="24"/>
              </w:rPr>
            </w:pPr>
            <w:r>
              <w:rPr>
                <w:rFonts w:hint="eastAsia"/>
                <w:sz w:val="24"/>
              </w:rPr>
              <w:t>式中：</w:t>
            </w:r>
            <w:r>
              <w:rPr>
                <w:sz w:val="24"/>
              </w:rPr>
              <w:t>TL</w:t>
            </w:r>
            <w:r>
              <w:rPr>
                <w:rFonts w:hint="eastAsia"/>
                <w:sz w:val="24"/>
              </w:rPr>
              <w:t>一隔墙(或窗户)倍频带的隔声量，dB。</w:t>
            </w:r>
          </w:p>
          <w:p w14:paraId="520ACAAC">
            <w:pPr>
              <w:spacing w:line="460" w:lineRule="exact"/>
              <w:ind w:firstLine="480" w:firstLineChars="200"/>
              <w:rPr>
                <w:sz w:val="24"/>
              </w:rPr>
            </w:pPr>
            <w:r>
              <w:rPr>
                <w:rFonts w:hint="eastAsia"/>
                <w:sz w:val="24"/>
              </w:rPr>
              <w:t>（3）噪声源叠加影响分析方法</w:t>
            </w:r>
          </w:p>
          <w:p w14:paraId="520ACAAD">
            <w:pPr>
              <w:pStyle w:val="59"/>
            </w:pPr>
            <w:r>
              <w:drawing>
                <wp:inline distT="0" distB="0" distL="114300" distR="114300">
                  <wp:extent cx="1295400" cy="467995"/>
                  <wp:effectExtent l="0" t="0" r="0" b="7620"/>
                  <wp:docPr id="1324773539"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4773539" name="图片 31"/>
                          <pic:cNvPicPr>
                            <a:picLocks noChangeAspect="1"/>
                          </pic:cNvPicPr>
                        </pic:nvPicPr>
                        <pic:blipFill>
                          <a:blip r:embed="rId35"/>
                          <a:stretch>
                            <a:fillRect/>
                          </a:stretch>
                        </pic:blipFill>
                        <pic:spPr>
                          <a:xfrm>
                            <a:off x="0" y="0"/>
                            <a:ext cx="1295400" cy="474104"/>
                          </a:xfrm>
                          <a:prstGeom prst="rect">
                            <a:avLst/>
                          </a:prstGeom>
                        </pic:spPr>
                      </pic:pic>
                    </a:graphicData>
                  </a:graphic>
                </wp:inline>
              </w:drawing>
            </w:r>
          </w:p>
          <w:p w14:paraId="520ACAAE">
            <w:pPr>
              <w:spacing w:line="460" w:lineRule="exact"/>
              <w:ind w:firstLine="480" w:firstLineChars="200"/>
              <w:rPr>
                <w:sz w:val="24"/>
              </w:rPr>
            </w:pPr>
            <w:r>
              <w:rPr>
                <w:rFonts w:hint="eastAsia"/>
                <w:sz w:val="24"/>
              </w:rPr>
              <w:t>式中：</w:t>
            </w:r>
            <w:r>
              <w:rPr>
                <w:sz w:val="24"/>
              </w:rPr>
              <w:drawing>
                <wp:inline distT="0" distB="0" distL="114300" distR="114300">
                  <wp:extent cx="139065" cy="169545"/>
                  <wp:effectExtent l="0" t="0" r="13335" b="1270"/>
                  <wp:docPr id="905281775"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281775" name="图片 32"/>
                          <pic:cNvPicPr>
                            <a:picLocks noChangeAspect="1"/>
                          </pic:cNvPicPr>
                        </pic:nvPicPr>
                        <pic:blipFill>
                          <a:blip r:embed="rId36"/>
                          <a:stretch>
                            <a:fillRect/>
                          </a:stretch>
                        </pic:blipFill>
                        <pic:spPr>
                          <a:xfrm>
                            <a:off x="0" y="0"/>
                            <a:ext cx="139065" cy="169545"/>
                          </a:xfrm>
                          <a:prstGeom prst="rect">
                            <a:avLst/>
                          </a:prstGeom>
                        </pic:spPr>
                      </pic:pic>
                    </a:graphicData>
                  </a:graphic>
                </wp:inline>
              </w:drawing>
            </w:r>
            <w:r>
              <w:rPr>
                <w:sz w:val="24"/>
              </w:rPr>
              <w:t>—</w:t>
            </w:r>
            <w:r>
              <w:rPr>
                <w:rFonts w:hint="eastAsia"/>
                <w:sz w:val="24"/>
              </w:rPr>
              <w:t>总声压级，[dB(A)]；</w:t>
            </w:r>
          </w:p>
          <w:p w14:paraId="520ACAAF">
            <w:pPr>
              <w:spacing w:line="460" w:lineRule="exact"/>
              <w:ind w:firstLine="1200" w:firstLineChars="500"/>
              <w:rPr>
                <w:sz w:val="24"/>
              </w:rPr>
            </w:pPr>
            <w:r>
              <w:rPr>
                <w:sz w:val="24"/>
              </w:rPr>
              <w:drawing>
                <wp:inline distT="0" distB="0" distL="114300" distR="114300">
                  <wp:extent cx="169545" cy="230505"/>
                  <wp:effectExtent l="0" t="0" r="1905" b="17780"/>
                  <wp:docPr id="136065600"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065600" name="图片 33"/>
                          <pic:cNvPicPr>
                            <a:picLocks noChangeAspect="1"/>
                          </pic:cNvPicPr>
                        </pic:nvPicPr>
                        <pic:blipFill>
                          <a:blip r:embed="rId37"/>
                          <a:stretch>
                            <a:fillRect/>
                          </a:stretch>
                        </pic:blipFill>
                        <pic:spPr>
                          <a:xfrm>
                            <a:off x="0" y="0"/>
                            <a:ext cx="169545" cy="230505"/>
                          </a:xfrm>
                          <a:prstGeom prst="rect">
                            <a:avLst/>
                          </a:prstGeom>
                        </pic:spPr>
                      </pic:pic>
                    </a:graphicData>
                  </a:graphic>
                </wp:inline>
              </w:drawing>
            </w:r>
            <w:r>
              <w:rPr>
                <w:sz w:val="24"/>
              </w:rPr>
              <w:t>—</w:t>
            </w:r>
            <w:r>
              <w:rPr>
                <w:rFonts w:hint="eastAsia"/>
                <w:sz w:val="24"/>
              </w:rPr>
              <w:t>第</w:t>
            </w:r>
            <w:r>
              <w:rPr>
                <w:sz w:val="24"/>
              </w:rPr>
              <w:drawing>
                <wp:inline distT="0" distB="0" distL="114300" distR="114300">
                  <wp:extent cx="99695" cy="168910"/>
                  <wp:effectExtent l="0" t="0" r="14605" b="2540"/>
                  <wp:docPr id="1704946617"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946617" name="图片 34"/>
                          <pic:cNvPicPr>
                            <a:picLocks noChangeAspect="1"/>
                          </pic:cNvPicPr>
                        </pic:nvPicPr>
                        <pic:blipFill>
                          <a:blip r:embed="rId38"/>
                          <a:stretch>
                            <a:fillRect/>
                          </a:stretch>
                        </pic:blipFill>
                        <pic:spPr>
                          <a:xfrm>
                            <a:off x="0" y="0"/>
                            <a:ext cx="99695" cy="168910"/>
                          </a:xfrm>
                          <a:prstGeom prst="rect">
                            <a:avLst/>
                          </a:prstGeom>
                        </pic:spPr>
                      </pic:pic>
                    </a:graphicData>
                  </a:graphic>
                </wp:inline>
              </w:drawing>
            </w:r>
            <w:r>
              <w:rPr>
                <w:rFonts w:hint="eastAsia"/>
                <w:sz w:val="24"/>
              </w:rPr>
              <w:t>个声源的声压级，[dB(A)]；</w:t>
            </w:r>
          </w:p>
          <w:p w14:paraId="520ACAB0">
            <w:pPr>
              <w:spacing w:line="460" w:lineRule="exact"/>
              <w:ind w:firstLine="1200" w:firstLineChars="500"/>
              <w:rPr>
                <w:sz w:val="24"/>
              </w:rPr>
            </w:pPr>
            <w:r>
              <w:rPr>
                <w:sz w:val="24"/>
              </w:rPr>
              <w:drawing>
                <wp:inline distT="0" distB="0" distL="114300" distR="114300">
                  <wp:extent cx="139065" cy="139065"/>
                  <wp:effectExtent l="0" t="0" r="13335" b="13970"/>
                  <wp:docPr id="2119621074"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621074" name="图片 35"/>
                          <pic:cNvPicPr>
                            <a:picLocks noChangeAspect="1"/>
                          </pic:cNvPicPr>
                        </pic:nvPicPr>
                        <pic:blipFill>
                          <a:blip r:embed="rId39"/>
                          <a:stretch>
                            <a:fillRect/>
                          </a:stretch>
                        </pic:blipFill>
                        <pic:spPr>
                          <a:xfrm>
                            <a:off x="0" y="0"/>
                            <a:ext cx="139065" cy="139065"/>
                          </a:xfrm>
                          <a:prstGeom prst="rect">
                            <a:avLst/>
                          </a:prstGeom>
                        </pic:spPr>
                      </pic:pic>
                    </a:graphicData>
                  </a:graphic>
                </wp:inline>
              </w:drawing>
            </w:r>
            <w:r>
              <w:rPr>
                <w:sz w:val="24"/>
              </w:rPr>
              <w:t>—</w:t>
            </w:r>
            <w:r>
              <w:rPr>
                <w:rFonts w:hint="eastAsia"/>
                <w:sz w:val="24"/>
              </w:rPr>
              <w:t>声源数量。</w:t>
            </w:r>
          </w:p>
          <w:p w14:paraId="520ACAB1">
            <w:pPr>
              <w:spacing w:line="460" w:lineRule="exact"/>
              <w:ind w:firstLine="480" w:firstLineChars="200"/>
              <w:rPr>
                <w:sz w:val="24"/>
              </w:rPr>
            </w:pPr>
            <w:r>
              <w:rPr>
                <w:rFonts w:hint="eastAsia"/>
                <w:sz w:val="24"/>
              </w:rPr>
              <w:t>（4）户外声传播衰减计算公式</w:t>
            </w:r>
          </w:p>
          <w:p w14:paraId="520ACAB2">
            <w:pPr>
              <w:pStyle w:val="59"/>
            </w:pPr>
            <w:r>
              <w:t>L( r )=L ref (r0)-(Adiv+Abar+Aatm+A exe)</w:t>
            </w:r>
          </w:p>
          <w:p w14:paraId="520ACAB3">
            <w:pPr>
              <w:spacing w:line="460" w:lineRule="exact"/>
              <w:ind w:firstLine="480" w:firstLineChars="200"/>
              <w:rPr>
                <w:sz w:val="24"/>
              </w:rPr>
            </w:pPr>
            <w:r>
              <w:rPr>
                <w:rFonts w:hint="eastAsia"/>
                <w:sz w:val="24"/>
              </w:rPr>
              <w:t>式中：A</w:t>
            </w:r>
            <w:r>
              <w:rPr>
                <w:sz w:val="24"/>
                <w:vertAlign w:val="subscript"/>
              </w:rPr>
              <w:t xml:space="preserve"> div</w:t>
            </w:r>
            <w:r>
              <w:rPr>
                <w:sz w:val="24"/>
                <w:vertAlign w:val="subscript"/>
              </w:rPr>
              <w:softHyphen/>
            </w:r>
            <w:r>
              <w:rPr>
                <w:sz w:val="24"/>
              </w:rPr>
              <w:t>—</w:t>
            </w:r>
            <w:r>
              <w:rPr>
                <w:rFonts w:hint="eastAsia"/>
                <w:sz w:val="24"/>
              </w:rPr>
              <w:t>几何发散；</w:t>
            </w:r>
          </w:p>
          <w:p w14:paraId="520ACAB4">
            <w:pPr>
              <w:spacing w:line="460" w:lineRule="exact"/>
              <w:ind w:firstLine="480" w:firstLineChars="200"/>
              <w:rPr>
                <w:sz w:val="24"/>
              </w:rPr>
            </w:pPr>
            <w:r>
              <w:rPr>
                <w:sz w:val="24"/>
              </w:rPr>
              <w:t xml:space="preserve">      A</w:t>
            </w:r>
            <w:r>
              <w:rPr>
                <w:sz w:val="24"/>
                <w:vertAlign w:val="subscript"/>
              </w:rPr>
              <w:t xml:space="preserve">bar </w:t>
            </w:r>
            <w:r>
              <w:rPr>
                <w:sz w:val="24"/>
                <w:vertAlign w:val="subscript"/>
              </w:rPr>
              <w:softHyphen/>
            </w:r>
            <w:r>
              <w:rPr>
                <w:sz w:val="24"/>
              </w:rPr>
              <w:t>—</w:t>
            </w:r>
            <w:r>
              <w:rPr>
                <w:rFonts w:hint="eastAsia"/>
                <w:sz w:val="24"/>
              </w:rPr>
              <w:t>遮挡物衰减；</w:t>
            </w:r>
          </w:p>
          <w:p w14:paraId="520ACAB5">
            <w:pPr>
              <w:spacing w:line="460" w:lineRule="exact"/>
              <w:ind w:firstLine="1200" w:firstLineChars="500"/>
              <w:rPr>
                <w:sz w:val="24"/>
              </w:rPr>
            </w:pPr>
            <w:r>
              <w:rPr>
                <w:sz w:val="24"/>
              </w:rPr>
              <w:t>A</w:t>
            </w:r>
            <w:r>
              <w:rPr>
                <w:sz w:val="24"/>
                <w:vertAlign w:val="subscript"/>
              </w:rPr>
              <w:t>atm</w:t>
            </w:r>
            <w:r>
              <w:rPr>
                <w:sz w:val="24"/>
              </w:rPr>
              <w:t>—</w:t>
            </w:r>
            <w:r>
              <w:rPr>
                <w:rFonts w:hint="eastAsia"/>
                <w:sz w:val="24"/>
              </w:rPr>
              <w:t>大气吸收；</w:t>
            </w:r>
          </w:p>
          <w:p w14:paraId="520ACAB6">
            <w:pPr>
              <w:tabs>
                <w:tab w:val="left" w:pos="8370"/>
                <w:tab w:val="left" w:pos="8600"/>
              </w:tabs>
              <w:spacing w:line="460" w:lineRule="exact"/>
              <w:ind w:firstLine="1200" w:firstLineChars="500"/>
              <w:rPr>
                <w:sz w:val="24"/>
              </w:rPr>
            </w:pPr>
            <w:r>
              <w:rPr>
                <w:sz w:val="24"/>
              </w:rPr>
              <w:t>Aexe—</w:t>
            </w:r>
            <w:r>
              <w:rPr>
                <w:rFonts w:hint="eastAsia"/>
                <w:sz w:val="24"/>
              </w:rPr>
              <w:t>附加衰减；</w:t>
            </w:r>
          </w:p>
          <w:p w14:paraId="520ACAB7">
            <w:pPr>
              <w:tabs>
                <w:tab w:val="left" w:pos="8370"/>
                <w:tab w:val="left" w:pos="8600"/>
              </w:tabs>
              <w:spacing w:line="460" w:lineRule="exact"/>
              <w:ind w:firstLine="482" w:firstLineChars="200"/>
              <w:rPr>
                <w:b/>
                <w:sz w:val="24"/>
              </w:rPr>
            </w:pPr>
            <w:r>
              <w:rPr>
                <w:rFonts w:hint="eastAsia"/>
                <w:b/>
                <w:sz w:val="24"/>
              </w:rPr>
              <w:t>3</w:t>
            </w:r>
            <w:r>
              <w:rPr>
                <w:b/>
                <w:sz w:val="24"/>
              </w:rPr>
              <w:t>、厂界噪声达标情况</w:t>
            </w:r>
          </w:p>
          <w:p w14:paraId="520ACAB8">
            <w:pPr>
              <w:tabs>
                <w:tab w:val="left" w:pos="8370"/>
                <w:tab w:val="left" w:pos="8600"/>
              </w:tabs>
              <w:spacing w:line="460" w:lineRule="exact"/>
              <w:ind w:firstLine="480" w:firstLineChars="200"/>
              <w:rPr>
                <w:sz w:val="24"/>
              </w:rPr>
            </w:pPr>
            <w:r>
              <w:rPr>
                <w:rFonts w:hint="eastAsia"/>
                <w:sz w:val="24"/>
              </w:rPr>
              <w:t>根据本工程噪声源在建设路厂区和解放路厂区的分布和源强，以及其与四周厂界的距离及建筑物的衰减状况，计算出各声源对四周厂界及敏感点的噪声贡献值</w:t>
            </w:r>
            <w:r>
              <w:rPr>
                <w:sz w:val="24"/>
              </w:rPr>
              <w:t>，结果见下表。</w:t>
            </w:r>
          </w:p>
          <w:p w14:paraId="520ACAB9">
            <w:pPr>
              <w:tabs>
                <w:tab w:val="left" w:pos="8370"/>
                <w:tab w:val="left" w:pos="8600"/>
              </w:tabs>
              <w:spacing w:line="460" w:lineRule="exact"/>
              <w:ind w:firstLine="480" w:firstLineChars="200"/>
              <w:rPr>
                <w:rFonts w:eastAsia="黑体"/>
                <w:sz w:val="24"/>
              </w:rPr>
            </w:pPr>
            <w:r>
              <w:rPr>
                <w:rFonts w:eastAsia="黑体"/>
                <w:sz w:val="24"/>
              </w:rPr>
              <w:t>表</w:t>
            </w:r>
            <w:r>
              <w:rPr>
                <w:rFonts w:hint="eastAsia" w:eastAsia="黑体"/>
                <w:sz w:val="24"/>
              </w:rPr>
              <w:t>72</w:t>
            </w:r>
            <w:r>
              <w:rPr>
                <w:rFonts w:eastAsia="黑体"/>
                <w:sz w:val="24"/>
              </w:rPr>
              <w:t xml:space="preserve">        </w:t>
            </w:r>
            <w:r>
              <w:rPr>
                <w:rFonts w:hint="eastAsia" w:eastAsia="黑体"/>
                <w:sz w:val="24"/>
              </w:rPr>
              <w:t xml:space="preserve">     </w:t>
            </w:r>
            <w:r>
              <w:rPr>
                <w:rFonts w:eastAsia="黑体"/>
                <w:sz w:val="24"/>
              </w:rPr>
              <w:t>噪声源</w:t>
            </w:r>
            <w:r>
              <w:rPr>
                <w:rFonts w:hint="eastAsia" w:eastAsia="黑体"/>
                <w:sz w:val="24"/>
              </w:rPr>
              <w:t>对</w:t>
            </w:r>
            <w:r>
              <w:rPr>
                <w:rFonts w:eastAsia="黑体"/>
                <w:sz w:val="24"/>
              </w:rPr>
              <w:t>厂界的</w:t>
            </w:r>
            <w:r>
              <w:rPr>
                <w:rFonts w:hint="eastAsia" w:eastAsia="黑体"/>
                <w:sz w:val="24"/>
              </w:rPr>
              <w:t>贡献值结果</w:t>
            </w:r>
            <w:r>
              <w:rPr>
                <w:rFonts w:eastAsia="黑体"/>
                <w:sz w:val="24"/>
              </w:rPr>
              <w:t>表</w:t>
            </w:r>
            <w:r>
              <w:rPr>
                <w:rFonts w:hint="eastAsia" w:eastAsia="黑体"/>
                <w:sz w:val="24"/>
              </w:rPr>
              <w:t xml:space="preserve">         单位：dB(A)</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309"/>
              <w:gridCol w:w="1559"/>
              <w:gridCol w:w="1702"/>
              <w:gridCol w:w="1700"/>
              <w:gridCol w:w="1865"/>
            </w:tblGrid>
            <w:tr w14:paraId="520ACAB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tcBorders>
                    <w:tl2br w:val="nil"/>
                    <w:tr2bl w:val="nil"/>
                  </w:tcBorders>
                  <w:vAlign w:val="center"/>
                </w:tcPr>
                <w:p w14:paraId="520ACABA">
                  <w:pPr>
                    <w:adjustRightInd w:val="0"/>
                    <w:snapToGrid w:val="0"/>
                    <w:jc w:val="center"/>
                    <w:rPr>
                      <w:b/>
                    </w:rPr>
                  </w:pPr>
                  <w:r>
                    <w:rPr>
                      <w:rFonts w:hint="eastAsia"/>
                      <w:b/>
                    </w:rPr>
                    <w:t>预测点</w:t>
                  </w:r>
                </w:p>
              </w:tc>
              <w:tc>
                <w:tcPr>
                  <w:tcW w:w="958" w:type="pct"/>
                  <w:tcBorders>
                    <w:tl2br w:val="nil"/>
                    <w:tr2bl w:val="nil"/>
                  </w:tcBorders>
                  <w:vAlign w:val="center"/>
                </w:tcPr>
                <w:p w14:paraId="520ACABB">
                  <w:pPr>
                    <w:adjustRightInd w:val="0"/>
                    <w:snapToGrid w:val="0"/>
                    <w:jc w:val="center"/>
                    <w:rPr>
                      <w:b/>
                    </w:rPr>
                  </w:pPr>
                  <w:r>
                    <w:rPr>
                      <w:b/>
                    </w:rPr>
                    <w:t>主要噪声源</w:t>
                  </w:r>
                </w:p>
              </w:tc>
              <w:tc>
                <w:tcPr>
                  <w:tcW w:w="1046" w:type="pct"/>
                  <w:tcBorders>
                    <w:tl2br w:val="nil"/>
                    <w:tr2bl w:val="nil"/>
                  </w:tcBorders>
                  <w:vAlign w:val="center"/>
                </w:tcPr>
                <w:p w14:paraId="520ACABC">
                  <w:pPr>
                    <w:adjustRightInd w:val="0"/>
                    <w:snapToGrid w:val="0"/>
                    <w:jc w:val="center"/>
                    <w:rPr>
                      <w:b/>
                    </w:rPr>
                  </w:pPr>
                  <w:r>
                    <w:rPr>
                      <w:rFonts w:hint="eastAsia"/>
                      <w:b/>
                    </w:rPr>
                    <w:t>治理后噪声值</w:t>
                  </w:r>
                </w:p>
              </w:tc>
              <w:tc>
                <w:tcPr>
                  <w:tcW w:w="1045" w:type="pct"/>
                  <w:tcBorders>
                    <w:tl2br w:val="nil"/>
                    <w:tr2bl w:val="nil"/>
                  </w:tcBorders>
                  <w:vAlign w:val="center"/>
                </w:tcPr>
                <w:p w14:paraId="520ACABD">
                  <w:pPr>
                    <w:adjustRightInd w:val="0"/>
                    <w:snapToGrid w:val="0"/>
                    <w:jc w:val="center"/>
                    <w:rPr>
                      <w:b/>
                    </w:rPr>
                  </w:pPr>
                  <w:r>
                    <w:rPr>
                      <w:rFonts w:hint="eastAsia"/>
                      <w:b/>
                    </w:rPr>
                    <w:t>距厂界</w:t>
                  </w:r>
                  <w:r>
                    <w:rPr>
                      <w:b/>
                    </w:rPr>
                    <w:t>距离</w:t>
                  </w:r>
                  <w:r>
                    <w:rPr>
                      <w:rFonts w:hint="eastAsia"/>
                      <w:b/>
                    </w:rPr>
                    <w:t>/</w:t>
                  </w:r>
                  <w:r>
                    <w:rPr>
                      <w:b/>
                    </w:rPr>
                    <w:t>m</w:t>
                  </w:r>
                </w:p>
              </w:tc>
              <w:tc>
                <w:tcPr>
                  <w:tcW w:w="1146" w:type="pct"/>
                  <w:tcBorders>
                    <w:tl2br w:val="nil"/>
                    <w:tr2bl w:val="nil"/>
                  </w:tcBorders>
                  <w:vAlign w:val="center"/>
                </w:tcPr>
                <w:p w14:paraId="520ACABE">
                  <w:pPr>
                    <w:adjustRightInd w:val="0"/>
                    <w:snapToGrid w:val="0"/>
                    <w:jc w:val="center"/>
                    <w:rPr>
                      <w:b/>
                    </w:rPr>
                  </w:pPr>
                  <w:r>
                    <w:rPr>
                      <w:b/>
                    </w:rPr>
                    <w:t>贡献值</w:t>
                  </w:r>
                </w:p>
              </w:tc>
            </w:tr>
            <w:tr w14:paraId="520ACAC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00" w:type="pct"/>
                  <w:gridSpan w:val="5"/>
                  <w:tcBorders>
                    <w:tl2br w:val="nil"/>
                    <w:tr2bl w:val="nil"/>
                  </w:tcBorders>
                  <w:vAlign w:val="center"/>
                </w:tcPr>
                <w:p w14:paraId="520ACAC0">
                  <w:pPr>
                    <w:adjustRightInd w:val="0"/>
                    <w:snapToGrid w:val="0"/>
                    <w:jc w:val="center"/>
                    <w:rPr>
                      <w:b/>
                      <w:bCs/>
                      <w:szCs w:val="21"/>
                    </w:rPr>
                  </w:pPr>
                  <w:r>
                    <w:rPr>
                      <w:rFonts w:hint="eastAsia"/>
                      <w:b/>
                      <w:bCs/>
                      <w:szCs w:val="21"/>
                    </w:rPr>
                    <w:t>建设路厂区</w:t>
                  </w:r>
                </w:p>
              </w:tc>
            </w:tr>
            <w:tr w14:paraId="520ACAC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restart"/>
                  <w:tcBorders>
                    <w:tl2br w:val="nil"/>
                    <w:tr2bl w:val="nil"/>
                  </w:tcBorders>
                  <w:vAlign w:val="center"/>
                </w:tcPr>
                <w:p w14:paraId="520ACAC2">
                  <w:pPr>
                    <w:adjustRightInd w:val="0"/>
                    <w:snapToGrid w:val="0"/>
                    <w:jc w:val="center"/>
                    <w:rPr>
                      <w:bCs/>
                      <w:szCs w:val="21"/>
                    </w:rPr>
                  </w:pPr>
                  <w:r>
                    <w:t>东</w:t>
                  </w:r>
                  <w:r>
                    <w:rPr>
                      <w:rFonts w:hint="eastAsia"/>
                      <w:bCs/>
                      <w:szCs w:val="21"/>
                    </w:rPr>
                    <w:t>厂界</w:t>
                  </w:r>
                </w:p>
              </w:tc>
              <w:tc>
                <w:tcPr>
                  <w:tcW w:w="958" w:type="pct"/>
                  <w:tcBorders>
                    <w:tl2br w:val="nil"/>
                    <w:tr2bl w:val="nil"/>
                  </w:tcBorders>
                  <w:vAlign w:val="center"/>
                </w:tcPr>
                <w:p w14:paraId="520ACAC3">
                  <w:pPr>
                    <w:adjustRightInd w:val="0"/>
                    <w:snapToGrid w:val="0"/>
                    <w:jc w:val="center"/>
                    <w:rPr>
                      <w:bCs/>
                      <w:szCs w:val="21"/>
                    </w:rPr>
                  </w:pPr>
                  <w:r>
                    <w:rPr>
                      <w:rFonts w:hint="eastAsia"/>
                      <w:szCs w:val="22"/>
                    </w:rPr>
                    <w:t>1</w:t>
                  </w:r>
                  <w:r>
                    <w:rPr>
                      <w:szCs w:val="22"/>
                    </w:rPr>
                    <w:t>53-1</w:t>
                  </w:r>
                  <w:r>
                    <w:rPr>
                      <w:rFonts w:hint="eastAsia"/>
                      <w:szCs w:val="22"/>
                    </w:rPr>
                    <w:t>厂房</w:t>
                  </w:r>
                </w:p>
              </w:tc>
              <w:tc>
                <w:tcPr>
                  <w:tcW w:w="1046" w:type="pct"/>
                  <w:tcBorders>
                    <w:tl2br w:val="nil"/>
                    <w:tr2bl w:val="nil"/>
                  </w:tcBorders>
                  <w:vAlign w:val="center"/>
                </w:tcPr>
                <w:p w14:paraId="520ACAC4">
                  <w:pPr>
                    <w:adjustRightInd w:val="0"/>
                    <w:snapToGrid w:val="0"/>
                    <w:jc w:val="center"/>
                    <w:rPr>
                      <w:szCs w:val="21"/>
                      <w:highlight w:val="yellow"/>
                    </w:rPr>
                  </w:pPr>
                  <w:r>
                    <w:rPr>
                      <w:rFonts w:hint="eastAsia"/>
                    </w:rPr>
                    <w:t>46.9</w:t>
                  </w:r>
                </w:p>
              </w:tc>
              <w:tc>
                <w:tcPr>
                  <w:tcW w:w="1045" w:type="pct"/>
                  <w:tcBorders>
                    <w:tl2br w:val="nil"/>
                    <w:tr2bl w:val="nil"/>
                  </w:tcBorders>
                  <w:vAlign w:val="center"/>
                </w:tcPr>
                <w:p w14:paraId="520ACAC5">
                  <w:pPr>
                    <w:adjustRightInd w:val="0"/>
                    <w:snapToGrid w:val="0"/>
                    <w:jc w:val="center"/>
                    <w:rPr>
                      <w:szCs w:val="21"/>
                    </w:rPr>
                  </w:pPr>
                  <w:r>
                    <w:rPr>
                      <w:rFonts w:hint="eastAsia"/>
                      <w:szCs w:val="21"/>
                    </w:rPr>
                    <w:t>328</w:t>
                  </w:r>
                </w:p>
              </w:tc>
              <w:tc>
                <w:tcPr>
                  <w:tcW w:w="1146" w:type="pct"/>
                  <w:tcBorders>
                    <w:tl2br w:val="nil"/>
                    <w:tr2bl w:val="nil"/>
                  </w:tcBorders>
                  <w:vAlign w:val="center"/>
                </w:tcPr>
                <w:p w14:paraId="520ACAC6">
                  <w:pPr>
                    <w:adjustRightInd w:val="0"/>
                    <w:snapToGrid w:val="0"/>
                    <w:jc w:val="center"/>
                    <w:rPr>
                      <w:szCs w:val="21"/>
                    </w:rPr>
                  </w:pPr>
                  <w:r>
                    <w:rPr>
                      <w:rFonts w:hint="eastAsia"/>
                      <w:szCs w:val="21"/>
                    </w:rPr>
                    <w:t>0</w:t>
                  </w:r>
                </w:p>
              </w:tc>
            </w:tr>
            <w:tr w14:paraId="520ACAC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AC8">
                  <w:pPr>
                    <w:adjustRightInd w:val="0"/>
                    <w:snapToGrid w:val="0"/>
                    <w:jc w:val="center"/>
                  </w:pPr>
                </w:p>
              </w:tc>
              <w:tc>
                <w:tcPr>
                  <w:tcW w:w="958" w:type="pct"/>
                  <w:tcBorders>
                    <w:tl2br w:val="nil"/>
                    <w:tr2bl w:val="nil"/>
                  </w:tcBorders>
                  <w:vAlign w:val="center"/>
                </w:tcPr>
                <w:p w14:paraId="520ACAC9">
                  <w:pPr>
                    <w:adjustRightInd w:val="0"/>
                    <w:snapToGrid w:val="0"/>
                    <w:jc w:val="center"/>
                    <w:rPr>
                      <w:szCs w:val="22"/>
                    </w:rPr>
                  </w:pPr>
                  <w:r>
                    <w:rPr>
                      <w:szCs w:val="21"/>
                    </w:rPr>
                    <w:t>1205厂房</w:t>
                  </w:r>
                </w:p>
              </w:tc>
              <w:tc>
                <w:tcPr>
                  <w:tcW w:w="1046" w:type="pct"/>
                  <w:tcBorders>
                    <w:tl2br w:val="nil"/>
                    <w:tr2bl w:val="nil"/>
                  </w:tcBorders>
                  <w:vAlign w:val="center"/>
                </w:tcPr>
                <w:p w14:paraId="520ACACA">
                  <w:pPr>
                    <w:adjustRightInd w:val="0"/>
                    <w:snapToGrid w:val="0"/>
                    <w:jc w:val="center"/>
                    <w:rPr>
                      <w:rFonts w:eastAsia="等线"/>
                      <w:szCs w:val="21"/>
                      <w:highlight w:val="yellow"/>
                    </w:rPr>
                  </w:pPr>
                  <w:r>
                    <w:rPr>
                      <w:rFonts w:hint="eastAsia"/>
                    </w:rPr>
                    <w:t>35</w:t>
                  </w:r>
                </w:p>
              </w:tc>
              <w:tc>
                <w:tcPr>
                  <w:tcW w:w="1045" w:type="pct"/>
                  <w:tcBorders>
                    <w:tl2br w:val="nil"/>
                    <w:tr2bl w:val="nil"/>
                  </w:tcBorders>
                  <w:vAlign w:val="center"/>
                </w:tcPr>
                <w:p w14:paraId="520ACACB">
                  <w:pPr>
                    <w:adjustRightInd w:val="0"/>
                    <w:snapToGrid w:val="0"/>
                    <w:jc w:val="center"/>
                    <w:rPr>
                      <w:rFonts w:eastAsia="等线"/>
                      <w:szCs w:val="21"/>
                    </w:rPr>
                  </w:pPr>
                  <w:r>
                    <w:rPr>
                      <w:rFonts w:hint="eastAsia" w:eastAsia="等线"/>
                      <w:szCs w:val="21"/>
                    </w:rPr>
                    <w:t>162</w:t>
                  </w:r>
                </w:p>
              </w:tc>
              <w:tc>
                <w:tcPr>
                  <w:tcW w:w="1146" w:type="pct"/>
                  <w:tcBorders>
                    <w:tl2br w:val="nil"/>
                    <w:tr2bl w:val="nil"/>
                  </w:tcBorders>
                  <w:vAlign w:val="center"/>
                </w:tcPr>
                <w:p w14:paraId="520ACACC">
                  <w:pPr>
                    <w:adjustRightInd w:val="0"/>
                    <w:snapToGrid w:val="0"/>
                    <w:jc w:val="center"/>
                    <w:rPr>
                      <w:rFonts w:eastAsia="等线"/>
                      <w:szCs w:val="21"/>
                    </w:rPr>
                  </w:pPr>
                  <w:r>
                    <w:rPr>
                      <w:rFonts w:hint="eastAsia" w:eastAsia="等线"/>
                      <w:szCs w:val="21"/>
                    </w:rPr>
                    <w:t>0</w:t>
                  </w:r>
                </w:p>
              </w:tc>
            </w:tr>
            <w:tr w14:paraId="520ACAD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ACE">
                  <w:pPr>
                    <w:adjustRightInd w:val="0"/>
                    <w:snapToGrid w:val="0"/>
                    <w:jc w:val="center"/>
                  </w:pPr>
                </w:p>
              </w:tc>
              <w:tc>
                <w:tcPr>
                  <w:tcW w:w="958" w:type="pct"/>
                  <w:tcBorders>
                    <w:tl2br w:val="nil"/>
                    <w:tr2bl w:val="nil"/>
                  </w:tcBorders>
                  <w:vAlign w:val="center"/>
                </w:tcPr>
                <w:p w14:paraId="520ACACF">
                  <w:pPr>
                    <w:adjustRightInd w:val="0"/>
                    <w:snapToGrid w:val="0"/>
                    <w:jc w:val="center"/>
                    <w:rPr>
                      <w:szCs w:val="22"/>
                    </w:rPr>
                  </w:pPr>
                  <w:r>
                    <w:rPr>
                      <w:szCs w:val="21"/>
                    </w:rPr>
                    <w:t>101厂房</w:t>
                  </w:r>
                </w:p>
              </w:tc>
              <w:tc>
                <w:tcPr>
                  <w:tcW w:w="1046" w:type="pct"/>
                  <w:tcBorders>
                    <w:tl2br w:val="nil"/>
                    <w:tr2bl w:val="nil"/>
                  </w:tcBorders>
                  <w:vAlign w:val="center"/>
                </w:tcPr>
                <w:p w14:paraId="520ACAD0">
                  <w:pPr>
                    <w:adjustRightInd w:val="0"/>
                    <w:snapToGrid w:val="0"/>
                    <w:jc w:val="center"/>
                    <w:rPr>
                      <w:rFonts w:eastAsia="等线"/>
                      <w:szCs w:val="21"/>
                    </w:rPr>
                  </w:pPr>
                  <w:r>
                    <w:rPr>
                      <w:rFonts w:hint="eastAsia" w:eastAsia="等线"/>
                      <w:szCs w:val="21"/>
                    </w:rPr>
                    <w:t>23.2</w:t>
                  </w:r>
                </w:p>
              </w:tc>
              <w:tc>
                <w:tcPr>
                  <w:tcW w:w="1045" w:type="pct"/>
                  <w:tcBorders>
                    <w:tl2br w:val="nil"/>
                    <w:tr2bl w:val="nil"/>
                  </w:tcBorders>
                  <w:vAlign w:val="center"/>
                </w:tcPr>
                <w:p w14:paraId="520ACAD1">
                  <w:pPr>
                    <w:adjustRightInd w:val="0"/>
                    <w:snapToGrid w:val="0"/>
                    <w:jc w:val="center"/>
                    <w:rPr>
                      <w:rFonts w:eastAsia="等线"/>
                      <w:szCs w:val="21"/>
                    </w:rPr>
                  </w:pPr>
                  <w:r>
                    <w:rPr>
                      <w:rFonts w:hint="eastAsia" w:eastAsia="等线"/>
                      <w:szCs w:val="21"/>
                    </w:rPr>
                    <w:t>172</w:t>
                  </w:r>
                </w:p>
              </w:tc>
              <w:tc>
                <w:tcPr>
                  <w:tcW w:w="1146" w:type="pct"/>
                  <w:tcBorders>
                    <w:tl2br w:val="nil"/>
                    <w:tr2bl w:val="nil"/>
                  </w:tcBorders>
                  <w:vAlign w:val="center"/>
                </w:tcPr>
                <w:p w14:paraId="520ACAD2">
                  <w:pPr>
                    <w:adjustRightInd w:val="0"/>
                    <w:snapToGrid w:val="0"/>
                    <w:jc w:val="center"/>
                    <w:rPr>
                      <w:rFonts w:eastAsia="等线"/>
                      <w:szCs w:val="21"/>
                    </w:rPr>
                  </w:pPr>
                  <w:r>
                    <w:rPr>
                      <w:rFonts w:hint="eastAsia" w:eastAsia="等线"/>
                      <w:szCs w:val="21"/>
                    </w:rPr>
                    <w:t>0</w:t>
                  </w:r>
                </w:p>
              </w:tc>
            </w:tr>
            <w:tr w14:paraId="520ACAD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AD4">
                  <w:pPr>
                    <w:adjustRightInd w:val="0"/>
                    <w:snapToGrid w:val="0"/>
                    <w:jc w:val="center"/>
                  </w:pPr>
                </w:p>
              </w:tc>
              <w:tc>
                <w:tcPr>
                  <w:tcW w:w="958" w:type="pct"/>
                  <w:tcBorders>
                    <w:tl2br w:val="nil"/>
                    <w:tr2bl w:val="nil"/>
                  </w:tcBorders>
                  <w:vAlign w:val="center"/>
                </w:tcPr>
                <w:p w14:paraId="520ACAD5">
                  <w:pPr>
                    <w:adjustRightInd w:val="0"/>
                    <w:snapToGrid w:val="0"/>
                    <w:jc w:val="center"/>
                    <w:rPr>
                      <w:szCs w:val="22"/>
                    </w:rPr>
                  </w:pPr>
                  <w:r>
                    <w:rPr>
                      <w:rFonts w:hint="eastAsia"/>
                      <w:szCs w:val="21"/>
                    </w:rPr>
                    <w:t>105</w:t>
                  </w:r>
                  <w:r>
                    <w:rPr>
                      <w:szCs w:val="21"/>
                    </w:rPr>
                    <w:t>厂房</w:t>
                  </w:r>
                </w:p>
              </w:tc>
              <w:tc>
                <w:tcPr>
                  <w:tcW w:w="1046" w:type="pct"/>
                  <w:tcBorders>
                    <w:tl2br w:val="nil"/>
                    <w:tr2bl w:val="nil"/>
                  </w:tcBorders>
                  <w:vAlign w:val="center"/>
                </w:tcPr>
                <w:p w14:paraId="520ACAD6">
                  <w:pPr>
                    <w:adjustRightInd w:val="0"/>
                    <w:snapToGrid w:val="0"/>
                    <w:jc w:val="center"/>
                    <w:rPr>
                      <w:rFonts w:eastAsia="等线"/>
                      <w:szCs w:val="21"/>
                    </w:rPr>
                  </w:pPr>
                  <w:r>
                    <w:rPr>
                      <w:rFonts w:hint="eastAsia" w:eastAsia="等线"/>
                      <w:szCs w:val="21"/>
                    </w:rPr>
                    <w:t>35.4</w:t>
                  </w:r>
                </w:p>
              </w:tc>
              <w:tc>
                <w:tcPr>
                  <w:tcW w:w="1045" w:type="pct"/>
                  <w:tcBorders>
                    <w:tl2br w:val="nil"/>
                    <w:tr2bl w:val="nil"/>
                  </w:tcBorders>
                  <w:vAlign w:val="center"/>
                </w:tcPr>
                <w:p w14:paraId="520ACAD7">
                  <w:pPr>
                    <w:adjustRightInd w:val="0"/>
                    <w:snapToGrid w:val="0"/>
                    <w:jc w:val="center"/>
                    <w:rPr>
                      <w:rFonts w:eastAsia="等线"/>
                      <w:szCs w:val="21"/>
                    </w:rPr>
                  </w:pPr>
                  <w:r>
                    <w:rPr>
                      <w:rFonts w:hint="eastAsia" w:eastAsia="等线"/>
                      <w:szCs w:val="21"/>
                    </w:rPr>
                    <w:t>244</w:t>
                  </w:r>
                </w:p>
              </w:tc>
              <w:tc>
                <w:tcPr>
                  <w:tcW w:w="1146" w:type="pct"/>
                  <w:tcBorders>
                    <w:tl2br w:val="nil"/>
                    <w:tr2bl w:val="nil"/>
                  </w:tcBorders>
                  <w:vAlign w:val="center"/>
                </w:tcPr>
                <w:p w14:paraId="520ACAD8">
                  <w:pPr>
                    <w:adjustRightInd w:val="0"/>
                    <w:snapToGrid w:val="0"/>
                    <w:jc w:val="center"/>
                    <w:rPr>
                      <w:rFonts w:eastAsia="等线"/>
                      <w:szCs w:val="21"/>
                    </w:rPr>
                  </w:pPr>
                  <w:r>
                    <w:rPr>
                      <w:rFonts w:hint="eastAsia" w:eastAsia="等线"/>
                      <w:szCs w:val="21"/>
                    </w:rPr>
                    <w:t>0</w:t>
                  </w:r>
                </w:p>
              </w:tc>
            </w:tr>
            <w:tr w14:paraId="520ACAD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ADA">
                  <w:pPr>
                    <w:adjustRightInd w:val="0"/>
                    <w:snapToGrid w:val="0"/>
                    <w:jc w:val="center"/>
                  </w:pPr>
                </w:p>
              </w:tc>
              <w:tc>
                <w:tcPr>
                  <w:tcW w:w="958" w:type="pct"/>
                  <w:tcBorders>
                    <w:tl2br w:val="nil"/>
                    <w:tr2bl w:val="nil"/>
                  </w:tcBorders>
                  <w:vAlign w:val="center"/>
                </w:tcPr>
                <w:p w14:paraId="520ACADB">
                  <w:pPr>
                    <w:adjustRightInd w:val="0"/>
                    <w:snapToGrid w:val="0"/>
                    <w:jc w:val="center"/>
                    <w:rPr>
                      <w:szCs w:val="22"/>
                    </w:rPr>
                  </w:pPr>
                  <w:r>
                    <w:rPr>
                      <w:szCs w:val="21"/>
                    </w:rPr>
                    <w:t>1206厂房</w:t>
                  </w:r>
                </w:p>
              </w:tc>
              <w:tc>
                <w:tcPr>
                  <w:tcW w:w="1046" w:type="pct"/>
                  <w:tcBorders>
                    <w:tl2br w:val="nil"/>
                    <w:tr2bl w:val="nil"/>
                  </w:tcBorders>
                  <w:vAlign w:val="center"/>
                </w:tcPr>
                <w:p w14:paraId="520ACADC">
                  <w:pPr>
                    <w:adjustRightInd w:val="0"/>
                    <w:snapToGrid w:val="0"/>
                    <w:jc w:val="center"/>
                    <w:rPr>
                      <w:rFonts w:eastAsia="等线"/>
                      <w:szCs w:val="21"/>
                    </w:rPr>
                  </w:pPr>
                  <w:r>
                    <w:rPr>
                      <w:rFonts w:hint="eastAsia" w:eastAsia="等线"/>
                      <w:szCs w:val="21"/>
                    </w:rPr>
                    <w:t>21.6</w:t>
                  </w:r>
                </w:p>
              </w:tc>
              <w:tc>
                <w:tcPr>
                  <w:tcW w:w="1045" w:type="pct"/>
                  <w:tcBorders>
                    <w:tl2br w:val="nil"/>
                    <w:tr2bl w:val="nil"/>
                  </w:tcBorders>
                  <w:vAlign w:val="center"/>
                </w:tcPr>
                <w:p w14:paraId="520ACADD">
                  <w:pPr>
                    <w:adjustRightInd w:val="0"/>
                    <w:snapToGrid w:val="0"/>
                    <w:jc w:val="center"/>
                    <w:rPr>
                      <w:rFonts w:eastAsia="等线"/>
                      <w:szCs w:val="21"/>
                    </w:rPr>
                  </w:pPr>
                  <w:r>
                    <w:rPr>
                      <w:rFonts w:hint="eastAsia" w:eastAsia="等线"/>
                      <w:szCs w:val="21"/>
                    </w:rPr>
                    <w:t>31</w:t>
                  </w:r>
                </w:p>
              </w:tc>
              <w:tc>
                <w:tcPr>
                  <w:tcW w:w="1146" w:type="pct"/>
                  <w:tcBorders>
                    <w:tl2br w:val="nil"/>
                    <w:tr2bl w:val="nil"/>
                  </w:tcBorders>
                  <w:vAlign w:val="center"/>
                </w:tcPr>
                <w:p w14:paraId="520ACADE">
                  <w:pPr>
                    <w:adjustRightInd w:val="0"/>
                    <w:snapToGrid w:val="0"/>
                    <w:jc w:val="center"/>
                    <w:rPr>
                      <w:rFonts w:eastAsia="等线"/>
                      <w:szCs w:val="21"/>
                    </w:rPr>
                  </w:pPr>
                  <w:r>
                    <w:rPr>
                      <w:rFonts w:hint="eastAsia" w:eastAsia="等线"/>
                      <w:szCs w:val="21"/>
                    </w:rPr>
                    <w:t>0</w:t>
                  </w:r>
                </w:p>
              </w:tc>
            </w:tr>
            <w:tr w14:paraId="520ACAE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restart"/>
                  <w:tcBorders>
                    <w:tl2br w:val="nil"/>
                    <w:tr2bl w:val="nil"/>
                  </w:tcBorders>
                  <w:vAlign w:val="center"/>
                </w:tcPr>
                <w:p w14:paraId="520ACAE0">
                  <w:pPr>
                    <w:adjustRightInd w:val="0"/>
                    <w:snapToGrid w:val="0"/>
                    <w:jc w:val="center"/>
                    <w:rPr>
                      <w:bCs/>
                      <w:szCs w:val="21"/>
                    </w:rPr>
                  </w:pPr>
                  <w:r>
                    <w:rPr>
                      <w:rFonts w:hint="eastAsia"/>
                      <w:bCs/>
                      <w:szCs w:val="21"/>
                    </w:rPr>
                    <w:t>西厂界</w:t>
                  </w:r>
                </w:p>
              </w:tc>
              <w:tc>
                <w:tcPr>
                  <w:tcW w:w="958" w:type="pct"/>
                  <w:tcBorders>
                    <w:tl2br w:val="nil"/>
                    <w:tr2bl w:val="nil"/>
                  </w:tcBorders>
                  <w:vAlign w:val="center"/>
                </w:tcPr>
                <w:p w14:paraId="520ACAE1">
                  <w:pPr>
                    <w:adjustRightInd w:val="0"/>
                    <w:snapToGrid w:val="0"/>
                    <w:jc w:val="center"/>
                    <w:rPr>
                      <w:bCs/>
                      <w:szCs w:val="21"/>
                      <w:highlight w:val="yellow"/>
                    </w:rPr>
                  </w:pPr>
                  <w:r>
                    <w:rPr>
                      <w:rFonts w:hint="eastAsia"/>
                      <w:szCs w:val="22"/>
                    </w:rPr>
                    <w:t>1</w:t>
                  </w:r>
                  <w:r>
                    <w:rPr>
                      <w:szCs w:val="22"/>
                    </w:rPr>
                    <w:t>53-1</w:t>
                  </w:r>
                  <w:r>
                    <w:rPr>
                      <w:rFonts w:hint="eastAsia"/>
                      <w:szCs w:val="22"/>
                    </w:rPr>
                    <w:t>厂房</w:t>
                  </w:r>
                </w:p>
              </w:tc>
              <w:tc>
                <w:tcPr>
                  <w:tcW w:w="1046" w:type="pct"/>
                  <w:tcBorders>
                    <w:tl2br w:val="nil"/>
                    <w:tr2bl w:val="nil"/>
                  </w:tcBorders>
                  <w:vAlign w:val="center"/>
                </w:tcPr>
                <w:p w14:paraId="520ACAE2">
                  <w:pPr>
                    <w:adjustRightInd w:val="0"/>
                    <w:snapToGrid w:val="0"/>
                    <w:jc w:val="center"/>
                    <w:rPr>
                      <w:szCs w:val="21"/>
                      <w:highlight w:val="yellow"/>
                    </w:rPr>
                  </w:pPr>
                  <w:r>
                    <w:rPr>
                      <w:rFonts w:hint="eastAsia"/>
                    </w:rPr>
                    <w:t>31.9</w:t>
                  </w:r>
                </w:p>
              </w:tc>
              <w:tc>
                <w:tcPr>
                  <w:tcW w:w="1045" w:type="pct"/>
                  <w:tcBorders>
                    <w:tl2br w:val="nil"/>
                    <w:tr2bl w:val="nil"/>
                  </w:tcBorders>
                  <w:vAlign w:val="center"/>
                </w:tcPr>
                <w:p w14:paraId="520ACAE3">
                  <w:pPr>
                    <w:adjustRightInd w:val="0"/>
                    <w:snapToGrid w:val="0"/>
                    <w:jc w:val="center"/>
                    <w:rPr>
                      <w:szCs w:val="21"/>
                    </w:rPr>
                  </w:pPr>
                  <w:r>
                    <w:rPr>
                      <w:rFonts w:hint="eastAsia"/>
                      <w:szCs w:val="21"/>
                    </w:rPr>
                    <w:t>41</w:t>
                  </w:r>
                </w:p>
              </w:tc>
              <w:tc>
                <w:tcPr>
                  <w:tcW w:w="1146" w:type="pct"/>
                  <w:tcBorders>
                    <w:tl2br w:val="nil"/>
                    <w:tr2bl w:val="nil"/>
                  </w:tcBorders>
                  <w:vAlign w:val="center"/>
                </w:tcPr>
                <w:p w14:paraId="520ACAE4">
                  <w:pPr>
                    <w:adjustRightInd w:val="0"/>
                    <w:snapToGrid w:val="0"/>
                    <w:jc w:val="center"/>
                    <w:rPr>
                      <w:szCs w:val="21"/>
                    </w:rPr>
                  </w:pPr>
                  <w:r>
                    <w:rPr>
                      <w:rFonts w:hint="eastAsia"/>
                      <w:szCs w:val="21"/>
                    </w:rPr>
                    <w:t>0</w:t>
                  </w:r>
                </w:p>
              </w:tc>
            </w:tr>
            <w:tr w14:paraId="520ACAE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AE6">
                  <w:pPr>
                    <w:adjustRightInd w:val="0"/>
                    <w:snapToGrid w:val="0"/>
                    <w:jc w:val="center"/>
                    <w:rPr>
                      <w:bCs/>
                      <w:szCs w:val="21"/>
                    </w:rPr>
                  </w:pPr>
                </w:p>
              </w:tc>
              <w:tc>
                <w:tcPr>
                  <w:tcW w:w="958" w:type="pct"/>
                  <w:tcBorders>
                    <w:tl2br w:val="nil"/>
                    <w:tr2bl w:val="nil"/>
                  </w:tcBorders>
                  <w:vAlign w:val="center"/>
                </w:tcPr>
                <w:p w14:paraId="520ACAE7">
                  <w:pPr>
                    <w:adjustRightInd w:val="0"/>
                    <w:snapToGrid w:val="0"/>
                    <w:jc w:val="center"/>
                    <w:rPr>
                      <w:szCs w:val="22"/>
                      <w:highlight w:val="yellow"/>
                    </w:rPr>
                  </w:pPr>
                  <w:r>
                    <w:rPr>
                      <w:szCs w:val="21"/>
                    </w:rPr>
                    <w:t>1205厂房</w:t>
                  </w:r>
                </w:p>
              </w:tc>
              <w:tc>
                <w:tcPr>
                  <w:tcW w:w="1046" w:type="pct"/>
                  <w:tcBorders>
                    <w:tl2br w:val="nil"/>
                    <w:tr2bl w:val="nil"/>
                  </w:tcBorders>
                  <w:vAlign w:val="center"/>
                </w:tcPr>
                <w:p w14:paraId="520ACAE8">
                  <w:pPr>
                    <w:adjustRightInd w:val="0"/>
                    <w:snapToGrid w:val="0"/>
                    <w:jc w:val="center"/>
                    <w:rPr>
                      <w:rFonts w:eastAsia="等线"/>
                      <w:szCs w:val="21"/>
                      <w:highlight w:val="yellow"/>
                    </w:rPr>
                  </w:pPr>
                  <w:r>
                    <w:rPr>
                      <w:rFonts w:hint="eastAsia"/>
                    </w:rPr>
                    <w:t>15.9</w:t>
                  </w:r>
                </w:p>
              </w:tc>
              <w:tc>
                <w:tcPr>
                  <w:tcW w:w="1045" w:type="pct"/>
                  <w:tcBorders>
                    <w:tl2br w:val="nil"/>
                    <w:tr2bl w:val="nil"/>
                  </w:tcBorders>
                  <w:vAlign w:val="center"/>
                </w:tcPr>
                <w:p w14:paraId="520ACAE9">
                  <w:pPr>
                    <w:adjustRightInd w:val="0"/>
                    <w:snapToGrid w:val="0"/>
                    <w:jc w:val="center"/>
                    <w:rPr>
                      <w:rFonts w:eastAsia="等线"/>
                      <w:szCs w:val="21"/>
                    </w:rPr>
                  </w:pPr>
                  <w:r>
                    <w:rPr>
                      <w:rFonts w:hint="eastAsia" w:eastAsia="等线"/>
                      <w:szCs w:val="21"/>
                    </w:rPr>
                    <w:t>119</w:t>
                  </w:r>
                </w:p>
              </w:tc>
              <w:tc>
                <w:tcPr>
                  <w:tcW w:w="1146" w:type="pct"/>
                  <w:tcBorders>
                    <w:tl2br w:val="nil"/>
                    <w:tr2bl w:val="nil"/>
                  </w:tcBorders>
                  <w:vAlign w:val="center"/>
                </w:tcPr>
                <w:p w14:paraId="520ACAEA">
                  <w:pPr>
                    <w:adjustRightInd w:val="0"/>
                    <w:snapToGrid w:val="0"/>
                    <w:jc w:val="center"/>
                    <w:rPr>
                      <w:rFonts w:eastAsia="等线"/>
                      <w:szCs w:val="21"/>
                    </w:rPr>
                  </w:pPr>
                  <w:r>
                    <w:rPr>
                      <w:rFonts w:hint="eastAsia" w:eastAsia="等线"/>
                      <w:szCs w:val="21"/>
                    </w:rPr>
                    <w:t>0</w:t>
                  </w:r>
                </w:p>
              </w:tc>
            </w:tr>
            <w:tr w14:paraId="520ACAF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AEC">
                  <w:pPr>
                    <w:adjustRightInd w:val="0"/>
                    <w:snapToGrid w:val="0"/>
                    <w:jc w:val="center"/>
                    <w:rPr>
                      <w:bCs/>
                      <w:szCs w:val="21"/>
                    </w:rPr>
                  </w:pPr>
                </w:p>
              </w:tc>
              <w:tc>
                <w:tcPr>
                  <w:tcW w:w="958" w:type="pct"/>
                  <w:tcBorders>
                    <w:tl2br w:val="nil"/>
                    <w:tr2bl w:val="nil"/>
                  </w:tcBorders>
                  <w:vAlign w:val="center"/>
                </w:tcPr>
                <w:p w14:paraId="520ACAED">
                  <w:pPr>
                    <w:adjustRightInd w:val="0"/>
                    <w:snapToGrid w:val="0"/>
                    <w:jc w:val="center"/>
                    <w:rPr>
                      <w:szCs w:val="22"/>
                      <w:highlight w:val="yellow"/>
                    </w:rPr>
                  </w:pPr>
                  <w:r>
                    <w:rPr>
                      <w:szCs w:val="21"/>
                    </w:rPr>
                    <w:t>101厂房</w:t>
                  </w:r>
                </w:p>
              </w:tc>
              <w:tc>
                <w:tcPr>
                  <w:tcW w:w="1046" w:type="pct"/>
                  <w:tcBorders>
                    <w:tl2br w:val="nil"/>
                    <w:tr2bl w:val="nil"/>
                  </w:tcBorders>
                  <w:vAlign w:val="center"/>
                </w:tcPr>
                <w:p w14:paraId="520ACAEE">
                  <w:pPr>
                    <w:adjustRightInd w:val="0"/>
                    <w:snapToGrid w:val="0"/>
                    <w:jc w:val="center"/>
                    <w:rPr>
                      <w:rFonts w:eastAsia="等线"/>
                      <w:szCs w:val="21"/>
                    </w:rPr>
                  </w:pPr>
                  <w:r>
                    <w:rPr>
                      <w:rFonts w:hint="eastAsia" w:eastAsia="等线"/>
                      <w:szCs w:val="21"/>
                    </w:rPr>
                    <w:t>36.5</w:t>
                  </w:r>
                </w:p>
              </w:tc>
              <w:tc>
                <w:tcPr>
                  <w:tcW w:w="1045" w:type="pct"/>
                  <w:tcBorders>
                    <w:tl2br w:val="nil"/>
                    <w:tr2bl w:val="nil"/>
                  </w:tcBorders>
                  <w:vAlign w:val="center"/>
                </w:tcPr>
                <w:p w14:paraId="520ACAEF">
                  <w:pPr>
                    <w:adjustRightInd w:val="0"/>
                    <w:snapToGrid w:val="0"/>
                    <w:jc w:val="center"/>
                    <w:rPr>
                      <w:rFonts w:eastAsia="等线"/>
                      <w:szCs w:val="21"/>
                    </w:rPr>
                  </w:pPr>
                  <w:r>
                    <w:rPr>
                      <w:rFonts w:hint="eastAsia" w:eastAsia="等线"/>
                      <w:szCs w:val="21"/>
                    </w:rPr>
                    <w:t>125</w:t>
                  </w:r>
                </w:p>
              </w:tc>
              <w:tc>
                <w:tcPr>
                  <w:tcW w:w="1146" w:type="pct"/>
                  <w:tcBorders>
                    <w:tl2br w:val="nil"/>
                    <w:tr2bl w:val="nil"/>
                  </w:tcBorders>
                  <w:vAlign w:val="center"/>
                </w:tcPr>
                <w:p w14:paraId="520ACAF0">
                  <w:pPr>
                    <w:adjustRightInd w:val="0"/>
                    <w:snapToGrid w:val="0"/>
                    <w:jc w:val="center"/>
                    <w:rPr>
                      <w:rFonts w:eastAsia="等线"/>
                      <w:szCs w:val="21"/>
                    </w:rPr>
                  </w:pPr>
                  <w:r>
                    <w:rPr>
                      <w:rFonts w:hint="eastAsia" w:eastAsia="等线"/>
                      <w:szCs w:val="21"/>
                    </w:rPr>
                    <w:t>0</w:t>
                  </w:r>
                </w:p>
              </w:tc>
            </w:tr>
            <w:tr w14:paraId="520ACAF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AF2">
                  <w:pPr>
                    <w:adjustRightInd w:val="0"/>
                    <w:snapToGrid w:val="0"/>
                    <w:jc w:val="center"/>
                    <w:rPr>
                      <w:bCs/>
                      <w:szCs w:val="21"/>
                    </w:rPr>
                  </w:pPr>
                </w:p>
              </w:tc>
              <w:tc>
                <w:tcPr>
                  <w:tcW w:w="958" w:type="pct"/>
                  <w:tcBorders>
                    <w:tl2br w:val="nil"/>
                    <w:tr2bl w:val="nil"/>
                  </w:tcBorders>
                  <w:vAlign w:val="center"/>
                </w:tcPr>
                <w:p w14:paraId="520ACAF3">
                  <w:pPr>
                    <w:adjustRightInd w:val="0"/>
                    <w:snapToGrid w:val="0"/>
                    <w:jc w:val="center"/>
                    <w:rPr>
                      <w:szCs w:val="22"/>
                      <w:highlight w:val="yellow"/>
                    </w:rPr>
                  </w:pPr>
                  <w:r>
                    <w:rPr>
                      <w:rFonts w:hint="eastAsia"/>
                      <w:szCs w:val="21"/>
                    </w:rPr>
                    <w:t>105</w:t>
                  </w:r>
                  <w:r>
                    <w:rPr>
                      <w:szCs w:val="21"/>
                    </w:rPr>
                    <w:t>厂房</w:t>
                  </w:r>
                </w:p>
              </w:tc>
              <w:tc>
                <w:tcPr>
                  <w:tcW w:w="1046" w:type="pct"/>
                  <w:tcBorders>
                    <w:tl2br w:val="nil"/>
                    <w:tr2bl w:val="nil"/>
                  </w:tcBorders>
                  <w:vAlign w:val="center"/>
                </w:tcPr>
                <w:p w14:paraId="520ACAF4">
                  <w:pPr>
                    <w:adjustRightInd w:val="0"/>
                    <w:snapToGrid w:val="0"/>
                    <w:jc w:val="center"/>
                    <w:rPr>
                      <w:rFonts w:eastAsia="等线"/>
                      <w:szCs w:val="21"/>
                    </w:rPr>
                  </w:pPr>
                  <w:r>
                    <w:rPr>
                      <w:rFonts w:hint="eastAsia" w:eastAsia="等线"/>
                      <w:szCs w:val="21"/>
                    </w:rPr>
                    <w:t>27.5</w:t>
                  </w:r>
                </w:p>
              </w:tc>
              <w:tc>
                <w:tcPr>
                  <w:tcW w:w="1045" w:type="pct"/>
                  <w:tcBorders>
                    <w:tl2br w:val="nil"/>
                    <w:tr2bl w:val="nil"/>
                  </w:tcBorders>
                  <w:vAlign w:val="center"/>
                </w:tcPr>
                <w:p w14:paraId="520ACAF5">
                  <w:pPr>
                    <w:adjustRightInd w:val="0"/>
                    <w:snapToGrid w:val="0"/>
                    <w:jc w:val="center"/>
                    <w:rPr>
                      <w:rFonts w:eastAsia="等线"/>
                      <w:szCs w:val="21"/>
                    </w:rPr>
                  </w:pPr>
                  <w:r>
                    <w:rPr>
                      <w:rFonts w:hint="eastAsia" w:eastAsia="等线"/>
                      <w:szCs w:val="21"/>
                    </w:rPr>
                    <w:t>88</w:t>
                  </w:r>
                </w:p>
              </w:tc>
              <w:tc>
                <w:tcPr>
                  <w:tcW w:w="1146" w:type="pct"/>
                  <w:tcBorders>
                    <w:tl2br w:val="nil"/>
                    <w:tr2bl w:val="nil"/>
                  </w:tcBorders>
                  <w:vAlign w:val="center"/>
                </w:tcPr>
                <w:p w14:paraId="520ACAF6">
                  <w:pPr>
                    <w:adjustRightInd w:val="0"/>
                    <w:snapToGrid w:val="0"/>
                    <w:jc w:val="center"/>
                    <w:rPr>
                      <w:rFonts w:eastAsia="等线"/>
                      <w:szCs w:val="21"/>
                    </w:rPr>
                  </w:pPr>
                  <w:r>
                    <w:rPr>
                      <w:rFonts w:hint="eastAsia" w:eastAsia="等线"/>
                      <w:szCs w:val="21"/>
                    </w:rPr>
                    <w:t>0</w:t>
                  </w:r>
                </w:p>
              </w:tc>
            </w:tr>
            <w:tr w14:paraId="520ACAF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AF8">
                  <w:pPr>
                    <w:adjustRightInd w:val="0"/>
                    <w:snapToGrid w:val="0"/>
                    <w:jc w:val="center"/>
                    <w:rPr>
                      <w:bCs/>
                      <w:szCs w:val="21"/>
                    </w:rPr>
                  </w:pPr>
                </w:p>
              </w:tc>
              <w:tc>
                <w:tcPr>
                  <w:tcW w:w="958" w:type="pct"/>
                  <w:tcBorders>
                    <w:tl2br w:val="nil"/>
                    <w:tr2bl w:val="nil"/>
                  </w:tcBorders>
                  <w:vAlign w:val="center"/>
                </w:tcPr>
                <w:p w14:paraId="520ACAF9">
                  <w:pPr>
                    <w:adjustRightInd w:val="0"/>
                    <w:snapToGrid w:val="0"/>
                    <w:jc w:val="center"/>
                    <w:rPr>
                      <w:szCs w:val="22"/>
                      <w:highlight w:val="yellow"/>
                    </w:rPr>
                  </w:pPr>
                  <w:r>
                    <w:rPr>
                      <w:szCs w:val="21"/>
                    </w:rPr>
                    <w:t>1206厂房</w:t>
                  </w:r>
                </w:p>
              </w:tc>
              <w:tc>
                <w:tcPr>
                  <w:tcW w:w="1046" w:type="pct"/>
                  <w:tcBorders>
                    <w:tl2br w:val="nil"/>
                    <w:tr2bl w:val="nil"/>
                  </w:tcBorders>
                  <w:vAlign w:val="center"/>
                </w:tcPr>
                <w:p w14:paraId="520ACAFA">
                  <w:pPr>
                    <w:adjustRightInd w:val="0"/>
                    <w:snapToGrid w:val="0"/>
                    <w:jc w:val="center"/>
                    <w:rPr>
                      <w:rFonts w:eastAsia="等线"/>
                      <w:szCs w:val="21"/>
                    </w:rPr>
                  </w:pPr>
                  <w:r>
                    <w:rPr>
                      <w:rFonts w:hint="eastAsia" w:eastAsia="等线"/>
                      <w:szCs w:val="21"/>
                    </w:rPr>
                    <w:t>38.4</w:t>
                  </w:r>
                </w:p>
              </w:tc>
              <w:tc>
                <w:tcPr>
                  <w:tcW w:w="1045" w:type="pct"/>
                  <w:tcBorders>
                    <w:tl2br w:val="nil"/>
                    <w:tr2bl w:val="nil"/>
                  </w:tcBorders>
                  <w:vAlign w:val="center"/>
                </w:tcPr>
                <w:p w14:paraId="520ACAFB">
                  <w:pPr>
                    <w:adjustRightInd w:val="0"/>
                    <w:snapToGrid w:val="0"/>
                    <w:jc w:val="center"/>
                    <w:rPr>
                      <w:rFonts w:eastAsia="等线"/>
                      <w:szCs w:val="21"/>
                    </w:rPr>
                  </w:pPr>
                  <w:r>
                    <w:rPr>
                      <w:rFonts w:hint="eastAsia" w:eastAsia="等线"/>
                      <w:szCs w:val="21"/>
                    </w:rPr>
                    <w:t>255</w:t>
                  </w:r>
                </w:p>
              </w:tc>
              <w:tc>
                <w:tcPr>
                  <w:tcW w:w="1146" w:type="pct"/>
                  <w:tcBorders>
                    <w:tl2br w:val="nil"/>
                    <w:tr2bl w:val="nil"/>
                  </w:tcBorders>
                  <w:vAlign w:val="center"/>
                </w:tcPr>
                <w:p w14:paraId="520ACAFC">
                  <w:pPr>
                    <w:adjustRightInd w:val="0"/>
                    <w:snapToGrid w:val="0"/>
                    <w:jc w:val="center"/>
                    <w:rPr>
                      <w:rFonts w:eastAsia="等线"/>
                      <w:szCs w:val="21"/>
                    </w:rPr>
                  </w:pPr>
                  <w:r>
                    <w:rPr>
                      <w:rFonts w:hint="eastAsia" w:eastAsia="等线"/>
                      <w:szCs w:val="21"/>
                    </w:rPr>
                    <w:t>0</w:t>
                  </w:r>
                </w:p>
              </w:tc>
            </w:tr>
            <w:tr w14:paraId="520ACB0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restart"/>
                  <w:tcBorders>
                    <w:tl2br w:val="nil"/>
                    <w:tr2bl w:val="nil"/>
                  </w:tcBorders>
                  <w:vAlign w:val="center"/>
                </w:tcPr>
                <w:p w14:paraId="520ACAFE">
                  <w:pPr>
                    <w:adjustRightInd w:val="0"/>
                    <w:snapToGrid w:val="0"/>
                    <w:jc w:val="center"/>
                    <w:rPr>
                      <w:bCs/>
                      <w:szCs w:val="21"/>
                    </w:rPr>
                  </w:pPr>
                  <w:r>
                    <w:rPr>
                      <w:rFonts w:hint="eastAsia"/>
                      <w:bCs/>
                      <w:szCs w:val="21"/>
                    </w:rPr>
                    <w:t>南厂界</w:t>
                  </w:r>
                </w:p>
              </w:tc>
              <w:tc>
                <w:tcPr>
                  <w:tcW w:w="958" w:type="pct"/>
                  <w:tcBorders>
                    <w:tl2br w:val="nil"/>
                    <w:tr2bl w:val="nil"/>
                  </w:tcBorders>
                  <w:vAlign w:val="center"/>
                </w:tcPr>
                <w:p w14:paraId="520ACAFF">
                  <w:pPr>
                    <w:adjustRightInd w:val="0"/>
                    <w:snapToGrid w:val="0"/>
                    <w:jc w:val="center"/>
                    <w:rPr>
                      <w:bCs/>
                      <w:szCs w:val="21"/>
                      <w:highlight w:val="yellow"/>
                    </w:rPr>
                  </w:pPr>
                  <w:r>
                    <w:rPr>
                      <w:rFonts w:hint="eastAsia"/>
                      <w:szCs w:val="22"/>
                    </w:rPr>
                    <w:t>1</w:t>
                  </w:r>
                  <w:r>
                    <w:rPr>
                      <w:szCs w:val="22"/>
                    </w:rPr>
                    <w:t>53-1</w:t>
                  </w:r>
                  <w:r>
                    <w:rPr>
                      <w:rFonts w:hint="eastAsia"/>
                      <w:szCs w:val="22"/>
                    </w:rPr>
                    <w:t>厂房</w:t>
                  </w:r>
                </w:p>
              </w:tc>
              <w:tc>
                <w:tcPr>
                  <w:tcW w:w="1046" w:type="pct"/>
                  <w:tcBorders>
                    <w:tl2br w:val="nil"/>
                    <w:tr2bl w:val="nil"/>
                  </w:tcBorders>
                  <w:vAlign w:val="center"/>
                </w:tcPr>
                <w:p w14:paraId="520ACB00">
                  <w:pPr>
                    <w:adjustRightInd w:val="0"/>
                    <w:snapToGrid w:val="0"/>
                    <w:jc w:val="center"/>
                    <w:rPr>
                      <w:szCs w:val="21"/>
                      <w:highlight w:val="yellow"/>
                    </w:rPr>
                  </w:pPr>
                  <w:r>
                    <w:rPr>
                      <w:rFonts w:hint="eastAsia"/>
                    </w:rPr>
                    <w:t>45.9</w:t>
                  </w:r>
                </w:p>
              </w:tc>
              <w:tc>
                <w:tcPr>
                  <w:tcW w:w="1045" w:type="pct"/>
                  <w:tcBorders>
                    <w:tl2br w:val="nil"/>
                    <w:tr2bl w:val="nil"/>
                  </w:tcBorders>
                  <w:vAlign w:val="center"/>
                </w:tcPr>
                <w:p w14:paraId="520ACB01">
                  <w:pPr>
                    <w:adjustRightInd w:val="0"/>
                    <w:snapToGrid w:val="0"/>
                    <w:jc w:val="center"/>
                    <w:rPr>
                      <w:szCs w:val="21"/>
                    </w:rPr>
                  </w:pPr>
                  <w:r>
                    <w:rPr>
                      <w:rFonts w:hint="eastAsia"/>
                      <w:szCs w:val="21"/>
                    </w:rPr>
                    <w:t>70</w:t>
                  </w:r>
                </w:p>
              </w:tc>
              <w:tc>
                <w:tcPr>
                  <w:tcW w:w="1146" w:type="pct"/>
                  <w:tcBorders>
                    <w:tl2br w:val="nil"/>
                    <w:tr2bl w:val="nil"/>
                  </w:tcBorders>
                  <w:vAlign w:val="center"/>
                </w:tcPr>
                <w:p w14:paraId="520ACB02">
                  <w:pPr>
                    <w:adjustRightInd w:val="0"/>
                    <w:snapToGrid w:val="0"/>
                    <w:jc w:val="center"/>
                    <w:rPr>
                      <w:szCs w:val="21"/>
                    </w:rPr>
                  </w:pPr>
                  <w:r>
                    <w:rPr>
                      <w:rFonts w:hint="eastAsia"/>
                      <w:szCs w:val="21"/>
                    </w:rPr>
                    <w:t>0</w:t>
                  </w:r>
                </w:p>
              </w:tc>
            </w:tr>
            <w:tr w14:paraId="520ACB0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B04">
                  <w:pPr>
                    <w:adjustRightInd w:val="0"/>
                    <w:snapToGrid w:val="0"/>
                    <w:jc w:val="center"/>
                    <w:rPr>
                      <w:bCs/>
                      <w:szCs w:val="21"/>
                    </w:rPr>
                  </w:pPr>
                </w:p>
              </w:tc>
              <w:tc>
                <w:tcPr>
                  <w:tcW w:w="958" w:type="pct"/>
                  <w:tcBorders>
                    <w:tl2br w:val="nil"/>
                    <w:tr2bl w:val="nil"/>
                  </w:tcBorders>
                  <w:vAlign w:val="center"/>
                </w:tcPr>
                <w:p w14:paraId="520ACB05">
                  <w:pPr>
                    <w:adjustRightInd w:val="0"/>
                    <w:snapToGrid w:val="0"/>
                    <w:jc w:val="center"/>
                    <w:rPr>
                      <w:szCs w:val="22"/>
                      <w:highlight w:val="yellow"/>
                    </w:rPr>
                  </w:pPr>
                  <w:r>
                    <w:rPr>
                      <w:szCs w:val="21"/>
                    </w:rPr>
                    <w:t>1205厂房</w:t>
                  </w:r>
                </w:p>
              </w:tc>
              <w:tc>
                <w:tcPr>
                  <w:tcW w:w="1046" w:type="pct"/>
                  <w:tcBorders>
                    <w:tl2br w:val="nil"/>
                    <w:tr2bl w:val="nil"/>
                  </w:tcBorders>
                  <w:vAlign w:val="center"/>
                </w:tcPr>
                <w:p w14:paraId="520ACB06">
                  <w:pPr>
                    <w:adjustRightInd w:val="0"/>
                    <w:snapToGrid w:val="0"/>
                    <w:jc w:val="center"/>
                    <w:rPr>
                      <w:rFonts w:eastAsia="等线"/>
                      <w:szCs w:val="21"/>
                      <w:highlight w:val="yellow"/>
                    </w:rPr>
                  </w:pPr>
                  <w:r>
                    <w:rPr>
                      <w:rFonts w:hint="eastAsia"/>
                    </w:rPr>
                    <w:t>34.2</w:t>
                  </w:r>
                </w:p>
              </w:tc>
              <w:tc>
                <w:tcPr>
                  <w:tcW w:w="1045" w:type="pct"/>
                  <w:tcBorders>
                    <w:tl2br w:val="nil"/>
                    <w:tr2bl w:val="nil"/>
                  </w:tcBorders>
                  <w:vAlign w:val="center"/>
                </w:tcPr>
                <w:p w14:paraId="520ACB07">
                  <w:pPr>
                    <w:adjustRightInd w:val="0"/>
                    <w:snapToGrid w:val="0"/>
                    <w:jc w:val="center"/>
                    <w:rPr>
                      <w:rFonts w:eastAsia="等线"/>
                      <w:szCs w:val="21"/>
                    </w:rPr>
                  </w:pPr>
                  <w:r>
                    <w:rPr>
                      <w:rFonts w:hint="eastAsia" w:eastAsia="等线"/>
                      <w:szCs w:val="21"/>
                    </w:rPr>
                    <w:t>242</w:t>
                  </w:r>
                </w:p>
              </w:tc>
              <w:tc>
                <w:tcPr>
                  <w:tcW w:w="1146" w:type="pct"/>
                  <w:tcBorders>
                    <w:tl2br w:val="nil"/>
                    <w:tr2bl w:val="nil"/>
                  </w:tcBorders>
                  <w:vAlign w:val="center"/>
                </w:tcPr>
                <w:p w14:paraId="520ACB08">
                  <w:pPr>
                    <w:adjustRightInd w:val="0"/>
                    <w:snapToGrid w:val="0"/>
                    <w:jc w:val="center"/>
                    <w:rPr>
                      <w:rFonts w:eastAsia="等线"/>
                      <w:szCs w:val="21"/>
                    </w:rPr>
                  </w:pPr>
                  <w:r>
                    <w:rPr>
                      <w:rFonts w:hint="eastAsia" w:eastAsia="等线"/>
                      <w:szCs w:val="21"/>
                    </w:rPr>
                    <w:t>0</w:t>
                  </w:r>
                </w:p>
              </w:tc>
            </w:tr>
            <w:tr w14:paraId="520ACB0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B0A">
                  <w:pPr>
                    <w:adjustRightInd w:val="0"/>
                    <w:snapToGrid w:val="0"/>
                    <w:jc w:val="center"/>
                    <w:rPr>
                      <w:bCs/>
                      <w:szCs w:val="21"/>
                    </w:rPr>
                  </w:pPr>
                </w:p>
              </w:tc>
              <w:tc>
                <w:tcPr>
                  <w:tcW w:w="958" w:type="pct"/>
                  <w:tcBorders>
                    <w:tl2br w:val="nil"/>
                    <w:tr2bl w:val="nil"/>
                  </w:tcBorders>
                  <w:vAlign w:val="center"/>
                </w:tcPr>
                <w:p w14:paraId="520ACB0B">
                  <w:pPr>
                    <w:adjustRightInd w:val="0"/>
                    <w:snapToGrid w:val="0"/>
                    <w:jc w:val="center"/>
                    <w:rPr>
                      <w:szCs w:val="22"/>
                      <w:highlight w:val="yellow"/>
                    </w:rPr>
                  </w:pPr>
                  <w:r>
                    <w:rPr>
                      <w:szCs w:val="21"/>
                    </w:rPr>
                    <w:t>101厂房</w:t>
                  </w:r>
                </w:p>
              </w:tc>
              <w:tc>
                <w:tcPr>
                  <w:tcW w:w="1046" w:type="pct"/>
                  <w:tcBorders>
                    <w:tl2br w:val="nil"/>
                    <w:tr2bl w:val="nil"/>
                  </w:tcBorders>
                  <w:vAlign w:val="center"/>
                </w:tcPr>
                <w:p w14:paraId="520ACB0C">
                  <w:pPr>
                    <w:adjustRightInd w:val="0"/>
                    <w:snapToGrid w:val="0"/>
                    <w:jc w:val="center"/>
                    <w:rPr>
                      <w:rFonts w:eastAsia="等线"/>
                      <w:szCs w:val="21"/>
                    </w:rPr>
                  </w:pPr>
                  <w:r>
                    <w:rPr>
                      <w:rFonts w:hint="eastAsia" w:eastAsia="等线"/>
                      <w:szCs w:val="21"/>
                    </w:rPr>
                    <w:t>17.1</w:t>
                  </w:r>
                </w:p>
              </w:tc>
              <w:tc>
                <w:tcPr>
                  <w:tcW w:w="1045" w:type="pct"/>
                  <w:tcBorders>
                    <w:tl2br w:val="nil"/>
                    <w:tr2bl w:val="nil"/>
                  </w:tcBorders>
                  <w:vAlign w:val="center"/>
                </w:tcPr>
                <w:p w14:paraId="520ACB0D">
                  <w:pPr>
                    <w:adjustRightInd w:val="0"/>
                    <w:snapToGrid w:val="0"/>
                    <w:jc w:val="center"/>
                    <w:rPr>
                      <w:rFonts w:eastAsia="等线"/>
                      <w:szCs w:val="21"/>
                    </w:rPr>
                  </w:pPr>
                  <w:r>
                    <w:rPr>
                      <w:rFonts w:hint="eastAsia" w:eastAsia="等线"/>
                      <w:szCs w:val="21"/>
                    </w:rPr>
                    <w:t>54</w:t>
                  </w:r>
                </w:p>
              </w:tc>
              <w:tc>
                <w:tcPr>
                  <w:tcW w:w="1146" w:type="pct"/>
                  <w:tcBorders>
                    <w:tl2br w:val="nil"/>
                    <w:tr2bl w:val="nil"/>
                  </w:tcBorders>
                  <w:vAlign w:val="center"/>
                </w:tcPr>
                <w:p w14:paraId="520ACB0E">
                  <w:pPr>
                    <w:adjustRightInd w:val="0"/>
                    <w:snapToGrid w:val="0"/>
                    <w:jc w:val="center"/>
                    <w:rPr>
                      <w:rFonts w:eastAsia="等线"/>
                      <w:szCs w:val="21"/>
                    </w:rPr>
                  </w:pPr>
                  <w:r>
                    <w:rPr>
                      <w:rFonts w:hint="eastAsia" w:eastAsia="等线"/>
                      <w:szCs w:val="21"/>
                    </w:rPr>
                    <w:t>0</w:t>
                  </w:r>
                </w:p>
              </w:tc>
            </w:tr>
            <w:tr w14:paraId="520ACB1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B10">
                  <w:pPr>
                    <w:adjustRightInd w:val="0"/>
                    <w:snapToGrid w:val="0"/>
                    <w:jc w:val="center"/>
                    <w:rPr>
                      <w:bCs/>
                      <w:szCs w:val="21"/>
                    </w:rPr>
                  </w:pPr>
                </w:p>
              </w:tc>
              <w:tc>
                <w:tcPr>
                  <w:tcW w:w="958" w:type="pct"/>
                  <w:tcBorders>
                    <w:tl2br w:val="nil"/>
                    <w:tr2bl w:val="nil"/>
                  </w:tcBorders>
                  <w:vAlign w:val="center"/>
                </w:tcPr>
                <w:p w14:paraId="520ACB11">
                  <w:pPr>
                    <w:adjustRightInd w:val="0"/>
                    <w:snapToGrid w:val="0"/>
                    <w:jc w:val="center"/>
                    <w:rPr>
                      <w:szCs w:val="22"/>
                      <w:highlight w:val="yellow"/>
                    </w:rPr>
                  </w:pPr>
                  <w:r>
                    <w:rPr>
                      <w:rFonts w:hint="eastAsia"/>
                      <w:szCs w:val="21"/>
                    </w:rPr>
                    <w:t>105</w:t>
                  </w:r>
                  <w:r>
                    <w:rPr>
                      <w:szCs w:val="21"/>
                    </w:rPr>
                    <w:t>厂房</w:t>
                  </w:r>
                </w:p>
              </w:tc>
              <w:tc>
                <w:tcPr>
                  <w:tcW w:w="1046" w:type="pct"/>
                  <w:tcBorders>
                    <w:tl2br w:val="nil"/>
                    <w:tr2bl w:val="nil"/>
                  </w:tcBorders>
                  <w:vAlign w:val="center"/>
                </w:tcPr>
                <w:p w14:paraId="520ACB12">
                  <w:pPr>
                    <w:adjustRightInd w:val="0"/>
                    <w:snapToGrid w:val="0"/>
                    <w:jc w:val="center"/>
                    <w:rPr>
                      <w:rFonts w:eastAsia="等线"/>
                      <w:szCs w:val="21"/>
                    </w:rPr>
                  </w:pPr>
                  <w:r>
                    <w:rPr>
                      <w:rFonts w:hint="eastAsia" w:eastAsia="等线"/>
                      <w:szCs w:val="21"/>
                    </w:rPr>
                    <w:t>44.4</w:t>
                  </w:r>
                </w:p>
              </w:tc>
              <w:tc>
                <w:tcPr>
                  <w:tcW w:w="1045" w:type="pct"/>
                  <w:tcBorders>
                    <w:tl2br w:val="nil"/>
                    <w:tr2bl w:val="nil"/>
                  </w:tcBorders>
                  <w:vAlign w:val="center"/>
                </w:tcPr>
                <w:p w14:paraId="520ACB13">
                  <w:pPr>
                    <w:adjustRightInd w:val="0"/>
                    <w:snapToGrid w:val="0"/>
                    <w:jc w:val="center"/>
                    <w:rPr>
                      <w:rFonts w:eastAsia="等线"/>
                      <w:szCs w:val="21"/>
                    </w:rPr>
                  </w:pPr>
                  <w:r>
                    <w:rPr>
                      <w:rFonts w:hint="eastAsia" w:eastAsia="等线"/>
                      <w:szCs w:val="21"/>
                    </w:rPr>
                    <w:t>406</w:t>
                  </w:r>
                </w:p>
              </w:tc>
              <w:tc>
                <w:tcPr>
                  <w:tcW w:w="1146" w:type="pct"/>
                  <w:tcBorders>
                    <w:tl2br w:val="nil"/>
                    <w:tr2bl w:val="nil"/>
                  </w:tcBorders>
                  <w:vAlign w:val="center"/>
                </w:tcPr>
                <w:p w14:paraId="520ACB14">
                  <w:pPr>
                    <w:adjustRightInd w:val="0"/>
                    <w:snapToGrid w:val="0"/>
                    <w:jc w:val="center"/>
                    <w:rPr>
                      <w:rFonts w:eastAsia="等线"/>
                      <w:szCs w:val="21"/>
                    </w:rPr>
                  </w:pPr>
                  <w:r>
                    <w:rPr>
                      <w:rFonts w:hint="eastAsia" w:eastAsia="等线"/>
                      <w:szCs w:val="21"/>
                    </w:rPr>
                    <w:t>0</w:t>
                  </w:r>
                </w:p>
              </w:tc>
            </w:tr>
            <w:tr w14:paraId="520ACB1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B16">
                  <w:pPr>
                    <w:adjustRightInd w:val="0"/>
                    <w:snapToGrid w:val="0"/>
                    <w:jc w:val="center"/>
                    <w:rPr>
                      <w:bCs/>
                      <w:szCs w:val="21"/>
                    </w:rPr>
                  </w:pPr>
                </w:p>
              </w:tc>
              <w:tc>
                <w:tcPr>
                  <w:tcW w:w="958" w:type="pct"/>
                  <w:tcBorders>
                    <w:tl2br w:val="nil"/>
                    <w:tr2bl w:val="nil"/>
                  </w:tcBorders>
                  <w:vAlign w:val="center"/>
                </w:tcPr>
                <w:p w14:paraId="520ACB17">
                  <w:pPr>
                    <w:adjustRightInd w:val="0"/>
                    <w:snapToGrid w:val="0"/>
                    <w:jc w:val="center"/>
                    <w:rPr>
                      <w:szCs w:val="22"/>
                      <w:highlight w:val="yellow"/>
                    </w:rPr>
                  </w:pPr>
                  <w:r>
                    <w:rPr>
                      <w:szCs w:val="21"/>
                    </w:rPr>
                    <w:t>1206厂房</w:t>
                  </w:r>
                </w:p>
              </w:tc>
              <w:tc>
                <w:tcPr>
                  <w:tcW w:w="1046" w:type="pct"/>
                  <w:tcBorders>
                    <w:tl2br w:val="nil"/>
                    <w:tr2bl w:val="nil"/>
                  </w:tcBorders>
                  <w:vAlign w:val="center"/>
                </w:tcPr>
                <w:p w14:paraId="520ACB18">
                  <w:pPr>
                    <w:adjustRightInd w:val="0"/>
                    <w:snapToGrid w:val="0"/>
                    <w:jc w:val="center"/>
                    <w:rPr>
                      <w:rFonts w:eastAsia="等线"/>
                      <w:szCs w:val="21"/>
                    </w:rPr>
                  </w:pPr>
                  <w:r>
                    <w:rPr>
                      <w:rFonts w:hint="eastAsia" w:eastAsia="等线"/>
                      <w:szCs w:val="21"/>
                    </w:rPr>
                    <w:t>37.7</w:t>
                  </w:r>
                </w:p>
              </w:tc>
              <w:tc>
                <w:tcPr>
                  <w:tcW w:w="1045" w:type="pct"/>
                  <w:tcBorders>
                    <w:tl2br w:val="nil"/>
                    <w:tr2bl w:val="nil"/>
                  </w:tcBorders>
                  <w:vAlign w:val="center"/>
                </w:tcPr>
                <w:p w14:paraId="520ACB19">
                  <w:pPr>
                    <w:adjustRightInd w:val="0"/>
                    <w:snapToGrid w:val="0"/>
                    <w:jc w:val="center"/>
                    <w:rPr>
                      <w:rFonts w:eastAsia="等线"/>
                      <w:szCs w:val="21"/>
                    </w:rPr>
                  </w:pPr>
                  <w:r>
                    <w:rPr>
                      <w:rFonts w:hint="eastAsia" w:eastAsia="等线"/>
                      <w:szCs w:val="21"/>
                    </w:rPr>
                    <w:t>283</w:t>
                  </w:r>
                </w:p>
              </w:tc>
              <w:tc>
                <w:tcPr>
                  <w:tcW w:w="1146" w:type="pct"/>
                  <w:tcBorders>
                    <w:tl2br w:val="nil"/>
                    <w:tr2bl w:val="nil"/>
                  </w:tcBorders>
                  <w:vAlign w:val="center"/>
                </w:tcPr>
                <w:p w14:paraId="520ACB1A">
                  <w:pPr>
                    <w:adjustRightInd w:val="0"/>
                    <w:snapToGrid w:val="0"/>
                    <w:jc w:val="center"/>
                    <w:rPr>
                      <w:rFonts w:eastAsia="等线"/>
                      <w:szCs w:val="21"/>
                    </w:rPr>
                  </w:pPr>
                  <w:r>
                    <w:rPr>
                      <w:rFonts w:hint="eastAsia" w:eastAsia="等线"/>
                      <w:szCs w:val="21"/>
                    </w:rPr>
                    <w:t>0</w:t>
                  </w:r>
                </w:p>
              </w:tc>
            </w:tr>
            <w:tr w14:paraId="520ACB2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restart"/>
                  <w:tcBorders>
                    <w:tl2br w:val="nil"/>
                    <w:tr2bl w:val="nil"/>
                  </w:tcBorders>
                  <w:vAlign w:val="center"/>
                </w:tcPr>
                <w:p w14:paraId="520ACB1C">
                  <w:pPr>
                    <w:adjustRightInd w:val="0"/>
                    <w:snapToGrid w:val="0"/>
                    <w:jc w:val="center"/>
                  </w:pPr>
                  <w:r>
                    <w:t>北</w:t>
                  </w:r>
                  <w:r>
                    <w:rPr>
                      <w:rFonts w:hint="eastAsia"/>
                      <w:bCs/>
                      <w:szCs w:val="21"/>
                    </w:rPr>
                    <w:t>厂界</w:t>
                  </w:r>
                </w:p>
              </w:tc>
              <w:tc>
                <w:tcPr>
                  <w:tcW w:w="958" w:type="pct"/>
                  <w:tcBorders>
                    <w:tl2br w:val="nil"/>
                    <w:tr2bl w:val="nil"/>
                  </w:tcBorders>
                  <w:vAlign w:val="center"/>
                </w:tcPr>
                <w:p w14:paraId="520ACB1D">
                  <w:pPr>
                    <w:adjustRightInd w:val="0"/>
                    <w:snapToGrid w:val="0"/>
                    <w:jc w:val="center"/>
                    <w:rPr>
                      <w:szCs w:val="22"/>
                      <w:highlight w:val="yellow"/>
                    </w:rPr>
                  </w:pPr>
                  <w:r>
                    <w:rPr>
                      <w:rFonts w:hint="eastAsia"/>
                      <w:szCs w:val="22"/>
                    </w:rPr>
                    <w:t>1</w:t>
                  </w:r>
                  <w:r>
                    <w:rPr>
                      <w:szCs w:val="22"/>
                    </w:rPr>
                    <w:t>53-1</w:t>
                  </w:r>
                  <w:r>
                    <w:rPr>
                      <w:rFonts w:hint="eastAsia"/>
                      <w:szCs w:val="22"/>
                    </w:rPr>
                    <w:t>厂房</w:t>
                  </w:r>
                </w:p>
              </w:tc>
              <w:tc>
                <w:tcPr>
                  <w:tcW w:w="1046" w:type="pct"/>
                  <w:tcBorders>
                    <w:tl2br w:val="nil"/>
                    <w:tr2bl w:val="nil"/>
                  </w:tcBorders>
                  <w:vAlign w:val="center"/>
                </w:tcPr>
                <w:p w14:paraId="520ACB1E">
                  <w:pPr>
                    <w:adjustRightInd w:val="0"/>
                    <w:snapToGrid w:val="0"/>
                    <w:jc w:val="center"/>
                    <w:rPr>
                      <w:rFonts w:eastAsia="等线"/>
                      <w:szCs w:val="21"/>
                      <w:highlight w:val="yellow"/>
                    </w:rPr>
                  </w:pPr>
                  <w:r>
                    <w:rPr>
                      <w:rFonts w:hint="eastAsia"/>
                    </w:rPr>
                    <w:t>23.5</w:t>
                  </w:r>
                </w:p>
              </w:tc>
              <w:tc>
                <w:tcPr>
                  <w:tcW w:w="1045" w:type="pct"/>
                  <w:tcBorders>
                    <w:tl2br w:val="nil"/>
                    <w:tr2bl w:val="nil"/>
                  </w:tcBorders>
                  <w:vAlign w:val="center"/>
                </w:tcPr>
                <w:p w14:paraId="520ACB1F">
                  <w:pPr>
                    <w:adjustRightInd w:val="0"/>
                    <w:snapToGrid w:val="0"/>
                    <w:jc w:val="center"/>
                    <w:rPr>
                      <w:rFonts w:eastAsia="等线"/>
                      <w:szCs w:val="21"/>
                    </w:rPr>
                  </w:pPr>
                  <w:r>
                    <w:rPr>
                      <w:rFonts w:hint="eastAsia" w:eastAsia="等线"/>
                      <w:szCs w:val="21"/>
                    </w:rPr>
                    <w:t>355</w:t>
                  </w:r>
                </w:p>
              </w:tc>
              <w:tc>
                <w:tcPr>
                  <w:tcW w:w="1146" w:type="pct"/>
                  <w:tcBorders>
                    <w:tl2br w:val="nil"/>
                    <w:tr2bl w:val="nil"/>
                  </w:tcBorders>
                  <w:vAlign w:val="center"/>
                </w:tcPr>
                <w:p w14:paraId="520ACB20">
                  <w:pPr>
                    <w:adjustRightInd w:val="0"/>
                    <w:snapToGrid w:val="0"/>
                    <w:jc w:val="center"/>
                    <w:rPr>
                      <w:rFonts w:eastAsia="等线"/>
                      <w:szCs w:val="21"/>
                    </w:rPr>
                  </w:pPr>
                  <w:r>
                    <w:rPr>
                      <w:rFonts w:hint="eastAsia" w:eastAsia="等线"/>
                      <w:szCs w:val="21"/>
                    </w:rPr>
                    <w:t>0</w:t>
                  </w:r>
                </w:p>
              </w:tc>
            </w:tr>
            <w:tr w14:paraId="520ACB2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B22">
                  <w:pPr>
                    <w:adjustRightInd w:val="0"/>
                    <w:snapToGrid w:val="0"/>
                    <w:jc w:val="center"/>
                  </w:pPr>
                </w:p>
              </w:tc>
              <w:tc>
                <w:tcPr>
                  <w:tcW w:w="958" w:type="pct"/>
                  <w:tcBorders>
                    <w:tl2br w:val="nil"/>
                    <w:tr2bl w:val="nil"/>
                  </w:tcBorders>
                  <w:vAlign w:val="center"/>
                </w:tcPr>
                <w:p w14:paraId="520ACB23">
                  <w:pPr>
                    <w:adjustRightInd w:val="0"/>
                    <w:snapToGrid w:val="0"/>
                    <w:jc w:val="center"/>
                    <w:rPr>
                      <w:szCs w:val="22"/>
                      <w:highlight w:val="yellow"/>
                    </w:rPr>
                  </w:pPr>
                  <w:r>
                    <w:rPr>
                      <w:szCs w:val="21"/>
                    </w:rPr>
                    <w:t>1205厂房</w:t>
                  </w:r>
                </w:p>
              </w:tc>
              <w:tc>
                <w:tcPr>
                  <w:tcW w:w="1046" w:type="pct"/>
                  <w:tcBorders>
                    <w:tl2br w:val="nil"/>
                    <w:tr2bl w:val="nil"/>
                  </w:tcBorders>
                  <w:vAlign w:val="center"/>
                </w:tcPr>
                <w:p w14:paraId="520ACB24">
                  <w:pPr>
                    <w:adjustRightInd w:val="0"/>
                    <w:snapToGrid w:val="0"/>
                    <w:jc w:val="center"/>
                    <w:rPr>
                      <w:rFonts w:eastAsia="等线"/>
                      <w:szCs w:val="21"/>
                      <w:highlight w:val="yellow"/>
                    </w:rPr>
                  </w:pPr>
                  <w:r>
                    <w:rPr>
                      <w:rFonts w:hint="eastAsia"/>
                    </w:rPr>
                    <w:t>24.4</w:t>
                  </w:r>
                </w:p>
              </w:tc>
              <w:tc>
                <w:tcPr>
                  <w:tcW w:w="1045" w:type="pct"/>
                  <w:tcBorders>
                    <w:tl2br w:val="nil"/>
                    <w:tr2bl w:val="nil"/>
                  </w:tcBorders>
                  <w:vAlign w:val="center"/>
                </w:tcPr>
                <w:p w14:paraId="520ACB25">
                  <w:pPr>
                    <w:adjustRightInd w:val="0"/>
                    <w:snapToGrid w:val="0"/>
                    <w:jc w:val="center"/>
                    <w:rPr>
                      <w:rFonts w:eastAsia="等线"/>
                      <w:szCs w:val="21"/>
                    </w:rPr>
                  </w:pPr>
                  <w:r>
                    <w:rPr>
                      <w:rFonts w:hint="eastAsia" w:eastAsia="等线"/>
                      <w:szCs w:val="21"/>
                    </w:rPr>
                    <w:t>251</w:t>
                  </w:r>
                </w:p>
              </w:tc>
              <w:tc>
                <w:tcPr>
                  <w:tcW w:w="1146" w:type="pct"/>
                  <w:tcBorders>
                    <w:tl2br w:val="nil"/>
                    <w:tr2bl w:val="nil"/>
                  </w:tcBorders>
                  <w:vAlign w:val="center"/>
                </w:tcPr>
                <w:p w14:paraId="520ACB26">
                  <w:pPr>
                    <w:adjustRightInd w:val="0"/>
                    <w:snapToGrid w:val="0"/>
                    <w:jc w:val="center"/>
                    <w:rPr>
                      <w:rFonts w:eastAsia="等线"/>
                      <w:szCs w:val="21"/>
                    </w:rPr>
                  </w:pPr>
                  <w:r>
                    <w:rPr>
                      <w:rFonts w:hint="eastAsia" w:eastAsia="等线"/>
                      <w:szCs w:val="21"/>
                    </w:rPr>
                    <w:t>0</w:t>
                  </w:r>
                </w:p>
              </w:tc>
            </w:tr>
            <w:tr w14:paraId="520ACB2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B28">
                  <w:pPr>
                    <w:adjustRightInd w:val="0"/>
                    <w:snapToGrid w:val="0"/>
                    <w:jc w:val="center"/>
                  </w:pPr>
                </w:p>
              </w:tc>
              <w:tc>
                <w:tcPr>
                  <w:tcW w:w="958" w:type="pct"/>
                  <w:tcBorders>
                    <w:tl2br w:val="nil"/>
                    <w:tr2bl w:val="nil"/>
                  </w:tcBorders>
                  <w:vAlign w:val="center"/>
                </w:tcPr>
                <w:p w14:paraId="520ACB29">
                  <w:pPr>
                    <w:adjustRightInd w:val="0"/>
                    <w:snapToGrid w:val="0"/>
                    <w:jc w:val="center"/>
                    <w:rPr>
                      <w:szCs w:val="22"/>
                      <w:highlight w:val="yellow"/>
                    </w:rPr>
                  </w:pPr>
                  <w:r>
                    <w:rPr>
                      <w:szCs w:val="21"/>
                    </w:rPr>
                    <w:t>101厂房</w:t>
                  </w:r>
                </w:p>
              </w:tc>
              <w:tc>
                <w:tcPr>
                  <w:tcW w:w="1046" w:type="pct"/>
                  <w:tcBorders>
                    <w:tl2br w:val="nil"/>
                    <w:tr2bl w:val="nil"/>
                  </w:tcBorders>
                  <w:vAlign w:val="center"/>
                </w:tcPr>
                <w:p w14:paraId="520ACB2A">
                  <w:pPr>
                    <w:adjustRightInd w:val="0"/>
                    <w:snapToGrid w:val="0"/>
                    <w:jc w:val="center"/>
                    <w:rPr>
                      <w:rFonts w:eastAsia="等线"/>
                      <w:szCs w:val="21"/>
                    </w:rPr>
                  </w:pPr>
                  <w:r>
                    <w:rPr>
                      <w:rFonts w:hint="eastAsia" w:eastAsia="等线"/>
                      <w:szCs w:val="21"/>
                    </w:rPr>
                    <w:t>33.2</w:t>
                  </w:r>
                </w:p>
              </w:tc>
              <w:tc>
                <w:tcPr>
                  <w:tcW w:w="1045" w:type="pct"/>
                  <w:tcBorders>
                    <w:tl2br w:val="nil"/>
                    <w:tr2bl w:val="nil"/>
                  </w:tcBorders>
                  <w:vAlign w:val="center"/>
                </w:tcPr>
                <w:p w14:paraId="520ACB2B">
                  <w:pPr>
                    <w:adjustRightInd w:val="0"/>
                    <w:snapToGrid w:val="0"/>
                    <w:jc w:val="center"/>
                    <w:rPr>
                      <w:rFonts w:eastAsia="等线"/>
                      <w:szCs w:val="21"/>
                    </w:rPr>
                  </w:pPr>
                  <w:r>
                    <w:rPr>
                      <w:rFonts w:hint="eastAsia" w:eastAsia="等线"/>
                      <w:szCs w:val="21"/>
                    </w:rPr>
                    <w:t>333</w:t>
                  </w:r>
                </w:p>
              </w:tc>
              <w:tc>
                <w:tcPr>
                  <w:tcW w:w="1146" w:type="pct"/>
                  <w:tcBorders>
                    <w:tl2br w:val="nil"/>
                    <w:tr2bl w:val="nil"/>
                  </w:tcBorders>
                  <w:vAlign w:val="center"/>
                </w:tcPr>
                <w:p w14:paraId="520ACB2C">
                  <w:pPr>
                    <w:adjustRightInd w:val="0"/>
                    <w:snapToGrid w:val="0"/>
                    <w:jc w:val="center"/>
                    <w:rPr>
                      <w:rFonts w:eastAsia="等线"/>
                      <w:szCs w:val="21"/>
                    </w:rPr>
                  </w:pPr>
                  <w:r>
                    <w:rPr>
                      <w:rFonts w:hint="eastAsia" w:eastAsia="等线"/>
                      <w:szCs w:val="21"/>
                    </w:rPr>
                    <w:t>0</w:t>
                  </w:r>
                </w:p>
              </w:tc>
            </w:tr>
            <w:tr w14:paraId="520ACB3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B2E">
                  <w:pPr>
                    <w:adjustRightInd w:val="0"/>
                    <w:snapToGrid w:val="0"/>
                    <w:jc w:val="center"/>
                  </w:pPr>
                </w:p>
              </w:tc>
              <w:tc>
                <w:tcPr>
                  <w:tcW w:w="958" w:type="pct"/>
                  <w:tcBorders>
                    <w:tl2br w:val="nil"/>
                    <w:tr2bl w:val="nil"/>
                  </w:tcBorders>
                  <w:vAlign w:val="center"/>
                </w:tcPr>
                <w:p w14:paraId="520ACB2F">
                  <w:pPr>
                    <w:adjustRightInd w:val="0"/>
                    <w:snapToGrid w:val="0"/>
                    <w:jc w:val="center"/>
                    <w:rPr>
                      <w:szCs w:val="22"/>
                      <w:highlight w:val="yellow"/>
                    </w:rPr>
                  </w:pPr>
                  <w:r>
                    <w:rPr>
                      <w:rFonts w:hint="eastAsia"/>
                      <w:szCs w:val="21"/>
                    </w:rPr>
                    <w:t>105</w:t>
                  </w:r>
                  <w:r>
                    <w:rPr>
                      <w:szCs w:val="21"/>
                    </w:rPr>
                    <w:t>厂房</w:t>
                  </w:r>
                </w:p>
              </w:tc>
              <w:tc>
                <w:tcPr>
                  <w:tcW w:w="1046" w:type="pct"/>
                  <w:tcBorders>
                    <w:tl2br w:val="nil"/>
                    <w:tr2bl w:val="nil"/>
                  </w:tcBorders>
                  <w:vAlign w:val="center"/>
                </w:tcPr>
                <w:p w14:paraId="520ACB30">
                  <w:pPr>
                    <w:adjustRightInd w:val="0"/>
                    <w:snapToGrid w:val="0"/>
                    <w:jc w:val="center"/>
                    <w:rPr>
                      <w:rFonts w:eastAsia="等线"/>
                      <w:szCs w:val="21"/>
                    </w:rPr>
                  </w:pPr>
                  <w:r>
                    <w:rPr>
                      <w:rFonts w:hint="eastAsia" w:eastAsia="等线"/>
                      <w:szCs w:val="21"/>
                    </w:rPr>
                    <w:t>40</w:t>
                  </w:r>
                </w:p>
              </w:tc>
              <w:tc>
                <w:tcPr>
                  <w:tcW w:w="1045" w:type="pct"/>
                  <w:tcBorders>
                    <w:tl2br w:val="nil"/>
                    <w:tr2bl w:val="nil"/>
                  </w:tcBorders>
                  <w:vAlign w:val="center"/>
                </w:tcPr>
                <w:p w14:paraId="520ACB31">
                  <w:pPr>
                    <w:adjustRightInd w:val="0"/>
                    <w:snapToGrid w:val="0"/>
                    <w:jc w:val="center"/>
                    <w:rPr>
                      <w:rFonts w:eastAsia="等线"/>
                      <w:szCs w:val="21"/>
                    </w:rPr>
                  </w:pPr>
                  <w:r>
                    <w:rPr>
                      <w:rFonts w:hint="eastAsia" w:eastAsia="等线"/>
                      <w:szCs w:val="21"/>
                    </w:rPr>
                    <w:t>121</w:t>
                  </w:r>
                </w:p>
              </w:tc>
              <w:tc>
                <w:tcPr>
                  <w:tcW w:w="1146" w:type="pct"/>
                  <w:tcBorders>
                    <w:tl2br w:val="nil"/>
                    <w:tr2bl w:val="nil"/>
                  </w:tcBorders>
                  <w:vAlign w:val="center"/>
                </w:tcPr>
                <w:p w14:paraId="520ACB32">
                  <w:pPr>
                    <w:adjustRightInd w:val="0"/>
                    <w:snapToGrid w:val="0"/>
                    <w:jc w:val="center"/>
                    <w:rPr>
                      <w:rFonts w:eastAsia="等线"/>
                      <w:szCs w:val="21"/>
                    </w:rPr>
                  </w:pPr>
                  <w:r>
                    <w:rPr>
                      <w:rFonts w:hint="eastAsia" w:eastAsia="等线"/>
                      <w:szCs w:val="21"/>
                    </w:rPr>
                    <w:t>0</w:t>
                  </w:r>
                </w:p>
              </w:tc>
            </w:tr>
            <w:tr w14:paraId="520ACB3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vMerge w:val="continue"/>
                  <w:tcBorders>
                    <w:tl2br w:val="nil"/>
                    <w:tr2bl w:val="nil"/>
                  </w:tcBorders>
                  <w:vAlign w:val="center"/>
                </w:tcPr>
                <w:p w14:paraId="520ACB34">
                  <w:pPr>
                    <w:adjustRightInd w:val="0"/>
                    <w:snapToGrid w:val="0"/>
                    <w:jc w:val="center"/>
                    <w:rPr>
                      <w:bCs/>
                      <w:szCs w:val="21"/>
                    </w:rPr>
                  </w:pPr>
                </w:p>
              </w:tc>
              <w:tc>
                <w:tcPr>
                  <w:tcW w:w="958" w:type="pct"/>
                  <w:tcBorders>
                    <w:tl2br w:val="nil"/>
                    <w:tr2bl w:val="nil"/>
                  </w:tcBorders>
                  <w:vAlign w:val="center"/>
                </w:tcPr>
                <w:p w14:paraId="520ACB35">
                  <w:pPr>
                    <w:adjustRightInd w:val="0"/>
                    <w:snapToGrid w:val="0"/>
                    <w:jc w:val="center"/>
                    <w:rPr>
                      <w:bCs/>
                      <w:szCs w:val="21"/>
                      <w:highlight w:val="yellow"/>
                    </w:rPr>
                  </w:pPr>
                  <w:r>
                    <w:rPr>
                      <w:szCs w:val="21"/>
                    </w:rPr>
                    <w:t>1206厂房</w:t>
                  </w:r>
                </w:p>
              </w:tc>
              <w:tc>
                <w:tcPr>
                  <w:tcW w:w="1046" w:type="pct"/>
                  <w:tcBorders>
                    <w:tl2br w:val="nil"/>
                    <w:tr2bl w:val="nil"/>
                  </w:tcBorders>
                  <w:vAlign w:val="center"/>
                </w:tcPr>
                <w:p w14:paraId="520ACB36">
                  <w:pPr>
                    <w:adjustRightInd w:val="0"/>
                    <w:snapToGrid w:val="0"/>
                    <w:jc w:val="center"/>
                    <w:rPr>
                      <w:szCs w:val="21"/>
                    </w:rPr>
                  </w:pPr>
                  <w:r>
                    <w:rPr>
                      <w:rFonts w:hint="eastAsia"/>
                      <w:szCs w:val="21"/>
                    </w:rPr>
                    <w:t>31.4</w:t>
                  </w:r>
                </w:p>
              </w:tc>
              <w:tc>
                <w:tcPr>
                  <w:tcW w:w="1045" w:type="pct"/>
                  <w:tcBorders>
                    <w:tl2br w:val="nil"/>
                    <w:tr2bl w:val="nil"/>
                  </w:tcBorders>
                  <w:vAlign w:val="center"/>
                </w:tcPr>
                <w:p w14:paraId="520ACB37">
                  <w:pPr>
                    <w:adjustRightInd w:val="0"/>
                    <w:snapToGrid w:val="0"/>
                    <w:jc w:val="center"/>
                    <w:rPr>
                      <w:szCs w:val="21"/>
                    </w:rPr>
                  </w:pPr>
                  <w:r>
                    <w:rPr>
                      <w:rFonts w:hint="eastAsia"/>
                      <w:szCs w:val="21"/>
                    </w:rPr>
                    <w:t>210</w:t>
                  </w:r>
                </w:p>
              </w:tc>
              <w:tc>
                <w:tcPr>
                  <w:tcW w:w="1146" w:type="pct"/>
                  <w:tcBorders>
                    <w:tl2br w:val="nil"/>
                    <w:tr2bl w:val="nil"/>
                  </w:tcBorders>
                  <w:vAlign w:val="center"/>
                </w:tcPr>
                <w:p w14:paraId="520ACB38">
                  <w:pPr>
                    <w:adjustRightInd w:val="0"/>
                    <w:snapToGrid w:val="0"/>
                    <w:jc w:val="center"/>
                    <w:rPr>
                      <w:szCs w:val="21"/>
                    </w:rPr>
                  </w:pPr>
                  <w:r>
                    <w:rPr>
                      <w:rFonts w:hint="eastAsia"/>
                      <w:szCs w:val="21"/>
                    </w:rPr>
                    <w:t>0</w:t>
                  </w:r>
                </w:p>
              </w:tc>
            </w:tr>
            <w:tr w14:paraId="520ACB3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00" w:type="pct"/>
                  <w:gridSpan w:val="5"/>
                  <w:tcBorders>
                    <w:tl2br w:val="nil"/>
                    <w:tr2bl w:val="nil"/>
                  </w:tcBorders>
                  <w:vAlign w:val="center"/>
                </w:tcPr>
                <w:p w14:paraId="520ACB3A">
                  <w:pPr>
                    <w:adjustRightInd w:val="0"/>
                    <w:snapToGrid w:val="0"/>
                    <w:jc w:val="center"/>
                    <w:rPr>
                      <w:b/>
                      <w:bCs/>
                      <w:szCs w:val="21"/>
                    </w:rPr>
                  </w:pPr>
                  <w:r>
                    <w:rPr>
                      <w:rFonts w:hint="eastAsia"/>
                      <w:b/>
                      <w:bCs/>
                      <w:szCs w:val="21"/>
                    </w:rPr>
                    <w:t>解放路厂区</w:t>
                  </w:r>
                </w:p>
              </w:tc>
            </w:tr>
            <w:tr w14:paraId="520ACB4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tcBorders>
                    <w:tl2br w:val="nil"/>
                    <w:tr2bl w:val="nil"/>
                  </w:tcBorders>
                  <w:vAlign w:val="center"/>
                </w:tcPr>
                <w:p w14:paraId="520ACB3C">
                  <w:pPr>
                    <w:adjustRightInd w:val="0"/>
                    <w:snapToGrid w:val="0"/>
                    <w:jc w:val="center"/>
                    <w:rPr>
                      <w:bCs/>
                      <w:szCs w:val="21"/>
                    </w:rPr>
                  </w:pPr>
                  <w:r>
                    <w:rPr>
                      <w:rFonts w:hint="eastAsia"/>
                      <w:bCs/>
                      <w:szCs w:val="21"/>
                    </w:rPr>
                    <w:t>东</w:t>
                  </w:r>
                </w:p>
              </w:tc>
              <w:tc>
                <w:tcPr>
                  <w:tcW w:w="958" w:type="pct"/>
                  <w:vMerge w:val="restart"/>
                  <w:tcBorders>
                    <w:tl2br w:val="nil"/>
                    <w:tr2bl w:val="nil"/>
                  </w:tcBorders>
                  <w:vAlign w:val="center"/>
                </w:tcPr>
                <w:p w14:paraId="520ACB3D">
                  <w:pPr>
                    <w:adjustRightInd w:val="0"/>
                    <w:snapToGrid w:val="0"/>
                    <w:jc w:val="center"/>
                    <w:rPr>
                      <w:szCs w:val="21"/>
                    </w:rPr>
                  </w:pPr>
                  <w:r>
                    <w:rPr>
                      <w:rFonts w:hint="eastAsia"/>
                      <w:szCs w:val="21"/>
                    </w:rPr>
                    <w:t>2207</w:t>
                  </w:r>
                  <w:r>
                    <w:rPr>
                      <w:szCs w:val="21"/>
                    </w:rPr>
                    <w:t>厂房</w:t>
                  </w:r>
                </w:p>
              </w:tc>
              <w:tc>
                <w:tcPr>
                  <w:tcW w:w="1046" w:type="pct"/>
                  <w:tcBorders>
                    <w:tl2br w:val="nil"/>
                    <w:tr2bl w:val="nil"/>
                  </w:tcBorders>
                  <w:vAlign w:val="center"/>
                </w:tcPr>
                <w:p w14:paraId="520ACB3E">
                  <w:pPr>
                    <w:adjustRightInd w:val="0"/>
                    <w:snapToGrid w:val="0"/>
                    <w:jc w:val="center"/>
                    <w:rPr>
                      <w:szCs w:val="21"/>
                    </w:rPr>
                  </w:pPr>
                  <w:r>
                    <w:rPr>
                      <w:rFonts w:hint="eastAsia"/>
                    </w:rPr>
                    <w:t>41</w:t>
                  </w:r>
                </w:p>
              </w:tc>
              <w:tc>
                <w:tcPr>
                  <w:tcW w:w="1045" w:type="pct"/>
                  <w:tcBorders>
                    <w:tl2br w:val="nil"/>
                    <w:tr2bl w:val="nil"/>
                  </w:tcBorders>
                  <w:vAlign w:val="center"/>
                </w:tcPr>
                <w:p w14:paraId="520ACB3F">
                  <w:pPr>
                    <w:adjustRightInd w:val="0"/>
                    <w:snapToGrid w:val="0"/>
                    <w:jc w:val="center"/>
                    <w:rPr>
                      <w:szCs w:val="21"/>
                    </w:rPr>
                  </w:pPr>
                  <w:r>
                    <w:rPr>
                      <w:rFonts w:hint="eastAsia"/>
                      <w:szCs w:val="21"/>
                    </w:rPr>
                    <w:t>158</w:t>
                  </w:r>
                </w:p>
              </w:tc>
              <w:tc>
                <w:tcPr>
                  <w:tcW w:w="1146" w:type="pct"/>
                  <w:tcBorders>
                    <w:tl2br w:val="nil"/>
                    <w:tr2bl w:val="nil"/>
                  </w:tcBorders>
                  <w:vAlign w:val="center"/>
                </w:tcPr>
                <w:p w14:paraId="520ACB40">
                  <w:pPr>
                    <w:adjustRightInd w:val="0"/>
                    <w:snapToGrid w:val="0"/>
                    <w:jc w:val="center"/>
                    <w:rPr>
                      <w:szCs w:val="21"/>
                    </w:rPr>
                  </w:pPr>
                  <w:r>
                    <w:rPr>
                      <w:rFonts w:hint="eastAsia"/>
                      <w:szCs w:val="21"/>
                    </w:rPr>
                    <w:t>0</w:t>
                  </w:r>
                </w:p>
              </w:tc>
            </w:tr>
            <w:tr w14:paraId="520ACB4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tcBorders>
                    <w:tl2br w:val="nil"/>
                    <w:tr2bl w:val="nil"/>
                  </w:tcBorders>
                  <w:vAlign w:val="center"/>
                </w:tcPr>
                <w:p w14:paraId="520ACB42">
                  <w:pPr>
                    <w:adjustRightInd w:val="0"/>
                    <w:snapToGrid w:val="0"/>
                    <w:jc w:val="center"/>
                    <w:rPr>
                      <w:bCs/>
                      <w:szCs w:val="21"/>
                    </w:rPr>
                  </w:pPr>
                  <w:r>
                    <w:rPr>
                      <w:rFonts w:hint="eastAsia"/>
                      <w:bCs/>
                      <w:szCs w:val="21"/>
                    </w:rPr>
                    <w:t>西</w:t>
                  </w:r>
                </w:p>
              </w:tc>
              <w:tc>
                <w:tcPr>
                  <w:tcW w:w="958" w:type="pct"/>
                  <w:vMerge w:val="continue"/>
                  <w:tcBorders>
                    <w:tl2br w:val="nil"/>
                    <w:tr2bl w:val="nil"/>
                  </w:tcBorders>
                  <w:vAlign w:val="center"/>
                </w:tcPr>
                <w:p w14:paraId="520ACB43">
                  <w:pPr>
                    <w:adjustRightInd w:val="0"/>
                    <w:snapToGrid w:val="0"/>
                    <w:jc w:val="center"/>
                    <w:rPr>
                      <w:szCs w:val="21"/>
                    </w:rPr>
                  </w:pPr>
                </w:p>
              </w:tc>
              <w:tc>
                <w:tcPr>
                  <w:tcW w:w="1046" w:type="pct"/>
                  <w:tcBorders>
                    <w:tl2br w:val="nil"/>
                    <w:tr2bl w:val="nil"/>
                  </w:tcBorders>
                  <w:vAlign w:val="center"/>
                </w:tcPr>
                <w:p w14:paraId="520ACB44">
                  <w:pPr>
                    <w:adjustRightInd w:val="0"/>
                    <w:snapToGrid w:val="0"/>
                    <w:jc w:val="center"/>
                    <w:rPr>
                      <w:szCs w:val="21"/>
                    </w:rPr>
                  </w:pPr>
                  <w:r>
                    <w:rPr>
                      <w:rFonts w:hint="eastAsia"/>
                    </w:rPr>
                    <w:t>35</w:t>
                  </w:r>
                </w:p>
              </w:tc>
              <w:tc>
                <w:tcPr>
                  <w:tcW w:w="1045" w:type="pct"/>
                  <w:tcBorders>
                    <w:tl2br w:val="nil"/>
                    <w:tr2bl w:val="nil"/>
                  </w:tcBorders>
                  <w:vAlign w:val="center"/>
                </w:tcPr>
                <w:p w14:paraId="520ACB45">
                  <w:pPr>
                    <w:adjustRightInd w:val="0"/>
                    <w:snapToGrid w:val="0"/>
                    <w:jc w:val="center"/>
                    <w:rPr>
                      <w:szCs w:val="21"/>
                    </w:rPr>
                  </w:pPr>
                  <w:r>
                    <w:rPr>
                      <w:rFonts w:hint="eastAsia"/>
                      <w:szCs w:val="21"/>
                    </w:rPr>
                    <w:t>19</w:t>
                  </w:r>
                </w:p>
              </w:tc>
              <w:tc>
                <w:tcPr>
                  <w:tcW w:w="1146" w:type="pct"/>
                  <w:tcBorders>
                    <w:tl2br w:val="nil"/>
                    <w:tr2bl w:val="nil"/>
                  </w:tcBorders>
                  <w:vAlign w:val="center"/>
                </w:tcPr>
                <w:p w14:paraId="520ACB46">
                  <w:pPr>
                    <w:adjustRightInd w:val="0"/>
                    <w:snapToGrid w:val="0"/>
                    <w:jc w:val="center"/>
                    <w:rPr>
                      <w:szCs w:val="21"/>
                    </w:rPr>
                  </w:pPr>
                  <w:r>
                    <w:rPr>
                      <w:rFonts w:hint="eastAsia"/>
                      <w:szCs w:val="21"/>
                    </w:rPr>
                    <w:t>9.4</w:t>
                  </w:r>
                </w:p>
              </w:tc>
            </w:tr>
            <w:tr w14:paraId="520ACB4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tcBorders>
                    <w:tl2br w:val="nil"/>
                    <w:tr2bl w:val="nil"/>
                  </w:tcBorders>
                  <w:vAlign w:val="center"/>
                </w:tcPr>
                <w:p w14:paraId="520ACB48">
                  <w:pPr>
                    <w:adjustRightInd w:val="0"/>
                    <w:snapToGrid w:val="0"/>
                    <w:jc w:val="center"/>
                    <w:rPr>
                      <w:bCs/>
                      <w:szCs w:val="21"/>
                    </w:rPr>
                  </w:pPr>
                  <w:r>
                    <w:rPr>
                      <w:rFonts w:hint="eastAsia"/>
                      <w:bCs/>
                      <w:szCs w:val="21"/>
                    </w:rPr>
                    <w:t>南</w:t>
                  </w:r>
                </w:p>
              </w:tc>
              <w:tc>
                <w:tcPr>
                  <w:tcW w:w="958" w:type="pct"/>
                  <w:vMerge w:val="continue"/>
                  <w:tcBorders>
                    <w:tl2br w:val="nil"/>
                    <w:tr2bl w:val="nil"/>
                  </w:tcBorders>
                  <w:vAlign w:val="center"/>
                </w:tcPr>
                <w:p w14:paraId="520ACB49">
                  <w:pPr>
                    <w:adjustRightInd w:val="0"/>
                    <w:snapToGrid w:val="0"/>
                    <w:jc w:val="center"/>
                    <w:rPr>
                      <w:szCs w:val="21"/>
                    </w:rPr>
                  </w:pPr>
                </w:p>
              </w:tc>
              <w:tc>
                <w:tcPr>
                  <w:tcW w:w="1046" w:type="pct"/>
                  <w:tcBorders>
                    <w:tl2br w:val="nil"/>
                    <w:tr2bl w:val="nil"/>
                  </w:tcBorders>
                  <w:vAlign w:val="center"/>
                </w:tcPr>
                <w:p w14:paraId="520ACB4A">
                  <w:pPr>
                    <w:adjustRightInd w:val="0"/>
                    <w:snapToGrid w:val="0"/>
                    <w:jc w:val="center"/>
                    <w:rPr>
                      <w:szCs w:val="21"/>
                    </w:rPr>
                  </w:pPr>
                  <w:r>
                    <w:rPr>
                      <w:rFonts w:hint="eastAsia"/>
                    </w:rPr>
                    <w:t>27</w:t>
                  </w:r>
                </w:p>
              </w:tc>
              <w:tc>
                <w:tcPr>
                  <w:tcW w:w="1045" w:type="pct"/>
                  <w:tcBorders>
                    <w:tl2br w:val="nil"/>
                    <w:tr2bl w:val="nil"/>
                  </w:tcBorders>
                  <w:vAlign w:val="center"/>
                </w:tcPr>
                <w:p w14:paraId="520ACB4B">
                  <w:pPr>
                    <w:adjustRightInd w:val="0"/>
                    <w:snapToGrid w:val="0"/>
                    <w:jc w:val="center"/>
                    <w:rPr>
                      <w:szCs w:val="21"/>
                    </w:rPr>
                  </w:pPr>
                  <w:r>
                    <w:rPr>
                      <w:rFonts w:hint="eastAsia"/>
                      <w:szCs w:val="21"/>
                    </w:rPr>
                    <w:t>27</w:t>
                  </w:r>
                </w:p>
              </w:tc>
              <w:tc>
                <w:tcPr>
                  <w:tcW w:w="1146" w:type="pct"/>
                  <w:tcBorders>
                    <w:tl2br w:val="nil"/>
                    <w:tr2bl w:val="nil"/>
                  </w:tcBorders>
                  <w:vAlign w:val="center"/>
                </w:tcPr>
                <w:p w14:paraId="520ACB4C">
                  <w:pPr>
                    <w:adjustRightInd w:val="0"/>
                    <w:snapToGrid w:val="0"/>
                    <w:jc w:val="center"/>
                    <w:rPr>
                      <w:szCs w:val="21"/>
                    </w:rPr>
                  </w:pPr>
                  <w:r>
                    <w:rPr>
                      <w:rFonts w:hint="eastAsia"/>
                      <w:szCs w:val="21"/>
                    </w:rPr>
                    <w:t>0</w:t>
                  </w:r>
                </w:p>
              </w:tc>
            </w:tr>
            <w:tr w14:paraId="520ACB5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05" w:type="pct"/>
                  <w:tcBorders>
                    <w:tl2br w:val="nil"/>
                    <w:tr2bl w:val="nil"/>
                  </w:tcBorders>
                  <w:vAlign w:val="center"/>
                </w:tcPr>
                <w:p w14:paraId="520ACB4E">
                  <w:pPr>
                    <w:adjustRightInd w:val="0"/>
                    <w:snapToGrid w:val="0"/>
                    <w:jc w:val="center"/>
                    <w:rPr>
                      <w:bCs/>
                      <w:szCs w:val="21"/>
                    </w:rPr>
                  </w:pPr>
                  <w:r>
                    <w:rPr>
                      <w:rFonts w:hint="eastAsia"/>
                      <w:bCs/>
                      <w:szCs w:val="21"/>
                    </w:rPr>
                    <w:t>北</w:t>
                  </w:r>
                </w:p>
              </w:tc>
              <w:tc>
                <w:tcPr>
                  <w:tcW w:w="958" w:type="pct"/>
                  <w:vMerge w:val="continue"/>
                  <w:tcBorders>
                    <w:tl2br w:val="nil"/>
                    <w:tr2bl w:val="nil"/>
                  </w:tcBorders>
                  <w:vAlign w:val="center"/>
                </w:tcPr>
                <w:p w14:paraId="520ACB4F">
                  <w:pPr>
                    <w:adjustRightInd w:val="0"/>
                    <w:snapToGrid w:val="0"/>
                    <w:jc w:val="center"/>
                    <w:rPr>
                      <w:szCs w:val="21"/>
                    </w:rPr>
                  </w:pPr>
                </w:p>
              </w:tc>
              <w:tc>
                <w:tcPr>
                  <w:tcW w:w="1046" w:type="pct"/>
                  <w:tcBorders>
                    <w:tl2br w:val="nil"/>
                    <w:tr2bl w:val="nil"/>
                  </w:tcBorders>
                  <w:vAlign w:val="center"/>
                </w:tcPr>
                <w:p w14:paraId="520ACB50">
                  <w:pPr>
                    <w:adjustRightInd w:val="0"/>
                    <w:snapToGrid w:val="0"/>
                    <w:jc w:val="center"/>
                    <w:rPr>
                      <w:szCs w:val="21"/>
                    </w:rPr>
                  </w:pPr>
                  <w:r>
                    <w:rPr>
                      <w:rFonts w:hint="eastAsia"/>
                    </w:rPr>
                    <w:t>29.4</w:t>
                  </w:r>
                </w:p>
              </w:tc>
              <w:tc>
                <w:tcPr>
                  <w:tcW w:w="1045" w:type="pct"/>
                  <w:tcBorders>
                    <w:tl2br w:val="nil"/>
                    <w:tr2bl w:val="nil"/>
                  </w:tcBorders>
                  <w:vAlign w:val="center"/>
                </w:tcPr>
                <w:p w14:paraId="520ACB51">
                  <w:pPr>
                    <w:adjustRightInd w:val="0"/>
                    <w:snapToGrid w:val="0"/>
                    <w:jc w:val="center"/>
                    <w:rPr>
                      <w:szCs w:val="21"/>
                    </w:rPr>
                  </w:pPr>
                  <w:r>
                    <w:rPr>
                      <w:rFonts w:hint="eastAsia"/>
                      <w:szCs w:val="21"/>
                    </w:rPr>
                    <w:t>164</w:t>
                  </w:r>
                </w:p>
              </w:tc>
              <w:tc>
                <w:tcPr>
                  <w:tcW w:w="1146" w:type="pct"/>
                  <w:tcBorders>
                    <w:tl2br w:val="nil"/>
                    <w:tr2bl w:val="nil"/>
                  </w:tcBorders>
                  <w:vAlign w:val="center"/>
                </w:tcPr>
                <w:p w14:paraId="520ACB52">
                  <w:pPr>
                    <w:adjustRightInd w:val="0"/>
                    <w:snapToGrid w:val="0"/>
                    <w:jc w:val="center"/>
                    <w:rPr>
                      <w:szCs w:val="21"/>
                    </w:rPr>
                  </w:pPr>
                  <w:r>
                    <w:rPr>
                      <w:rFonts w:hint="eastAsia"/>
                      <w:szCs w:val="21"/>
                    </w:rPr>
                    <w:t>0</w:t>
                  </w:r>
                </w:p>
              </w:tc>
            </w:tr>
          </w:tbl>
          <w:p w14:paraId="520ACB54">
            <w:pPr>
              <w:tabs>
                <w:tab w:val="left" w:pos="8370"/>
                <w:tab w:val="left" w:pos="8600"/>
              </w:tabs>
              <w:spacing w:line="460" w:lineRule="exact"/>
              <w:ind w:firstLine="480" w:firstLineChars="200"/>
              <w:rPr>
                <w:rFonts w:eastAsia="黑体"/>
                <w:sz w:val="24"/>
              </w:rPr>
            </w:pPr>
            <w:r>
              <w:rPr>
                <w:rFonts w:eastAsia="黑体"/>
                <w:sz w:val="24"/>
              </w:rPr>
              <w:t>表</w:t>
            </w:r>
            <w:r>
              <w:rPr>
                <w:rFonts w:hint="eastAsia" w:eastAsia="黑体"/>
                <w:sz w:val="24"/>
              </w:rPr>
              <w:t>73</w:t>
            </w:r>
            <w:r>
              <w:rPr>
                <w:rFonts w:eastAsia="黑体"/>
                <w:sz w:val="24"/>
              </w:rPr>
              <w:t xml:space="preserve">      </w:t>
            </w:r>
            <w:r>
              <w:rPr>
                <w:rFonts w:hint="eastAsia" w:eastAsia="黑体"/>
                <w:sz w:val="24"/>
              </w:rPr>
              <w:t xml:space="preserve">     </w:t>
            </w:r>
            <w:r>
              <w:rPr>
                <w:rFonts w:eastAsia="黑体"/>
                <w:sz w:val="24"/>
              </w:rPr>
              <w:t>噪声源</w:t>
            </w:r>
            <w:r>
              <w:rPr>
                <w:rFonts w:hint="eastAsia" w:eastAsia="黑体"/>
                <w:sz w:val="24"/>
              </w:rPr>
              <w:t>对敏感点</w:t>
            </w:r>
            <w:r>
              <w:rPr>
                <w:rFonts w:eastAsia="黑体"/>
                <w:sz w:val="24"/>
              </w:rPr>
              <w:t>的</w:t>
            </w:r>
            <w:r>
              <w:rPr>
                <w:rFonts w:hint="eastAsia" w:eastAsia="黑体"/>
                <w:sz w:val="24"/>
              </w:rPr>
              <w:t>贡献值结果</w:t>
            </w:r>
            <w:r>
              <w:rPr>
                <w:rFonts w:eastAsia="黑体"/>
                <w:sz w:val="24"/>
              </w:rPr>
              <w:t>表</w:t>
            </w:r>
            <w:r>
              <w:rPr>
                <w:rFonts w:hint="eastAsia" w:eastAsia="黑体"/>
                <w:sz w:val="24"/>
              </w:rPr>
              <w:t xml:space="preserve">        单位：dB(A)</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170"/>
              <w:gridCol w:w="1560"/>
              <w:gridCol w:w="1985"/>
              <w:gridCol w:w="1983"/>
              <w:gridCol w:w="1437"/>
            </w:tblGrid>
            <w:tr w14:paraId="520ACB5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tcBorders>
                    <w:tl2br w:val="nil"/>
                    <w:tr2bl w:val="nil"/>
                  </w:tcBorders>
                  <w:vAlign w:val="center"/>
                </w:tcPr>
                <w:p w14:paraId="520ACB55">
                  <w:pPr>
                    <w:adjustRightInd w:val="0"/>
                    <w:snapToGrid w:val="0"/>
                    <w:jc w:val="center"/>
                    <w:rPr>
                      <w:b/>
                    </w:rPr>
                  </w:pPr>
                  <w:r>
                    <w:rPr>
                      <w:rFonts w:hint="eastAsia"/>
                      <w:b/>
                    </w:rPr>
                    <w:t>厂界</w:t>
                  </w:r>
                </w:p>
              </w:tc>
              <w:tc>
                <w:tcPr>
                  <w:tcW w:w="959" w:type="pct"/>
                  <w:tcBorders>
                    <w:tl2br w:val="nil"/>
                    <w:tr2bl w:val="nil"/>
                  </w:tcBorders>
                  <w:vAlign w:val="center"/>
                </w:tcPr>
                <w:p w14:paraId="520ACB56">
                  <w:pPr>
                    <w:adjustRightInd w:val="0"/>
                    <w:snapToGrid w:val="0"/>
                    <w:jc w:val="center"/>
                    <w:rPr>
                      <w:b/>
                    </w:rPr>
                  </w:pPr>
                  <w:r>
                    <w:rPr>
                      <w:rFonts w:hint="eastAsia"/>
                      <w:b/>
                    </w:rPr>
                    <w:t>厂界叠加贡献值</w:t>
                  </w:r>
                </w:p>
              </w:tc>
              <w:tc>
                <w:tcPr>
                  <w:tcW w:w="1220" w:type="pct"/>
                  <w:tcBorders>
                    <w:tl2br w:val="nil"/>
                    <w:tr2bl w:val="nil"/>
                  </w:tcBorders>
                  <w:vAlign w:val="center"/>
                </w:tcPr>
                <w:p w14:paraId="520ACB57">
                  <w:pPr>
                    <w:adjustRightInd w:val="0"/>
                    <w:snapToGrid w:val="0"/>
                    <w:jc w:val="center"/>
                    <w:rPr>
                      <w:b/>
                    </w:rPr>
                  </w:pPr>
                  <w:r>
                    <w:rPr>
                      <w:rFonts w:hint="eastAsia"/>
                      <w:b/>
                    </w:rPr>
                    <w:t>敏感点</w:t>
                  </w:r>
                </w:p>
              </w:tc>
              <w:tc>
                <w:tcPr>
                  <w:tcW w:w="1219" w:type="pct"/>
                  <w:tcBorders>
                    <w:tl2br w:val="nil"/>
                    <w:tr2bl w:val="nil"/>
                  </w:tcBorders>
                  <w:vAlign w:val="center"/>
                </w:tcPr>
                <w:p w14:paraId="520ACB58">
                  <w:pPr>
                    <w:adjustRightInd w:val="0"/>
                    <w:snapToGrid w:val="0"/>
                    <w:jc w:val="center"/>
                    <w:rPr>
                      <w:b/>
                    </w:rPr>
                  </w:pPr>
                  <w:r>
                    <w:rPr>
                      <w:rFonts w:hint="eastAsia"/>
                      <w:b/>
                    </w:rPr>
                    <w:t>方位及距厂界</w:t>
                  </w:r>
                  <w:r>
                    <w:rPr>
                      <w:b/>
                    </w:rPr>
                    <w:t>距离</w:t>
                  </w:r>
                  <w:r>
                    <w:rPr>
                      <w:rFonts w:hint="eastAsia"/>
                      <w:b/>
                    </w:rPr>
                    <w:t>/</w:t>
                  </w:r>
                  <w:r>
                    <w:rPr>
                      <w:b/>
                    </w:rPr>
                    <w:t>m</w:t>
                  </w:r>
                </w:p>
              </w:tc>
              <w:tc>
                <w:tcPr>
                  <w:tcW w:w="883" w:type="pct"/>
                  <w:tcBorders>
                    <w:tl2br w:val="nil"/>
                    <w:tr2bl w:val="nil"/>
                  </w:tcBorders>
                  <w:vAlign w:val="center"/>
                </w:tcPr>
                <w:p w14:paraId="520ACB59">
                  <w:pPr>
                    <w:adjustRightInd w:val="0"/>
                    <w:snapToGrid w:val="0"/>
                    <w:jc w:val="center"/>
                    <w:rPr>
                      <w:b/>
                    </w:rPr>
                  </w:pPr>
                  <w:r>
                    <w:rPr>
                      <w:b/>
                    </w:rPr>
                    <w:t>贡献值</w:t>
                  </w:r>
                </w:p>
              </w:tc>
            </w:tr>
            <w:tr w14:paraId="520ACB5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00" w:type="pct"/>
                  <w:gridSpan w:val="5"/>
                  <w:tcBorders>
                    <w:tl2br w:val="nil"/>
                    <w:tr2bl w:val="nil"/>
                  </w:tcBorders>
                  <w:vAlign w:val="center"/>
                </w:tcPr>
                <w:p w14:paraId="520ACB5B">
                  <w:pPr>
                    <w:adjustRightInd w:val="0"/>
                    <w:snapToGrid w:val="0"/>
                    <w:jc w:val="center"/>
                    <w:rPr>
                      <w:b/>
                      <w:bCs/>
                    </w:rPr>
                  </w:pPr>
                  <w:r>
                    <w:rPr>
                      <w:rFonts w:hint="eastAsia"/>
                      <w:b/>
                      <w:bCs/>
                    </w:rPr>
                    <w:t>建设路厂区</w:t>
                  </w:r>
                </w:p>
              </w:tc>
            </w:tr>
            <w:tr w14:paraId="520ACB6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vMerge w:val="restart"/>
                  <w:tcBorders>
                    <w:tl2br w:val="nil"/>
                    <w:tr2bl w:val="nil"/>
                  </w:tcBorders>
                  <w:vAlign w:val="center"/>
                </w:tcPr>
                <w:p w14:paraId="520ACB5D">
                  <w:pPr>
                    <w:adjustRightInd w:val="0"/>
                    <w:snapToGrid w:val="0"/>
                    <w:jc w:val="center"/>
                    <w:rPr>
                      <w:bCs/>
                      <w:szCs w:val="21"/>
                    </w:rPr>
                  </w:pPr>
                  <w:r>
                    <w:t>东</w:t>
                  </w:r>
                  <w:r>
                    <w:rPr>
                      <w:rFonts w:hint="eastAsia"/>
                      <w:szCs w:val="22"/>
                    </w:rPr>
                    <w:t>厂界</w:t>
                  </w:r>
                </w:p>
              </w:tc>
              <w:tc>
                <w:tcPr>
                  <w:tcW w:w="959" w:type="pct"/>
                  <w:vMerge w:val="restart"/>
                  <w:tcBorders>
                    <w:tl2br w:val="nil"/>
                    <w:tr2bl w:val="nil"/>
                  </w:tcBorders>
                  <w:vAlign w:val="center"/>
                </w:tcPr>
                <w:p w14:paraId="520ACB5E">
                  <w:pPr>
                    <w:adjustRightInd w:val="0"/>
                    <w:snapToGrid w:val="0"/>
                    <w:jc w:val="center"/>
                  </w:pPr>
                  <w:r>
                    <w:rPr>
                      <w:rFonts w:hint="eastAsia"/>
                    </w:rPr>
                    <w:t>0</w:t>
                  </w:r>
                </w:p>
              </w:tc>
              <w:tc>
                <w:tcPr>
                  <w:tcW w:w="1220" w:type="pct"/>
                  <w:tcBorders>
                    <w:tl2br w:val="nil"/>
                    <w:tr2bl w:val="nil"/>
                  </w:tcBorders>
                  <w:vAlign w:val="center"/>
                </w:tcPr>
                <w:p w14:paraId="520ACB5F">
                  <w:pPr>
                    <w:adjustRightInd w:val="0"/>
                    <w:snapToGrid w:val="0"/>
                    <w:jc w:val="center"/>
                  </w:pPr>
                  <w:r>
                    <w:rPr>
                      <w:szCs w:val="21"/>
                    </w:rPr>
                    <w:t>新乡市第一实验学校</w:t>
                  </w:r>
                </w:p>
              </w:tc>
              <w:tc>
                <w:tcPr>
                  <w:tcW w:w="1219" w:type="pct"/>
                  <w:tcBorders>
                    <w:tl2br w:val="nil"/>
                    <w:tr2bl w:val="nil"/>
                  </w:tcBorders>
                  <w:vAlign w:val="center"/>
                </w:tcPr>
                <w:p w14:paraId="520ACB60">
                  <w:pPr>
                    <w:adjustRightInd w:val="0"/>
                    <w:snapToGrid w:val="0"/>
                    <w:jc w:val="center"/>
                  </w:pPr>
                  <w:r>
                    <w:rPr>
                      <w:rFonts w:hint="eastAsia"/>
                      <w:szCs w:val="21"/>
                    </w:rPr>
                    <w:t>东7</w:t>
                  </w:r>
                </w:p>
              </w:tc>
              <w:tc>
                <w:tcPr>
                  <w:tcW w:w="883" w:type="pct"/>
                  <w:tcBorders>
                    <w:tl2br w:val="nil"/>
                    <w:tr2bl w:val="nil"/>
                  </w:tcBorders>
                  <w:vAlign w:val="center"/>
                </w:tcPr>
                <w:p w14:paraId="520ACB61">
                  <w:pPr>
                    <w:adjustRightInd w:val="0"/>
                    <w:snapToGrid w:val="0"/>
                    <w:jc w:val="center"/>
                  </w:pPr>
                  <w:r>
                    <w:rPr>
                      <w:rFonts w:hint="eastAsia"/>
                    </w:rPr>
                    <w:t>0</w:t>
                  </w:r>
                </w:p>
              </w:tc>
            </w:tr>
            <w:tr w14:paraId="520ACB6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vMerge w:val="continue"/>
                  <w:tcBorders>
                    <w:tl2br w:val="nil"/>
                    <w:tr2bl w:val="nil"/>
                  </w:tcBorders>
                  <w:vAlign w:val="center"/>
                </w:tcPr>
                <w:p w14:paraId="520ACB63">
                  <w:pPr>
                    <w:adjustRightInd w:val="0"/>
                    <w:snapToGrid w:val="0"/>
                    <w:jc w:val="center"/>
                    <w:rPr>
                      <w:bCs/>
                      <w:szCs w:val="21"/>
                    </w:rPr>
                  </w:pPr>
                </w:p>
              </w:tc>
              <w:tc>
                <w:tcPr>
                  <w:tcW w:w="959" w:type="pct"/>
                  <w:vMerge w:val="continue"/>
                  <w:tcBorders>
                    <w:tl2br w:val="nil"/>
                    <w:tr2bl w:val="nil"/>
                  </w:tcBorders>
                  <w:vAlign w:val="center"/>
                </w:tcPr>
                <w:p w14:paraId="520ACB64">
                  <w:pPr>
                    <w:adjustRightInd w:val="0"/>
                    <w:snapToGrid w:val="0"/>
                    <w:jc w:val="center"/>
                  </w:pPr>
                </w:p>
              </w:tc>
              <w:tc>
                <w:tcPr>
                  <w:tcW w:w="1220" w:type="pct"/>
                  <w:tcBorders>
                    <w:tl2br w:val="nil"/>
                    <w:tr2bl w:val="nil"/>
                  </w:tcBorders>
                  <w:vAlign w:val="center"/>
                </w:tcPr>
                <w:p w14:paraId="520ACB65">
                  <w:pPr>
                    <w:adjustRightInd w:val="0"/>
                    <w:snapToGrid w:val="0"/>
                    <w:jc w:val="center"/>
                  </w:pPr>
                  <w:r>
                    <w:rPr>
                      <w:szCs w:val="21"/>
                    </w:rPr>
                    <w:t>静馨嘉园小区</w:t>
                  </w:r>
                </w:p>
              </w:tc>
              <w:tc>
                <w:tcPr>
                  <w:tcW w:w="1219" w:type="pct"/>
                  <w:tcBorders>
                    <w:tl2br w:val="nil"/>
                    <w:tr2bl w:val="nil"/>
                  </w:tcBorders>
                  <w:vAlign w:val="center"/>
                </w:tcPr>
                <w:p w14:paraId="520ACB66">
                  <w:pPr>
                    <w:adjustRightInd w:val="0"/>
                    <w:snapToGrid w:val="0"/>
                    <w:jc w:val="center"/>
                  </w:pPr>
                  <w:r>
                    <w:rPr>
                      <w:rFonts w:hint="eastAsia"/>
                      <w:szCs w:val="21"/>
                    </w:rPr>
                    <w:t>东7</w:t>
                  </w:r>
                </w:p>
              </w:tc>
              <w:tc>
                <w:tcPr>
                  <w:tcW w:w="883" w:type="pct"/>
                  <w:tcBorders>
                    <w:tl2br w:val="nil"/>
                    <w:tr2bl w:val="nil"/>
                  </w:tcBorders>
                  <w:vAlign w:val="center"/>
                </w:tcPr>
                <w:p w14:paraId="520ACB67">
                  <w:pPr>
                    <w:adjustRightInd w:val="0"/>
                    <w:snapToGrid w:val="0"/>
                    <w:jc w:val="center"/>
                  </w:pPr>
                  <w:r>
                    <w:rPr>
                      <w:rFonts w:hint="eastAsia"/>
                    </w:rPr>
                    <w:t>0</w:t>
                  </w:r>
                </w:p>
              </w:tc>
            </w:tr>
            <w:tr w14:paraId="520ACB6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vMerge w:val="continue"/>
                  <w:tcBorders>
                    <w:tl2br w:val="nil"/>
                    <w:tr2bl w:val="nil"/>
                  </w:tcBorders>
                  <w:vAlign w:val="center"/>
                </w:tcPr>
                <w:p w14:paraId="520ACB69">
                  <w:pPr>
                    <w:adjustRightInd w:val="0"/>
                    <w:snapToGrid w:val="0"/>
                    <w:jc w:val="center"/>
                    <w:rPr>
                      <w:bCs/>
                      <w:szCs w:val="21"/>
                    </w:rPr>
                  </w:pPr>
                </w:p>
              </w:tc>
              <w:tc>
                <w:tcPr>
                  <w:tcW w:w="959" w:type="pct"/>
                  <w:vMerge w:val="continue"/>
                  <w:tcBorders>
                    <w:tl2br w:val="nil"/>
                    <w:tr2bl w:val="nil"/>
                  </w:tcBorders>
                  <w:vAlign w:val="center"/>
                </w:tcPr>
                <w:p w14:paraId="520ACB6A">
                  <w:pPr>
                    <w:adjustRightInd w:val="0"/>
                    <w:snapToGrid w:val="0"/>
                    <w:jc w:val="center"/>
                  </w:pPr>
                </w:p>
              </w:tc>
              <w:tc>
                <w:tcPr>
                  <w:tcW w:w="1220" w:type="pct"/>
                  <w:tcBorders>
                    <w:tl2br w:val="nil"/>
                    <w:tr2bl w:val="nil"/>
                  </w:tcBorders>
                  <w:vAlign w:val="center"/>
                </w:tcPr>
                <w:p w14:paraId="520ACB6B">
                  <w:pPr>
                    <w:adjustRightInd w:val="0"/>
                    <w:snapToGrid w:val="0"/>
                    <w:jc w:val="center"/>
                  </w:pPr>
                  <w:r>
                    <w:rPr>
                      <w:szCs w:val="21"/>
                    </w:rPr>
                    <w:t>豫新</w:t>
                  </w:r>
                  <w:r>
                    <w:rPr>
                      <w:rFonts w:hint="eastAsia"/>
                      <w:szCs w:val="21"/>
                    </w:rPr>
                    <w:t>五</w:t>
                  </w:r>
                  <w:r>
                    <w:rPr>
                      <w:szCs w:val="21"/>
                    </w:rPr>
                    <w:t>号生活区</w:t>
                  </w:r>
                </w:p>
              </w:tc>
              <w:tc>
                <w:tcPr>
                  <w:tcW w:w="1219" w:type="pct"/>
                  <w:tcBorders>
                    <w:tl2br w:val="nil"/>
                    <w:tr2bl w:val="nil"/>
                  </w:tcBorders>
                  <w:vAlign w:val="center"/>
                </w:tcPr>
                <w:p w14:paraId="520ACB6C">
                  <w:pPr>
                    <w:adjustRightInd w:val="0"/>
                    <w:snapToGrid w:val="0"/>
                    <w:jc w:val="center"/>
                  </w:pPr>
                  <w:r>
                    <w:rPr>
                      <w:rFonts w:hint="eastAsia"/>
                      <w:szCs w:val="21"/>
                    </w:rPr>
                    <w:t>东7</w:t>
                  </w:r>
                </w:p>
              </w:tc>
              <w:tc>
                <w:tcPr>
                  <w:tcW w:w="883" w:type="pct"/>
                  <w:tcBorders>
                    <w:tl2br w:val="nil"/>
                    <w:tr2bl w:val="nil"/>
                  </w:tcBorders>
                  <w:vAlign w:val="center"/>
                </w:tcPr>
                <w:p w14:paraId="520ACB6D">
                  <w:pPr>
                    <w:adjustRightInd w:val="0"/>
                    <w:snapToGrid w:val="0"/>
                    <w:jc w:val="center"/>
                  </w:pPr>
                  <w:r>
                    <w:rPr>
                      <w:rFonts w:hint="eastAsia"/>
                    </w:rPr>
                    <w:t>0</w:t>
                  </w:r>
                </w:p>
              </w:tc>
            </w:tr>
            <w:tr w14:paraId="520ACB7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vMerge w:val="continue"/>
                  <w:tcBorders>
                    <w:tl2br w:val="nil"/>
                    <w:tr2bl w:val="nil"/>
                  </w:tcBorders>
                  <w:vAlign w:val="center"/>
                </w:tcPr>
                <w:p w14:paraId="520ACB6F">
                  <w:pPr>
                    <w:adjustRightInd w:val="0"/>
                    <w:snapToGrid w:val="0"/>
                    <w:jc w:val="center"/>
                    <w:rPr>
                      <w:bCs/>
                      <w:szCs w:val="21"/>
                    </w:rPr>
                  </w:pPr>
                </w:p>
              </w:tc>
              <w:tc>
                <w:tcPr>
                  <w:tcW w:w="959" w:type="pct"/>
                  <w:vMerge w:val="continue"/>
                  <w:tcBorders>
                    <w:tl2br w:val="nil"/>
                    <w:tr2bl w:val="nil"/>
                  </w:tcBorders>
                  <w:vAlign w:val="center"/>
                </w:tcPr>
                <w:p w14:paraId="520ACB70">
                  <w:pPr>
                    <w:adjustRightInd w:val="0"/>
                    <w:snapToGrid w:val="0"/>
                    <w:jc w:val="center"/>
                  </w:pPr>
                </w:p>
              </w:tc>
              <w:tc>
                <w:tcPr>
                  <w:tcW w:w="1220" w:type="pct"/>
                  <w:tcBorders>
                    <w:tl2br w:val="nil"/>
                    <w:tr2bl w:val="nil"/>
                  </w:tcBorders>
                  <w:vAlign w:val="center"/>
                </w:tcPr>
                <w:p w14:paraId="520ACB71">
                  <w:pPr>
                    <w:adjustRightInd w:val="0"/>
                    <w:snapToGrid w:val="0"/>
                    <w:jc w:val="center"/>
                  </w:pPr>
                  <w:r>
                    <w:rPr>
                      <w:rFonts w:hint="eastAsia"/>
                      <w:szCs w:val="21"/>
                    </w:rPr>
                    <w:t>尚都国际</w:t>
                  </w:r>
                </w:p>
              </w:tc>
              <w:tc>
                <w:tcPr>
                  <w:tcW w:w="1219" w:type="pct"/>
                  <w:tcBorders>
                    <w:tl2br w:val="nil"/>
                    <w:tr2bl w:val="nil"/>
                  </w:tcBorders>
                  <w:vAlign w:val="center"/>
                </w:tcPr>
                <w:p w14:paraId="520ACB72">
                  <w:pPr>
                    <w:adjustRightInd w:val="0"/>
                    <w:snapToGrid w:val="0"/>
                    <w:jc w:val="center"/>
                  </w:pPr>
                  <w:r>
                    <w:rPr>
                      <w:rFonts w:hint="eastAsia"/>
                      <w:szCs w:val="21"/>
                    </w:rPr>
                    <w:t>东36</w:t>
                  </w:r>
                </w:p>
              </w:tc>
              <w:tc>
                <w:tcPr>
                  <w:tcW w:w="883" w:type="pct"/>
                  <w:tcBorders>
                    <w:tl2br w:val="nil"/>
                    <w:tr2bl w:val="nil"/>
                  </w:tcBorders>
                  <w:vAlign w:val="center"/>
                </w:tcPr>
                <w:p w14:paraId="520ACB73">
                  <w:pPr>
                    <w:adjustRightInd w:val="0"/>
                    <w:snapToGrid w:val="0"/>
                    <w:jc w:val="center"/>
                  </w:pPr>
                  <w:r>
                    <w:rPr>
                      <w:rFonts w:hint="eastAsia"/>
                    </w:rPr>
                    <w:t>0</w:t>
                  </w:r>
                </w:p>
              </w:tc>
            </w:tr>
            <w:tr w14:paraId="520ACB7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tcBorders>
                    <w:tl2br w:val="nil"/>
                    <w:tr2bl w:val="nil"/>
                  </w:tcBorders>
                  <w:vAlign w:val="center"/>
                </w:tcPr>
                <w:p w14:paraId="520ACB75">
                  <w:pPr>
                    <w:adjustRightInd w:val="0"/>
                    <w:snapToGrid w:val="0"/>
                    <w:jc w:val="center"/>
                    <w:rPr>
                      <w:bCs/>
                      <w:szCs w:val="21"/>
                    </w:rPr>
                  </w:pPr>
                  <w:r>
                    <w:t>西</w:t>
                  </w:r>
                  <w:r>
                    <w:rPr>
                      <w:rFonts w:hint="eastAsia"/>
                      <w:szCs w:val="22"/>
                    </w:rPr>
                    <w:t>厂界</w:t>
                  </w:r>
                </w:p>
              </w:tc>
              <w:tc>
                <w:tcPr>
                  <w:tcW w:w="959" w:type="pct"/>
                  <w:tcBorders>
                    <w:tl2br w:val="nil"/>
                    <w:tr2bl w:val="nil"/>
                  </w:tcBorders>
                  <w:vAlign w:val="center"/>
                </w:tcPr>
                <w:p w14:paraId="520ACB76">
                  <w:pPr>
                    <w:adjustRightInd w:val="0"/>
                    <w:snapToGrid w:val="0"/>
                    <w:jc w:val="center"/>
                  </w:pPr>
                  <w:r>
                    <w:rPr>
                      <w:rFonts w:hint="eastAsia"/>
                    </w:rPr>
                    <w:t>0</w:t>
                  </w:r>
                </w:p>
              </w:tc>
              <w:tc>
                <w:tcPr>
                  <w:tcW w:w="1220" w:type="pct"/>
                  <w:tcBorders>
                    <w:tl2br w:val="nil"/>
                    <w:tr2bl w:val="nil"/>
                  </w:tcBorders>
                  <w:vAlign w:val="center"/>
                </w:tcPr>
                <w:p w14:paraId="520ACB77">
                  <w:pPr>
                    <w:adjustRightInd w:val="0"/>
                    <w:snapToGrid w:val="0"/>
                    <w:jc w:val="center"/>
                    <w:rPr>
                      <w:szCs w:val="21"/>
                    </w:rPr>
                  </w:pPr>
                  <w:r>
                    <w:rPr>
                      <w:szCs w:val="21"/>
                    </w:rPr>
                    <w:t>六合园小区</w:t>
                  </w:r>
                </w:p>
              </w:tc>
              <w:tc>
                <w:tcPr>
                  <w:tcW w:w="1219" w:type="pct"/>
                  <w:tcBorders>
                    <w:tl2br w:val="nil"/>
                    <w:tr2bl w:val="nil"/>
                  </w:tcBorders>
                  <w:vAlign w:val="center"/>
                </w:tcPr>
                <w:p w14:paraId="520ACB78">
                  <w:pPr>
                    <w:adjustRightInd w:val="0"/>
                    <w:snapToGrid w:val="0"/>
                    <w:jc w:val="center"/>
                    <w:rPr>
                      <w:szCs w:val="21"/>
                    </w:rPr>
                  </w:pPr>
                  <w:r>
                    <w:rPr>
                      <w:rFonts w:hint="eastAsia"/>
                      <w:szCs w:val="21"/>
                    </w:rPr>
                    <w:t>西7</w:t>
                  </w:r>
                </w:p>
              </w:tc>
              <w:tc>
                <w:tcPr>
                  <w:tcW w:w="883" w:type="pct"/>
                  <w:tcBorders>
                    <w:tl2br w:val="nil"/>
                    <w:tr2bl w:val="nil"/>
                  </w:tcBorders>
                  <w:vAlign w:val="center"/>
                </w:tcPr>
                <w:p w14:paraId="520ACB79">
                  <w:pPr>
                    <w:adjustRightInd w:val="0"/>
                    <w:snapToGrid w:val="0"/>
                    <w:jc w:val="center"/>
                  </w:pPr>
                  <w:r>
                    <w:rPr>
                      <w:rFonts w:hint="eastAsia"/>
                    </w:rPr>
                    <w:t>0</w:t>
                  </w:r>
                </w:p>
              </w:tc>
            </w:tr>
            <w:tr w14:paraId="520ACB8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vMerge w:val="restart"/>
                  <w:tcBorders>
                    <w:tl2br w:val="nil"/>
                    <w:tr2bl w:val="nil"/>
                  </w:tcBorders>
                  <w:vAlign w:val="center"/>
                </w:tcPr>
                <w:p w14:paraId="520ACB7B">
                  <w:pPr>
                    <w:adjustRightInd w:val="0"/>
                    <w:snapToGrid w:val="0"/>
                    <w:jc w:val="center"/>
                    <w:rPr>
                      <w:bCs/>
                      <w:szCs w:val="21"/>
                    </w:rPr>
                  </w:pPr>
                  <w:r>
                    <w:t>南</w:t>
                  </w:r>
                  <w:r>
                    <w:rPr>
                      <w:rFonts w:hint="eastAsia"/>
                      <w:szCs w:val="22"/>
                    </w:rPr>
                    <w:t>厂界</w:t>
                  </w:r>
                </w:p>
              </w:tc>
              <w:tc>
                <w:tcPr>
                  <w:tcW w:w="959" w:type="pct"/>
                  <w:vMerge w:val="restart"/>
                  <w:tcBorders>
                    <w:tl2br w:val="nil"/>
                    <w:tr2bl w:val="nil"/>
                  </w:tcBorders>
                  <w:vAlign w:val="center"/>
                </w:tcPr>
                <w:p w14:paraId="520ACB7C">
                  <w:pPr>
                    <w:adjustRightInd w:val="0"/>
                    <w:snapToGrid w:val="0"/>
                    <w:jc w:val="center"/>
                  </w:pPr>
                  <w:r>
                    <w:rPr>
                      <w:rFonts w:hint="eastAsia"/>
                    </w:rPr>
                    <w:t>0</w:t>
                  </w:r>
                </w:p>
              </w:tc>
              <w:tc>
                <w:tcPr>
                  <w:tcW w:w="1220" w:type="pct"/>
                  <w:tcBorders>
                    <w:tl2br w:val="nil"/>
                    <w:tr2bl w:val="nil"/>
                  </w:tcBorders>
                  <w:vAlign w:val="center"/>
                </w:tcPr>
                <w:p w14:paraId="520ACB7D">
                  <w:pPr>
                    <w:adjustRightInd w:val="0"/>
                    <w:snapToGrid w:val="0"/>
                    <w:jc w:val="center"/>
                    <w:rPr>
                      <w:szCs w:val="21"/>
                    </w:rPr>
                  </w:pPr>
                  <w:r>
                    <w:rPr>
                      <w:szCs w:val="21"/>
                    </w:rPr>
                    <w:t>豫新生活区南院</w:t>
                  </w:r>
                </w:p>
              </w:tc>
              <w:tc>
                <w:tcPr>
                  <w:tcW w:w="1219" w:type="pct"/>
                  <w:tcBorders>
                    <w:tl2br w:val="nil"/>
                    <w:tr2bl w:val="nil"/>
                  </w:tcBorders>
                  <w:vAlign w:val="center"/>
                </w:tcPr>
                <w:p w14:paraId="520ACB7E">
                  <w:pPr>
                    <w:adjustRightInd w:val="0"/>
                    <w:snapToGrid w:val="0"/>
                    <w:jc w:val="center"/>
                  </w:pPr>
                  <w:r>
                    <w:rPr>
                      <w:rFonts w:hint="eastAsia"/>
                      <w:szCs w:val="21"/>
                    </w:rPr>
                    <w:t>南30</w:t>
                  </w:r>
                </w:p>
              </w:tc>
              <w:tc>
                <w:tcPr>
                  <w:tcW w:w="883" w:type="pct"/>
                  <w:tcBorders>
                    <w:tl2br w:val="nil"/>
                    <w:tr2bl w:val="nil"/>
                  </w:tcBorders>
                  <w:vAlign w:val="center"/>
                </w:tcPr>
                <w:p w14:paraId="520ACB7F">
                  <w:pPr>
                    <w:adjustRightInd w:val="0"/>
                    <w:snapToGrid w:val="0"/>
                    <w:jc w:val="center"/>
                  </w:pPr>
                  <w:r>
                    <w:rPr>
                      <w:rFonts w:hint="eastAsia"/>
                    </w:rPr>
                    <w:t>0</w:t>
                  </w:r>
                </w:p>
              </w:tc>
            </w:tr>
            <w:tr w14:paraId="520ACB8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vMerge w:val="continue"/>
                  <w:tcBorders>
                    <w:tl2br w:val="nil"/>
                    <w:tr2bl w:val="nil"/>
                  </w:tcBorders>
                  <w:vAlign w:val="center"/>
                </w:tcPr>
                <w:p w14:paraId="520ACB81">
                  <w:pPr>
                    <w:adjustRightInd w:val="0"/>
                    <w:snapToGrid w:val="0"/>
                    <w:jc w:val="center"/>
                    <w:rPr>
                      <w:bCs/>
                      <w:szCs w:val="21"/>
                    </w:rPr>
                  </w:pPr>
                </w:p>
              </w:tc>
              <w:tc>
                <w:tcPr>
                  <w:tcW w:w="959" w:type="pct"/>
                  <w:vMerge w:val="continue"/>
                  <w:tcBorders>
                    <w:tl2br w:val="nil"/>
                    <w:tr2bl w:val="nil"/>
                  </w:tcBorders>
                  <w:vAlign w:val="center"/>
                </w:tcPr>
                <w:p w14:paraId="520ACB82">
                  <w:pPr>
                    <w:adjustRightInd w:val="0"/>
                    <w:snapToGrid w:val="0"/>
                    <w:jc w:val="center"/>
                  </w:pPr>
                </w:p>
              </w:tc>
              <w:tc>
                <w:tcPr>
                  <w:tcW w:w="1220" w:type="pct"/>
                  <w:tcBorders>
                    <w:tl2br w:val="nil"/>
                    <w:tr2bl w:val="nil"/>
                  </w:tcBorders>
                  <w:vAlign w:val="center"/>
                </w:tcPr>
                <w:p w14:paraId="520ACB83">
                  <w:pPr>
                    <w:adjustRightInd w:val="0"/>
                    <w:snapToGrid w:val="0"/>
                    <w:jc w:val="center"/>
                    <w:rPr>
                      <w:szCs w:val="21"/>
                    </w:rPr>
                  </w:pPr>
                  <w:r>
                    <w:rPr>
                      <w:szCs w:val="21"/>
                    </w:rPr>
                    <w:t>太行电源集团家属院</w:t>
                  </w:r>
                </w:p>
              </w:tc>
              <w:tc>
                <w:tcPr>
                  <w:tcW w:w="1219" w:type="pct"/>
                  <w:tcBorders>
                    <w:tl2br w:val="nil"/>
                    <w:tr2bl w:val="nil"/>
                  </w:tcBorders>
                  <w:vAlign w:val="center"/>
                </w:tcPr>
                <w:p w14:paraId="520ACB84">
                  <w:pPr>
                    <w:adjustRightInd w:val="0"/>
                    <w:snapToGrid w:val="0"/>
                    <w:jc w:val="center"/>
                  </w:pPr>
                  <w:r>
                    <w:rPr>
                      <w:rFonts w:hint="eastAsia"/>
                      <w:szCs w:val="21"/>
                    </w:rPr>
                    <w:t>南30</w:t>
                  </w:r>
                </w:p>
              </w:tc>
              <w:tc>
                <w:tcPr>
                  <w:tcW w:w="883" w:type="pct"/>
                  <w:tcBorders>
                    <w:tl2br w:val="nil"/>
                    <w:tr2bl w:val="nil"/>
                  </w:tcBorders>
                  <w:vAlign w:val="center"/>
                </w:tcPr>
                <w:p w14:paraId="520ACB85">
                  <w:pPr>
                    <w:adjustRightInd w:val="0"/>
                    <w:snapToGrid w:val="0"/>
                    <w:jc w:val="center"/>
                  </w:pPr>
                  <w:r>
                    <w:rPr>
                      <w:rFonts w:hint="eastAsia"/>
                    </w:rPr>
                    <w:t>0</w:t>
                  </w:r>
                </w:p>
              </w:tc>
            </w:tr>
            <w:tr w14:paraId="520ACB8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vMerge w:val="restart"/>
                  <w:tcBorders>
                    <w:tl2br w:val="nil"/>
                    <w:tr2bl w:val="nil"/>
                  </w:tcBorders>
                  <w:vAlign w:val="center"/>
                </w:tcPr>
                <w:p w14:paraId="520ACB87">
                  <w:pPr>
                    <w:adjustRightInd w:val="0"/>
                    <w:snapToGrid w:val="0"/>
                    <w:jc w:val="center"/>
                    <w:rPr>
                      <w:bCs/>
                      <w:szCs w:val="21"/>
                    </w:rPr>
                  </w:pPr>
                  <w:r>
                    <w:t>北</w:t>
                  </w:r>
                  <w:r>
                    <w:rPr>
                      <w:rFonts w:hint="eastAsia"/>
                      <w:szCs w:val="22"/>
                    </w:rPr>
                    <w:t>厂界</w:t>
                  </w:r>
                </w:p>
              </w:tc>
              <w:tc>
                <w:tcPr>
                  <w:tcW w:w="959" w:type="pct"/>
                  <w:vMerge w:val="restart"/>
                  <w:tcBorders>
                    <w:tl2br w:val="nil"/>
                    <w:tr2bl w:val="nil"/>
                  </w:tcBorders>
                  <w:vAlign w:val="center"/>
                </w:tcPr>
                <w:p w14:paraId="520ACB88">
                  <w:pPr>
                    <w:adjustRightInd w:val="0"/>
                    <w:snapToGrid w:val="0"/>
                    <w:jc w:val="center"/>
                  </w:pPr>
                  <w:r>
                    <w:rPr>
                      <w:rFonts w:hint="eastAsia"/>
                    </w:rPr>
                    <w:t>0</w:t>
                  </w:r>
                </w:p>
              </w:tc>
              <w:tc>
                <w:tcPr>
                  <w:tcW w:w="1220" w:type="pct"/>
                  <w:tcBorders>
                    <w:tl2br w:val="nil"/>
                    <w:tr2bl w:val="nil"/>
                  </w:tcBorders>
                  <w:vAlign w:val="center"/>
                </w:tcPr>
                <w:p w14:paraId="520ACB89">
                  <w:pPr>
                    <w:adjustRightInd w:val="0"/>
                    <w:snapToGrid w:val="0"/>
                    <w:jc w:val="center"/>
                    <w:rPr>
                      <w:szCs w:val="21"/>
                    </w:rPr>
                  </w:pPr>
                  <w:r>
                    <w:rPr>
                      <w:szCs w:val="21"/>
                    </w:rPr>
                    <w:t>坛后新村</w:t>
                  </w:r>
                </w:p>
              </w:tc>
              <w:tc>
                <w:tcPr>
                  <w:tcW w:w="1219" w:type="pct"/>
                  <w:tcBorders>
                    <w:tl2br w:val="nil"/>
                    <w:tr2bl w:val="nil"/>
                  </w:tcBorders>
                  <w:vAlign w:val="center"/>
                </w:tcPr>
                <w:p w14:paraId="520ACB8A">
                  <w:pPr>
                    <w:adjustRightInd w:val="0"/>
                    <w:snapToGrid w:val="0"/>
                    <w:jc w:val="center"/>
                  </w:pPr>
                  <w:r>
                    <w:rPr>
                      <w:rFonts w:hint="eastAsia"/>
                      <w:szCs w:val="21"/>
                    </w:rPr>
                    <w:t>北2</w:t>
                  </w:r>
                </w:p>
              </w:tc>
              <w:tc>
                <w:tcPr>
                  <w:tcW w:w="883" w:type="pct"/>
                  <w:tcBorders>
                    <w:tl2br w:val="nil"/>
                    <w:tr2bl w:val="nil"/>
                  </w:tcBorders>
                  <w:vAlign w:val="center"/>
                </w:tcPr>
                <w:p w14:paraId="520ACB8B">
                  <w:pPr>
                    <w:adjustRightInd w:val="0"/>
                    <w:snapToGrid w:val="0"/>
                    <w:jc w:val="center"/>
                  </w:pPr>
                  <w:r>
                    <w:rPr>
                      <w:rFonts w:hint="eastAsia"/>
                    </w:rPr>
                    <w:t>0</w:t>
                  </w:r>
                </w:p>
              </w:tc>
            </w:tr>
            <w:tr w14:paraId="520ACB9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vMerge w:val="continue"/>
                  <w:tcBorders>
                    <w:tl2br w:val="nil"/>
                    <w:tr2bl w:val="nil"/>
                  </w:tcBorders>
                  <w:vAlign w:val="center"/>
                </w:tcPr>
                <w:p w14:paraId="520ACB8D">
                  <w:pPr>
                    <w:adjustRightInd w:val="0"/>
                    <w:snapToGrid w:val="0"/>
                    <w:jc w:val="center"/>
                    <w:rPr>
                      <w:bCs/>
                      <w:szCs w:val="21"/>
                    </w:rPr>
                  </w:pPr>
                </w:p>
              </w:tc>
              <w:tc>
                <w:tcPr>
                  <w:tcW w:w="959" w:type="pct"/>
                  <w:vMerge w:val="continue"/>
                  <w:tcBorders>
                    <w:tl2br w:val="nil"/>
                    <w:tr2bl w:val="nil"/>
                  </w:tcBorders>
                  <w:vAlign w:val="center"/>
                </w:tcPr>
                <w:p w14:paraId="520ACB8E">
                  <w:pPr>
                    <w:adjustRightInd w:val="0"/>
                    <w:snapToGrid w:val="0"/>
                    <w:jc w:val="center"/>
                  </w:pPr>
                </w:p>
              </w:tc>
              <w:tc>
                <w:tcPr>
                  <w:tcW w:w="1220" w:type="pct"/>
                  <w:tcBorders>
                    <w:tl2br w:val="nil"/>
                    <w:tr2bl w:val="nil"/>
                  </w:tcBorders>
                  <w:vAlign w:val="center"/>
                </w:tcPr>
                <w:p w14:paraId="520ACB8F">
                  <w:pPr>
                    <w:adjustRightInd w:val="0"/>
                    <w:snapToGrid w:val="0"/>
                    <w:jc w:val="center"/>
                    <w:rPr>
                      <w:szCs w:val="21"/>
                    </w:rPr>
                  </w:pPr>
                  <w:r>
                    <w:rPr>
                      <w:szCs w:val="21"/>
                    </w:rPr>
                    <w:t>建北小区</w:t>
                  </w:r>
                </w:p>
              </w:tc>
              <w:tc>
                <w:tcPr>
                  <w:tcW w:w="1219" w:type="pct"/>
                  <w:tcBorders>
                    <w:tl2br w:val="nil"/>
                    <w:tr2bl w:val="nil"/>
                  </w:tcBorders>
                  <w:vAlign w:val="center"/>
                </w:tcPr>
                <w:p w14:paraId="520ACB90">
                  <w:pPr>
                    <w:adjustRightInd w:val="0"/>
                    <w:snapToGrid w:val="0"/>
                    <w:jc w:val="center"/>
                  </w:pPr>
                  <w:r>
                    <w:rPr>
                      <w:rFonts w:hint="eastAsia"/>
                      <w:szCs w:val="21"/>
                    </w:rPr>
                    <w:t>北15</w:t>
                  </w:r>
                </w:p>
              </w:tc>
              <w:tc>
                <w:tcPr>
                  <w:tcW w:w="883" w:type="pct"/>
                  <w:tcBorders>
                    <w:tl2br w:val="nil"/>
                    <w:tr2bl w:val="nil"/>
                  </w:tcBorders>
                  <w:vAlign w:val="center"/>
                </w:tcPr>
                <w:p w14:paraId="520ACB91">
                  <w:pPr>
                    <w:adjustRightInd w:val="0"/>
                    <w:snapToGrid w:val="0"/>
                    <w:jc w:val="center"/>
                  </w:pPr>
                  <w:r>
                    <w:rPr>
                      <w:rFonts w:hint="eastAsia"/>
                    </w:rPr>
                    <w:t>0</w:t>
                  </w:r>
                </w:p>
              </w:tc>
            </w:tr>
            <w:tr w14:paraId="520ACB9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00" w:type="pct"/>
                  <w:gridSpan w:val="5"/>
                  <w:tcBorders>
                    <w:tl2br w:val="nil"/>
                    <w:tr2bl w:val="nil"/>
                  </w:tcBorders>
                  <w:vAlign w:val="center"/>
                </w:tcPr>
                <w:p w14:paraId="520ACB93">
                  <w:pPr>
                    <w:adjustRightInd w:val="0"/>
                    <w:snapToGrid w:val="0"/>
                    <w:jc w:val="center"/>
                    <w:rPr>
                      <w:b/>
                      <w:bCs/>
                    </w:rPr>
                  </w:pPr>
                  <w:r>
                    <w:rPr>
                      <w:rFonts w:hint="eastAsia"/>
                      <w:b/>
                      <w:bCs/>
                    </w:rPr>
                    <w:t>解放路厂区</w:t>
                  </w:r>
                </w:p>
              </w:tc>
            </w:tr>
            <w:tr w14:paraId="520ACB9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vMerge w:val="restart"/>
                  <w:tcBorders>
                    <w:tl2br w:val="nil"/>
                    <w:tr2bl w:val="nil"/>
                  </w:tcBorders>
                  <w:vAlign w:val="center"/>
                </w:tcPr>
                <w:p w14:paraId="520ACB95">
                  <w:pPr>
                    <w:adjustRightInd w:val="0"/>
                    <w:snapToGrid w:val="0"/>
                    <w:jc w:val="center"/>
                    <w:rPr>
                      <w:bCs/>
                      <w:szCs w:val="21"/>
                    </w:rPr>
                  </w:pPr>
                  <w:r>
                    <w:t>东</w:t>
                  </w:r>
                  <w:r>
                    <w:rPr>
                      <w:rFonts w:hint="eastAsia"/>
                      <w:szCs w:val="22"/>
                    </w:rPr>
                    <w:t>厂界</w:t>
                  </w:r>
                </w:p>
              </w:tc>
              <w:tc>
                <w:tcPr>
                  <w:tcW w:w="959" w:type="pct"/>
                  <w:vMerge w:val="restart"/>
                  <w:tcBorders>
                    <w:tl2br w:val="nil"/>
                    <w:tr2bl w:val="nil"/>
                  </w:tcBorders>
                  <w:vAlign w:val="center"/>
                </w:tcPr>
                <w:p w14:paraId="520ACB96">
                  <w:pPr>
                    <w:adjustRightInd w:val="0"/>
                    <w:snapToGrid w:val="0"/>
                    <w:jc w:val="center"/>
                  </w:pPr>
                  <w:r>
                    <w:rPr>
                      <w:rFonts w:hint="eastAsia"/>
                      <w:szCs w:val="21"/>
                    </w:rPr>
                    <w:t>0</w:t>
                  </w:r>
                </w:p>
              </w:tc>
              <w:tc>
                <w:tcPr>
                  <w:tcW w:w="1220" w:type="pct"/>
                  <w:tcBorders>
                    <w:tl2br w:val="nil"/>
                    <w:tr2bl w:val="nil"/>
                  </w:tcBorders>
                  <w:vAlign w:val="center"/>
                </w:tcPr>
                <w:p w14:paraId="520ACB97">
                  <w:pPr>
                    <w:adjustRightInd w:val="0"/>
                    <w:snapToGrid w:val="0"/>
                    <w:jc w:val="center"/>
                    <w:rPr>
                      <w:szCs w:val="21"/>
                    </w:rPr>
                  </w:pPr>
                  <w:r>
                    <w:rPr>
                      <w:rFonts w:hint="eastAsia"/>
                      <w:szCs w:val="21"/>
                    </w:rPr>
                    <w:t>1</w:t>
                  </w:r>
                  <w:r>
                    <w:rPr>
                      <w:szCs w:val="21"/>
                    </w:rPr>
                    <w:t>16</w:t>
                  </w:r>
                  <w:r>
                    <w:rPr>
                      <w:rFonts w:hint="eastAsia"/>
                      <w:szCs w:val="21"/>
                    </w:rPr>
                    <w:t>家属院</w:t>
                  </w:r>
                </w:p>
              </w:tc>
              <w:tc>
                <w:tcPr>
                  <w:tcW w:w="1219" w:type="pct"/>
                  <w:tcBorders>
                    <w:tl2br w:val="nil"/>
                    <w:tr2bl w:val="nil"/>
                  </w:tcBorders>
                  <w:vAlign w:val="center"/>
                </w:tcPr>
                <w:p w14:paraId="520ACB98">
                  <w:pPr>
                    <w:adjustRightInd w:val="0"/>
                    <w:snapToGrid w:val="0"/>
                    <w:jc w:val="center"/>
                    <w:rPr>
                      <w:szCs w:val="21"/>
                    </w:rPr>
                  </w:pPr>
                  <w:r>
                    <w:rPr>
                      <w:rFonts w:hint="eastAsia"/>
                      <w:szCs w:val="21"/>
                    </w:rPr>
                    <w:t>东35</w:t>
                  </w:r>
                </w:p>
              </w:tc>
              <w:tc>
                <w:tcPr>
                  <w:tcW w:w="883" w:type="pct"/>
                  <w:tcBorders>
                    <w:tl2br w:val="nil"/>
                    <w:tr2bl w:val="nil"/>
                  </w:tcBorders>
                  <w:vAlign w:val="center"/>
                </w:tcPr>
                <w:p w14:paraId="520ACB99">
                  <w:pPr>
                    <w:adjustRightInd w:val="0"/>
                    <w:snapToGrid w:val="0"/>
                    <w:jc w:val="center"/>
                  </w:pPr>
                  <w:r>
                    <w:rPr>
                      <w:rFonts w:hint="eastAsia"/>
                    </w:rPr>
                    <w:t>0</w:t>
                  </w:r>
                </w:p>
              </w:tc>
            </w:tr>
            <w:tr w14:paraId="520ACBA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vMerge w:val="continue"/>
                  <w:tcBorders>
                    <w:tl2br w:val="nil"/>
                    <w:tr2bl w:val="nil"/>
                  </w:tcBorders>
                  <w:vAlign w:val="center"/>
                </w:tcPr>
                <w:p w14:paraId="520ACB9B">
                  <w:pPr>
                    <w:adjustRightInd w:val="0"/>
                    <w:snapToGrid w:val="0"/>
                    <w:jc w:val="center"/>
                  </w:pPr>
                </w:p>
              </w:tc>
              <w:tc>
                <w:tcPr>
                  <w:tcW w:w="959" w:type="pct"/>
                  <w:vMerge w:val="continue"/>
                  <w:tcBorders>
                    <w:tl2br w:val="nil"/>
                    <w:tr2bl w:val="nil"/>
                  </w:tcBorders>
                  <w:vAlign w:val="center"/>
                </w:tcPr>
                <w:p w14:paraId="520ACB9C">
                  <w:pPr>
                    <w:adjustRightInd w:val="0"/>
                    <w:snapToGrid w:val="0"/>
                    <w:jc w:val="center"/>
                    <w:rPr>
                      <w:szCs w:val="21"/>
                    </w:rPr>
                  </w:pPr>
                </w:p>
              </w:tc>
              <w:tc>
                <w:tcPr>
                  <w:tcW w:w="1220" w:type="pct"/>
                  <w:tcBorders>
                    <w:tl2br w:val="nil"/>
                    <w:tr2bl w:val="nil"/>
                  </w:tcBorders>
                  <w:vAlign w:val="center"/>
                </w:tcPr>
                <w:p w14:paraId="520ACB9D">
                  <w:pPr>
                    <w:adjustRightInd w:val="0"/>
                    <w:snapToGrid w:val="0"/>
                    <w:jc w:val="center"/>
                    <w:rPr>
                      <w:szCs w:val="21"/>
                    </w:rPr>
                  </w:pPr>
                  <w:r>
                    <w:rPr>
                      <w:rFonts w:hint="eastAsia"/>
                      <w:szCs w:val="21"/>
                    </w:rPr>
                    <w:t>利民巷社区</w:t>
                  </w:r>
                </w:p>
              </w:tc>
              <w:tc>
                <w:tcPr>
                  <w:tcW w:w="1219" w:type="pct"/>
                  <w:tcBorders>
                    <w:tl2br w:val="nil"/>
                    <w:tr2bl w:val="nil"/>
                  </w:tcBorders>
                  <w:vAlign w:val="center"/>
                </w:tcPr>
                <w:p w14:paraId="520ACB9E">
                  <w:pPr>
                    <w:adjustRightInd w:val="0"/>
                    <w:snapToGrid w:val="0"/>
                    <w:jc w:val="center"/>
                    <w:rPr>
                      <w:szCs w:val="21"/>
                    </w:rPr>
                  </w:pPr>
                  <w:r>
                    <w:rPr>
                      <w:rFonts w:hint="eastAsia"/>
                      <w:szCs w:val="21"/>
                    </w:rPr>
                    <w:t>东35</w:t>
                  </w:r>
                </w:p>
              </w:tc>
              <w:tc>
                <w:tcPr>
                  <w:tcW w:w="883" w:type="pct"/>
                  <w:tcBorders>
                    <w:tl2br w:val="nil"/>
                    <w:tr2bl w:val="nil"/>
                  </w:tcBorders>
                  <w:vAlign w:val="center"/>
                </w:tcPr>
                <w:p w14:paraId="520ACB9F">
                  <w:pPr>
                    <w:adjustRightInd w:val="0"/>
                    <w:snapToGrid w:val="0"/>
                    <w:jc w:val="center"/>
                  </w:pPr>
                  <w:r>
                    <w:rPr>
                      <w:rFonts w:hint="eastAsia"/>
                    </w:rPr>
                    <w:t>0</w:t>
                  </w:r>
                </w:p>
              </w:tc>
            </w:tr>
            <w:tr w14:paraId="520ACBA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tcBorders>
                    <w:tl2br w:val="nil"/>
                    <w:tr2bl w:val="nil"/>
                  </w:tcBorders>
                  <w:vAlign w:val="center"/>
                </w:tcPr>
                <w:p w14:paraId="520ACBA1">
                  <w:pPr>
                    <w:adjustRightInd w:val="0"/>
                    <w:snapToGrid w:val="0"/>
                    <w:jc w:val="center"/>
                    <w:rPr>
                      <w:bCs/>
                      <w:szCs w:val="21"/>
                    </w:rPr>
                  </w:pPr>
                  <w:r>
                    <w:t>西</w:t>
                  </w:r>
                  <w:r>
                    <w:rPr>
                      <w:rFonts w:hint="eastAsia"/>
                      <w:szCs w:val="22"/>
                    </w:rPr>
                    <w:t>厂界</w:t>
                  </w:r>
                </w:p>
              </w:tc>
              <w:tc>
                <w:tcPr>
                  <w:tcW w:w="959" w:type="pct"/>
                  <w:tcBorders>
                    <w:tl2br w:val="nil"/>
                    <w:tr2bl w:val="nil"/>
                  </w:tcBorders>
                  <w:vAlign w:val="center"/>
                </w:tcPr>
                <w:p w14:paraId="520ACBA2">
                  <w:pPr>
                    <w:adjustRightInd w:val="0"/>
                    <w:snapToGrid w:val="0"/>
                    <w:jc w:val="center"/>
                  </w:pPr>
                  <w:r>
                    <w:rPr>
                      <w:rFonts w:hint="eastAsia"/>
                      <w:szCs w:val="21"/>
                    </w:rPr>
                    <w:t>9.4</w:t>
                  </w:r>
                </w:p>
              </w:tc>
              <w:tc>
                <w:tcPr>
                  <w:tcW w:w="1220" w:type="pct"/>
                  <w:tcBorders>
                    <w:tl2br w:val="nil"/>
                    <w:tr2bl w:val="nil"/>
                  </w:tcBorders>
                  <w:vAlign w:val="center"/>
                </w:tcPr>
                <w:p w14:paraId="520ACBA3">
                  <w:pPr>
                    <w:adjustRightInd w:val="0"/>
                    <w:snapToGrid w:val="0"/>
                    <w:jc w:val="center"/>
                    <w:rPr>
                      <w:szCs w:val="21"/>
                    </w:rPr>
                  </w:pPr>
                  <w:r>
                    <w:rPr>
                      <w:rFonts w:hint="eastAsia"/>
                      <w:szCs w:val="21"/>
                    </w:rPr>
                    <w:t>/</w:t>
                  </w:r>
                </w:p>
              </w:tc>
              <w:tc>
                <w:tcPr>
                  <w:tcW w:w="1219" w:type="pct"/>
                  <w:tcBorders>
                    <w:tl2br w:val="nil"/>
                    <w:tr2bl w:val="nil"/>
                  </w:tcBorders>
                  <w:vAlign w:val="center"/>
                </w:tcPr>
                <w:p w14:paraId="520ACBA4">
                  <w:pPr>
                    <w:adjustRightInd w:val="0"/>
                    <w:snapToGrid w:val="0"/>
                    <w:jc w:val="center"/>
                    <w:rPr>
                      <w:szCs w:val="21"/>
                    </w:rPr>
                  </w:pPr>
                  <w:r>
                    <w:rPr>
                      <w:rFonts w:hint="eastAsia"/>
                      <w:szCs w:val="21"/>
                    </w:rPr>
                    <w:t>/</w:t>
                  </w:r>
                </w:p>
              </w:tc>
              <w:tc>
                <w:tcPr>
                  <w:tcW w:w="883" w:type="pct"/>
                  <w:tcBorders>
                    <w:tl2br w:val="nil"/>
                    <w:tr2bl w:val="nil"/>
                  </w:tcBorders>
                  <w:vAlign w:val="center"/>
                </w:tcPr>
                <w:p w14:paraId="520ACBA5">
                  <w:pPr>
                    <w:adjustRightInd w:val="0"/>
                    <w:snapToGrid w:val="0"/>
                    <w:jc w:val="center"/>
                  </w:pPr>
                  <w:r>
                    <w:rPr>
                      <w:rFonts w:hint="eastAsia"/>
                    </w:rPr>
                    <w:t>/</w:t>
                  </w:r>
                </w:p>
              </w:tc>
            </w:tr>
            <w:tr w14:paraId="520ACBA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tcBorders>
                    <w:tl2br w:val="nil"/>
                    <w:tr2bl w:val="nil"/>
                  </w:tcBorders>
                  <w:vAlign w:val="center"/>
                </w:tcPr>
                <w:p w14:paraId="520ACBA7">
                  <w:pPr>
                    <w:adjustRightInd w:val="0"/>
                    <w:snapToGrid w:val="0"/>
                    <w:jc w:val="center"/>
                    <w:rPr>
                      <w:bCs/>
                      <w:szCs w:val="21"/>
                    </w:rPr>
                  </w:pPr>
                  <w:r>
                    <w:t>南</w:t>
                  </w:r>
                  <w:r>
                    <w:rPr>
                      <w:rFonts w:hint="eastAsia"/>
                      <w:szCs w:val="22"/>
                    </w:rPr>
                    <w:t>厂界</w:t>
                  </w:r>
                </w:p>
              </w:tc>
              <w:tc>
                <w:tcPr>
                  <w:tcW w:w="959" w:type="pct"/>
                  <w:tcBorders>
                    <w:tl2br w:val="nil"/>
                    <w:tr2bl w:val="nil"/>
                  </w:tcBorders>
                  <w:vAlign w:val="center"/>
                </w:tcPr>
                <w:p w14:paraId="520ACBA8">
                  <w:pPr>
                    <w:adjustRightInd w:val="0"/>
                    <w:snapToGrid w:val="0"/>
                    <w:jc w:val="center"/>
                  </w:pPr>
                  <w:r>
                    <w:rPr>
                      <w:rFonts w:hint="eastAsia"/>
                      <w:szCs w:val="21"/>
                    </w:rPr>
                    <w:t>0</w:t>
                  </w:r>
                </w:p>
              </w:tc>
              <w:tc>
                <w:tcPr>
                  <w:tcW w:w="1220" w:type="pct"/>
                  <w:tcBorders>
                    <w:tl2br w:val="nil"/>
                    <w:tr2bl w:val="nil"/>
                  </w:tcBorders>
                  <w:vAlign w:val="center"/>
                </w:tcPr>
                <w:p w14:paraId="520ACBA9">
                  <w:pPr>
                    <w:adjustRightInd w:val="0"/>
                    <w:snapToGrid w:val="0"/>
                    <w:jc w:val="center"/>
                    <w:rPr>
                      <w:szCs w:val="21"/>
                    </w:rPr>
                  </w:pPr>
                  <w:r>
                    <w:rPr>
                      <w:rFonts w:hint="eastAsia"/>
                      <w:szCs w:val="21"/>
                    </w:rPr>
                    <w:t>中原社区</w:t>
                  </w:r>
                </w:p>
              </w:tc>
              <w:tc>
                <w:tcPr>
                  <w:tcW w:w="1219" w:type="pct"/>
                  <w:tcBorders>
                    <w:tl2br w:val="nil"/>
                    <w:tr2bl w:val="nil"/>
                  </w:tcBorders>
                  <w:vAlign w:val="center"/>
                </w:tcPr>
                <w:p w14:paraId="520ACBAA">
                  <w:pPr>
                    <w:adjustRightInd w:val="0"/>
                    <w:snapToGrid w:val="0"/>
                    <w:jc w:val="center"/>
                    <w:rPr>
                      <w:szCs w:val="21"/>
                    </w:rPr>
                  </w:pPr>
                  <w:r>
                    <w:rPr>
                      <w:rFonts w:hint="eastAsia"/>
                      <w:szCs w:val="21"/>
                    </w:rPr>
                    <w:t>南14</w:t>
                  </w:r>
                </w:p>
              </w:tc>
              <w:tc>
                <w:tcPr>
                  <w:tcW w:w="883" w:type="pct"/>
                  <w:tcBorders>
                    <w:tl2br w:val="nil"/>
                    <w:tr2bl w:val="nil"/>
                  </w:tcBorders>
                  <w:vAlign w:val="center"/>
                </w:tcPr>
                <w:p w14:paraId="520ACBAB">
                  <w:pPr>
                    <w:adjustRightInd w:val="0"/>
                    <w:snapToGrid w:val="0"/>
                    <w:jc w:val="center"/>
                  </w:pPr>
                  <w:r>
                    <w:rPr>
                      <w:rFonts w:hint="eastAsia"/>
                    </w:rPr>
                    <w:t>0</w:t>
                  </w:r>
                </w:p>
              </w:tc>
            </w:tr>
            <w:tr w14:paraId="520ACBB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719" w:type="pct"/>
                  <w:tcBorders>
                    <w:tl2br w:val="nil"/>
                    <w:tr2bl w:val="nil"/>
                  </w:tcBorders>
                  <w:vAlign w:val="center"/>
                </w:tcPr>
                <w:p w14:paraId="520ACBAD">
                  <w:pPr>
                    <w:adjustRightInd w:val="0"/>
                    <w:snapToGrid w:val="0"/>
                    <w:jc w:val="center"/>
                    <w:rPr>
                      <w:bCs/>
                      <w:szCs w:val="21"/>
                    </w:rPr>
                  </w:pPr>
                  <w:r>
                    <w:t>北</w:t>
                  </w:r>
                  <w:r>
                    <w:rPr>
                      <w:rFonts w:hint="eastAsia"/>
                      <w:szCs w:val="22"/>
                    </w:rPr>
                    <w:t>厂界</w:t>
                  </w:r>
                </w:p>
              </w:tc>
              <w:tc>
                <w:tcPr>
                  <w:tcW w:w="959" w:type="pct"/>
                  <w:tcBorders>
                    <w:tl2br w:val="nil"/>
                    <w:tr2bl w:val="nil"/>
                  </w:tcBorders>
                  <w:vAlign w:val="center"/>
                </w:tcPr>
                <w:p w14:paraId="520ACBAE">
                  <w:pPr>
                    <w:adjustRightInd w:val="0"/>
                    <w:snapToGrid w:val="0"/>
                    <w:jc w:val="center"/>
                  </w:pPr>
                  <w:r>
                    <w:rPr>
                      <w:rFonts w:hint="eastAsia"/>
                      <w:szCs w:val="21"/>
                    </w:rPr>
                    <w:t>0</w:t>
                  </w:r>
                </w:p>
              </w:tc>
              <w:tc>
                <w:tcPr>
                  <w:tcW w:w="1220" w:type="pct"/>
                  <w:tcBorders>
                    <w:tl2br w:val="nil"/>
                    <w:tr2bl w:val="nil"/>
                  </w:tcBorders>
                  <w:vAlign w:val="center"/>
                </w:tcPr>
                <w:p w14:paraId="520ACBAF">
                  <w:pPr>
                    <w:adjustRightInd w:val="0"/>
                    <w:snapToGrid w:val="0"/>
                    <w:jc w:val="center"/>
                    <w:rPr>
                      <w:szCs w:val="21"/>
                    </w:rPr>
                  </w:pPr>
                  <w:r>
                    <w:rPr>
                      <w:rFonts w:hint="eastAsia"/>
                      <w:szCs w:val="21"/>
                    </w:rPr>
                    <w:t>九鼎美庐</w:t>
                  </w:r>
                </w:p>
              </w:tc>
              <w:tc>
                <w:tcPr>
                  <w:tcW w:w="1219" w:type="pct"/>
                  <w:tcBorders>
                    <w:tl2br w:val="nil"/>
                    <w:tr2bl w:val="nil"/>
                  </w:tcBorders>
                  <w:vAlign w:val="center"/>
                </w:tcPr>
                <w:p w14:paraId="520ACBB0">
                  <w:pPr>
                    <w:adjustRightInd w:val="0"/>
                    <w:snapToGrid w:val="0"/>
                    <w:jc w:val="center"/>
                    <w:rPr>
                      <w:szCs w:val="21"/>
                    </w:rPr>
                  </w:pPr>
                  <w:r>
                    <w:rPr>
                      <w:rFonts w:hint="eastAsia"/>
                      <w:szCs w:val="21"/>
                    </w:rPr>
                    <w:t>北42</w:t>
                  </w:r>
                </w:p>
              </w:tc>
              <w:tc>
                <w:tcPr>
                  <w:tcW w:w="883" w:type="pct"/>
                  <w:tcBorders>
                    <w:tl2br w:val="nil"/>
                    <w:tr2bl w:val="nil"/>
                  </w:tcBorders>
                  <w:vAlign w:val="center"/>
                </w:tcPr>
                <w:p w14:paraId="520ACBB1">
                  <w:pPr>
                    <w:adjustRightInd w:val="0"/>
                    <w:snapToGrid w:val="0"/>
                    <w:jc w:val="center"/>
                  </w:pPr>
                  <w:r>
                    <w:rPr>
                      <w:rFonts w:hint="eastAsia"/>
                    </w:rPr>
                    <w:t>0</w:t>
                  </w:r>
                </w:p>
              </w:tc>
            </w:tr>
          </w:tbl>
          <w:p w14:paraId="520ACBB3">
            <w:pPr>
              <w:adjustRightInd w:val="0"/>
              <w:snapToGrid w:val="0"/>
              <w:spacing w:line="460" w:lineRule="exact"/>
              <w:ind w:firstLine="480" w:firstLineChars="200"/>
              <w:rPr>
                <w:rFonts w:eastAsia="黑体"/>
                <w:sz w:val="24"/>
                <w:highlight w:val="yellow"/>
              </w:rPr>
            </w:pPr>
            <w:r>
              <w:rPr>
                <w:sz w:val="24"/>
              </w:rPr>
              <w:t>本项目噪声贡献值与现有工程现状值叠加后，</w:t>
            </w:r>
            <w:r>
              <w:rPr>
                <w:rFonts w:hint="eastAsia"/>
                <w:sz w:val="24"/>
              </w:rPr>
              <w:t>建设路</w:t>
            </w:r>
            <w:r>
              <w:rPr>
                <w:sz w:val="24"/>
              </w:rPr>
              <w:t>厂区</w:t>
            </w:r>
            <w:r>
              <w:rPr>
                <w:rFonts w:hint="eastAsia"/>
                <w:sz w:val="24"/>
              </w:rPr>
              <w:t>及解放路厂区</w:t>
            </w:r>
            <w:r>
              <w:rPr>
                <w:sz w:val="24"/>
              </w:rPr>
              <w:t>四周噪声预测值见下表。</w:t>
            </w:r>
          </w:p>
          <w:p w14:paraId="520ACBB4">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74</w:t>
            </w:r>
            <w:r>
              <w:rPr>
                <w:rFonts w:eastAsia="黑体"/>
                <w:sz w:val="24"/>
              </w:rPr>
              <w:t xml:space="preserve"> </w:t>
            </w:r>
            <w:r>
              <w:rPr>
                <w:rFonts w:hint="eastAsia" w:eastAsia="黑体"/>
                <w:sz w:val="24"/>
              </w:rPr>
              <w:t xml:space="preserve"> </w:t>
            </w:r>
            <w:r>
              <w:rPr>
                <w:rFonts w:eastAsia="黑体"/>
                <w:sz w:val="24"/>
              </w:rPr>
              <w:t xml:space="preserve"> </w:t>
            </w:r>
            <w:r>
              <w:rPr>
                <w:rFonts w:hint="eastAsia" w:eastAsia="黑体"/>
                <w:sz w:val="24"/>
              </w:rPr>
              <w:t xml:space="preserve">  本项目厂界及敏感点</w:t>
            </w:r>
            <w:r>
              <w:rPr>
                <w:rFonts w:eastAsia="黑体"/>
                <w:sz w:val="24"/>
              </w:rPr>
              <w:t>噪声预测值结果一览表</w:t>
            </w:r>
            <w:r>
              <w:rPr>
                <w:rFonts w:hint="eastAsia" w:eastAsia="黑体"/>
                <w:sz w:val="24"/>
              </w:rPr>
              <w:t xml:space="preserve"> </w:t>
            </w:r>
            <w:r>
              <w:rPr>
                <w:rFonts w:eastAsia="黑体"/>
                <w:sz w:val="24"/>
              </w:rPr>
              <w:t xml:space="preserve"> </w:t>
            </w:r>
            <w:r>
              <w:rPr>
                <w:rFonts w:hint="eastAsia" w:eastAsia="黑体"/>
                <w:sz w:val="24"/>
              </w:rPr>
              <w:t xml:space="preserve"> </w:t>
            </w:r>
            <w:r>
              <w:rPr>
                <w:rFonts w:eastAsia="黑体"/>
                <w:sz w:val="24"/>
              </w:rPr>
              <w:t xml:space="preserve">  单位：dB(A</w:t>
            </w:r>
            <w:r>
              <w:rPr>
                <w:rFonts w:hint="eastAsia" w:eastAsia="黑体"/>
                <w:sz w:val="24"/>
              </w:rPr>
              <w:t>)</w:t>
            </w:r>
          </w:p>
          <w:tbl>
            <w:tblPr>
              <w:tblStyle w:val="18"/>
              <w:tblW w:w="5000" w:type="pct"/>
              <w:jc w:val="center"/>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Layout w:type="fixed"/>
              <w:tblCellMar>
                <w:top w:w="0" w:type="dxa"/>
                <w:left w:w="28" w:type="dxa"/>
                <w:bottom w:w="0" w:type="dxa"/>
                <w:right w:w="28" w:type="dxa"/>
              </w:tblCellMar>
            </w:tblPr>
            <w:tblGrid>
              <w:gridCol w:w="1025"/>
              <w:gridCol w:w="712"/>
              <w:gridCol w:w="912"/>
              <w:gridCol w:w="1212"/>
              <w:gridCol w:w="851"/>
              <w:gridCol w:w="709"/>
              <w:gridCol w:w="1984"/>
              <w:gridCol w:w="730"/>
            </w:tblGrid>
            <w:tr w14:paraId="520ACBBB">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Align w:val="center"/>
                </w:tcPr>
                <w:p w14:paraId="520ACBB5">
                  <w:pPr>
                    <w:adjustRightInd w:val="0"/>
                    <w:snapToGrid w:val="0"/>
                    <w:jc w:val="center"/>
                    <w:rPr>
                      <w:rFonts w:cs="宋体"/>
                      <w:b/>
                      <w:szCs w:val="20"/>
                    </w:rPr>
                  </w:pPr>
                  <w:r>
                    <w:rPr>
                      <w:rFonts w:cs="宋体"/>
                      <w:b/>
                      <w:szCs w:val="20"/>
                    </w:rPr>
                    <w:t>点位</w:t>
                  </w:r>
                </w:p>
              </w:tc>
              <w:tc>
                <w:tcPr>
                  <w:tcW w:w="1624" w:type="dxa"/>
                  <w:gridSpan w:val="2"/>
                  <w:vAlign w:val="center"/>
                </w:tcPr>
                <w:p w14:paraId="520ACBB6">
                  <w:pPr>
                    <w:adjustRightInd w:val="0"/>
                    <w:snapToGrid w:val="0"/>
                    <w:jc w:val="center"/>
                    <w:rPr>
                      <w:rFonts w:cs="宋体"/>
                      <w:b/>
                      <w:szCs w:val="20"/>
                    </w:rPr>
                  </w:pPr>
                  <w:r>
                    <w:rPr>
                      <w:rFonts w:cs="宋体"/>
                      <w:b/>
                      <w:szCs w:val="20"/>
                    </w:rPr>
                    <w:t>现状背景值</w:t>
                  </w:r>
                </w:p>
              </w:tc>
              <w:tc>
                <w:tcPr>
                  <w:tcW w:w="1212" w:type="dxa"/>
                  <w:vAlign w:val="center"/>
                </w:tcPr>
                <w:p w14:paraId="520ACBB7">
                  <w:pPr>
                    <w:adjustRightInd w:val="0"/>
                    <w:snapToGrid w:val="0"/>
                    <w:jc w:val="center"/>
                    <w:rPr>
                      <w:rFonts w:cs="宋体"/>
                      <w:b/>
                      <w:szCs w:val="20"/>
                    </w:rPr>
                  </w:pPr>
                  <w:r>
                    <w:rPr>
                      <w:rFonts w:cs="宋体"/>
                      <w:b/>
                      <w:szCs w:val="20"/>
                    </w:rPr>
                    <w:t>贡献值</w:t>
                  </w:r>
                </w:p>
              </w:tc>
              <w:tc>
                <w:tcPr>
                  <w:tcW w:w="1560" w:type="dxa"/>
                  <w:gridSpan w:val="2"/>
                  <w:vAlign w:val="center"/>
                </w:tcPr>
                <w:p w14:paraId="520ACBB8">
                  <w:pPr>
                    <w:adjustRightInd w:val="0"/>
                    <w:snapToGrid w:val="0"/>
                    <w:jc w:val="center"/>
                    <w:rPr>
                      <w:rFonts w:cs="宋体"/>
                      <w:b/>
                      <w:szCs w:val="20"/>
                    </w:rPr>
                  </w:pPr>
                  <w:r>
                    <w:rPr>
                      <w:rFonts w:cs="宋体"/>
                      <w:b/>
                      <w:szCs w:val="20"/>
                    </w:rPr>
                    <w:t>预测结果</w:t>
                  </w:r>
                </w:p>
              </w:tc>
              <w:tc>
                <w:tcPr>
                  <w:tcW w:w="1984" w:type="dxa"/>
                  <w:vAlign w:val="center"/>
                </w:tcPr>
                <w:p w14:paraId="520ACBB9">
                  <w:pPr>
                    <w:adjustRightInd w:val="0"/>
                    <w:snapToGrid w:val="0"/>
                    <w:jc w:val="center"/>
                    <w:rPr>
                      <w:rFonts w:cs="宋体"/>
                      <w:b/>
                      <w:szCs w:val="20"/>
                    </w:rPr>
                  </w:pPr>
                  <w:r>
                    <w:rPr>
                      <w:rFonts w:cs="宋体"/>
                      <w:b/>
                      <w:szCs w:val="20"/>
                    </w:rPr>
                    <w:t>评价标准</w:t>
                  </w:r>
                </w:p>
              </w:tc>
              <w:tc>
                <w:tcPr>
                  <w:tcW w:w="730" w:type="dxa"/>
                  <w:vAlign w:val="center"/>
                </w:tcPr>
                <w:p w14:paraId="520ACBBA">
                  <w:pPr>
                    <w:adjustRightInd w:val="0"/>
                    <w:snapToGrid w:val="0"/>
                    <w:jc w:val="center"/>
                    <w:rPr>
                      <w:rFonts w:cs="宋体"/>
                      <w:b/>
                      <w:szCs w:val="20"/>
                    </w:rPr>
                  </w:pPr>
                  <w:r>
                    <w:rPr>
                      <w:rFonts w:cs="宋体"/>
                      <w:b/>
                      <w:szCs w:val="20"/>
                    </w:rPr>
                    <w:t>预测达标情况</w:t>
                  </w:r>
                </w:p>
              </w:tc>
            </w:tr>
            <w:tr w14:paraId="520ACBBD">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8135" w:type="dxa"/>
                  <w:gridSpan w:val="8"/>
                  <w:vAlign w:val="center"/>
                </w:tcPr>
                <w:p w14:paraId="520ACBBC">
                  <w:pPr>
                    <w:adjustRightInd w:val="0"/>
                    <w:snapToGrid w:val="0"/>
                    <w:jc w:val="center"/>
                    <w:textAlignment w:val="baseline"/>
                    <w:rPr>
                      <w:b/>
                      <w:bCs/>
                      <w:kern w:val="0"/>
                      <w:szCs w:val="21"/>
                    </w:rPr>
                  </w:pPr>
                  <w:r>
                    <w:rPr>
                      <w:rFonts w:hint="eastAsia"/>
                      <w:b/>
                      <w:bCs/>
                      <w:kern w:val="0"/>
                      <w:szCs w:val="21"/>
                    </w:rPr>
                    <w:t>建设路厂区</w:t>
                  </w:r>
                </w:p>
              </w:tc>
            </w:tr>
            <w:tr w14:paraId="520ACBC6">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BBE">
                  <w:pPr>
                    <w:adjustRightInd w:val="0"/>
                    <w:snapToGrid w:val="0"/>
                    <w:jc w:val="center"/>
                    <w:textAlignment w:val="baseline"/>
                    <w:rPr>
                      <w:kern w:val="0"/>
                      <w:szCs w:val="21"/>
                    </w:rPr>
                  </w:pPr>
                  <w:r>
                    <w:rPr>
                      <w:kern w:val="0"/>
                      <w:szCs w:val="21"/>
                    </w:rPr>
                    <w:t>东厂界</w:t>
                  </w:r>
                </w:p>
              </w:tc>
              <w:tc>
                <w:tcPr>
                  <w:tcW w:w="712" w:type="dxa"/>
                  <w:vAlign w:val="center"/>
                </w:tcPr>
                <w:p w14:paraId="520ACBBF">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BC0">
                  <w:pPr>
                    <w:adjustRightInd w:val="0"/>
                    <w:snapToGrid w:val="0"/>
                    <w:jc w:val="center"/>
                    <w:textAlignment w:val="baseline"/>
                    <w:rPr>
                      <w:kern w:val="0"/>
                      <w:szCs w:val="21"/>
                    </w:rPr>
                  </w:pPr>
                  <w:r>
                    <w:rPr>
                      <w:rFonts w:hint="eastAsia"/>
                      <w:kern w:val="0"/>
                      <w:szCs w:val="21"/>
                    </w:rPr>
                    <w:t>5</w:t>
                  </w:r>
                  <w:r>
                    <w:rPr>
                      <w:kern w:val="0"/>
                      <w:szCs w:val="21"/>
                    </w:rPr>
                    <w:t>3</w:t>
                  </w:r>
                </w:p>
              </w:tc>
              <w:tc>
                <w:tcPr>
                  <w:tcW w:w="1212" w:type="dxa"/>
                  <w:vMerge w:val="restart"/>
                  <w:vAlign w:val="center"/>
                </w:tcPr>
                <w:p w14:paraId="520ACBC1">
                  <w:pPr>
                    <w:adjustRightInd w:val="0"/>
                    <w:snapToGrid w:val="0"/>
                    <w:jc w:val="center"/>
                    <w:textAlignment w:val="baseline"/>
                    <w:rPr>
                      <w:kern w:val="0"/>
                      <w:szCs w:val="21"/>
                    </w:rPr>
                  </w:pPr>
                  <w:r>
                    <w:rPr>
                      <w:rFonts w:hint="eastAsia"/>
                      <w:kern w:val="0"/>
                      <w:szCs w:val="21"/>
                    </w:rPr>
                    <w:t>0</w:t>
                  </w:r>
                </w:p>
              </w:tc>
              <w:tc>
                <w:tcPr>
                  <w:tcW w:w="851" w:type="dxa"/>
                  <w:vAlign w:val="center"/>
                </w:tcPr>
                <w:p w14:paraId="520ACBC2">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BC3">
                  <w:pPr>
                    <w:adjustRightInd w:val="0"/>
                    <w:snapToGrid w:val="0"/>
                    <w:jc w:val="center"/>
                    <w:textAlignment w:val="baseline"/>
                    <w:rPr>
                      <w:kern w:val="0"/>
                      <w:szCs w:val="21"/>
                    </w:rPr>
                  </w:pPr>
                  <w:r>
                    <w:rPr>
                      <w:rFonts w:hint="eastAsia"/>
                      <w:kern w:val="0"/>
                      <w:szCs w:val="21"/>
                    </w:rPr>
                    <w:t>5</w:t>
                  </w:r>
                  <w:r>
                    <w:rPr>
                      <w:kern w:val="0"/>
                      <w:szCs w:val="21"/>
                    </w:rPr>
                    <w:t>3</w:t>
                  </w:r>
                </w:p>
              </w:tc>
              <w:tc>
                <w:tcPr>
                  <w:tcW w:w="1984" w:type="dxa"/>
                  <w:vMerge w:val="restart"/>
                  <w:vAlign w:val="center"/>
                </w:tcPr>
                <w:p w14:paraId="520ACBC4">
                  <w:pPr>
                    <w:adjustRightInd w:val="0"/>
                    <w:snapToGrid w:val="0"/>
                    <w:jc w:val="center"/>
                    <w:textAlignment w:val="baseline"/>
                    <w:rPr>
                      <w:bCs/>
                      <w:kern w:val="0"/>
                      <w:szCs w:val="21"/>
                      <w:highlight w:val="yellow"/>
                    </w:rPr>
                  </w:pPr>
                  <w:r>
                    <w:rPr>
                      <w:bCs/>
                      <w:kern w:val="0"/>
                      <w:szCs w:val="21"/>
                    </w:rPr>
                    <w:t>《工业企业厂界环境噪声排放标准》（GB12348-2008）</w:t>
                  </w:r>
                  <w:r>
                    <w:rPr>
                      <w:rFonts w:hint="eastAsia"/>
                      <w:bCs/>
                      <w:kern w:val="0"/>
                      <w:szCs w:val="21"/>
                    </w:rPr>
                    <w:t>2</w:t>
                  </w:r>
                  <w:r>
                    <w:rPr>
                      <w:bCs/>
                      <w:kern w:val="0"/>
                      <w:szCs w:val="21"/>
                    </w:rPr>
                    <w:t>类标准：昼间6</w:t>
                  </w:r>
                  <w:r>
                    <w:rPr>
                      <w:rFonts w:hint="eastAsia"/>
                      <w:bCs/>
                      <w:kern w:val="0"/>
                      <w:szCs w:val="21"/>
                    </w:rPr>
                    <w:t>0</w:t>
                  </w:r>
                  <w:r>
                    <w:rPr>
                      <w:bCs/>
                      <w:kern w:val="0"/>
                      <w:szCs w:val="21"/>
                    </w:rPr>
                    <w:t>dB(A)，夜间5</w:t>
                  </w:r>
                  <w:r>
                    <w:rPr>
                      <w:rFonts w:hint="eastAsia"/>
                      <w:bCs/>
                      <w:kern w:val="0"/>
                      <w:szCs w:val="21"/>
                    </w:rPr>
                    <w:t>0</w:t>
                  </w:r>
                  <w:r>
                    <w:rPr>
                      <w:bCs/>
                      <w:kern w:val="0"/>
                      <w:szCs w:val="21"/>
                    </w:rPr>
                    <w:t>dB(A)</w:t>
                  </w:r>
                </w:p>
              </w:tc>
              <w:tc>
                <w:tcPr>
                  <w:tcW w:w="730" w:type="dxa"/>
                  <w:vMerge w:val="restart"/>
                  <w:vAlign w:val="center"/>
                </w:tcPr>
                <w:p w14:paraId="520ACBC5">
                  <w:pPr>
                    <w:adjustRightInd w:val="0"/>
                    <w:snapToGrid w:val="0"/>
                    <w:jc w:val="center"/>
                    <w:textAlignment w:val="baseline"/>
                    <w:rPr>
                      <w:kern w:val="0"/>
                      <w:szCs w:val="21"/>
                    </w:rPr>
                  </w:pPr>
                  <w:r>
                    <w:rPr>
                      <w:kern w:val="0"/>
                      <w:szCs w:val="21"/>
                    </w:rPr>
                    <w:t>达标</w:t>
                  </w:r>
                </w:p>
              </w:tc>
            </w:tr>
            <w:tr w14:paraId="520ACBCF">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BC7">
                  <w:pPr>
                    <w:adjustRightInd w:val="0"/>
                    <w:snapToGrid w:val="0"/>
                    <w:jc w:val="center"/>
                    <w:textAlignment w:val="baseline"/>
                    <w:rPr>
                      <w:kern w:val="0"/>
                      <w:szCs w:val="21"/>
                    </w:rPr>
                  </w:pPr>
                </w:p>
              </w:tc>
              <w:tc>
                <w:tcPr>
                  <w:tcW w:w="712" w:type="dxa"/>
                  <w:vAlign w:val="center"/>
                </w:tcPr>
                <w:p w14:paraId="520ACBC8">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BC9">
                  <w:pPr>
                    <w:adjustRightInd w:val="0"/>
                    <w:snapToGrid w:val="0"/>
                    <w:jc w:val="center"/>
                    <w:textAlignment w:val="baseline"/>
                    <w:rPr>
                      <w:kern w:val="0"/>
                      <w:szCs w:val="21"/>
                    </w:rPr>
                  </w:pPr>
                  <w:r>
                    <w:rPr>
                      <w:rFonts w:hint="eastAsia"/>
                      <w:kern w:val="0"/>
                      <w:szCs w:val="21"/>
                    </w:rPr>
                    <w:t>4</w:t>
                  </w:r>
                  <w:r>
                    <w:rPr>
                      <w:kern w:val="0"/>
                      <w:szCs w:val="21"/>
                    </w:rPr>
                    <w:t>5</w:t>
                  </w:r>
                </w:p>
              </w:tc>
              <w:tc>
                <w:tcPr>
                  <w:tcW w:w="1212" w:type="dxa"/>
                  <w:vMerge w:val="continue"/>
                  <w:vAlign w:val="center"/>
                </w:tcPr>
                <w:p w14:paraId="520ACBCA">
                  <w:pPr>
                    <w:adjustRightInd w:val="0"/>
                    <w:snapToGrid w:val="0"/>
                    <w:jc w:val="center"/>
                    <w:textAlignment w:val="baseline"/>
                    <w:rPr>
                      <w:kern w:val="0"/>
                      <w:szCs w:val="21"/>
                    </w:rPr>
                  </w:pPr>
                </w:p>
              </w:tc>
              <w:tc>
                <w:tcPr>
                  <w:tcW w:w="851" w:type="dxa"/>
                  <w:vAlign w:val="center"/>
                </w:tcPr>
                <w:p w14:paraId="520ACBCB">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BCC">
                  <w:pPr>
                    <w:adjustRightInd w:val="0"/>
                    <w:snapToGrid w:val="0"/>
                    <w:jc w:val="center"/>
                    <w:textAlignment w:val="baseline"/>
                    <w:rPr>
                      <w:kern w:val="0"/>
                      <w:szCs w:val="21"/>
                    </w:rPr>
                  </w:pPr>
                  <w:r>
                    <w:rPr>
                      <w:rFonts w:hint="eastAsia"/>
                      <w:kern w:val="0"/>
                      <w:szCs w:val="21"/>
                    </w:rPr>
                    <w:t>4</w:t>
                  </w:r>
                  <w:r>
                    <w:rPr>
                      <w:kern w:val="0"/>
                      <w:szCs w:val="21"/>
                    </w:rPr>
                    <w:t>5</w:t>
                  </w:r>
                </w:p>
              </w:tc>
              <w:tc>
                <w:tcPr>
                  <w:tcW w:w="1984" w:type="dxa"/>
                  <w:vMerge w:val="continue"/>
                  <w:vAlign w:val="center"/>
                </w:tcPr>
                <w:p w14:paraId="520ACBCD">
                  <w:pPr>
                    <w:adjustRightInd w:val="0"/>
                    <w:snapToGrid w:val="0"/>
                    <w:jc w:val="center"/>
                    <w:textAlignment w:val="baseline"/>
                    <w:rPr>
                      <w:kern w:val="0"/>
                      <w:szCs w:val="21"/>
                      <w:highlight w:val="yellow"/>
                    </w:rPr>
                  </w:pPr>
                </w:p>
              </w:tc>
              <w:tc>
                <w:tcPr>
                  <w:tcW w:w="730" w:type="dxa"/>
                  <w:vMerge w:val="continue"/>
                  <w:vAlign w:val="center"/>
                </w:tcPr>
                <w:p w14:paraId="520ACBCE">
                  <w:pPr>
                    <w:adjustRightInd w:val="0"/>
                    <w:snapToGrid w:val="0"/>
                    <w:jc w:val="center"/>
                    <w:textAlignment w:val="baseline"/>
                    <w:rPr>
                      <w:kern w:val="0"/>
                      <w:szCs w:val="21"/>
                    </w:rPr>
                  </w:pPr>
                </w:p>
              </w:tc>
            </w:tr>
            <w:tr w14:paraId="520ACBD8">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BD0">
                  <w:pPr>
                    <w:adjustRightInd w:val="0"/>
                    <w:snapToGrid w:val="0"/>
                    <w:jc w:val="center"/>
                    <w:textAlignment w:val="baseline"/>
                    <w:rPr>
                      <w:kern w:val="0"/>
                      <w:szCs w:val="21"/>
                    </w:rPr>
                  </w:pPr>
                  <w:r>
                    <w:rPr>
                      <w:kern w:val="0"/>
                      <w:szCs w:val="21"/>
                    </w:rPr>
                    <w:t>西厂界</w:t>
                  </w:r>
                </w:p>
              </w:tc>
              <w:tc>
                <w:tcPr>
                  <w:tcW w:w="712" w:type="dxa"/>
                  <w:vAlign w:val="center"/>
                </w:tcPr>
                <w:p w14:paraId="520ACBD1">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BD2">
                  <w:pPr>
                    <w:adjustRightInd w:val="0"/>
                    <w:snapToGrid w:val="0"/>
                    <w:jc w:val="center"/>
                    <w:textAlignment w:val="baseline"/>
                    <w:rPr>
                      <w:kern w:val="0"/>
                      <w:szCs w:val="21"/>
                    </w:rPr>
                  </w:pPr>
                  <w:r>
                    <w:rPr>
                      <w:rFonts w:hint="eastAsia"/>
                      <w:kern w:val="0"/>
                      <w:szCs w:val="21"/>
                    </w:rPr>
                    <w:t>5</w:t>
                  </w:r>
                  <w:r>
                    <w:rPr>
                      <w:kern w:val="0"/>
                      <w:szCs w:val="21"/>
                    </w:rPr>
                    <w:t>6</w:t>
                  </w:r>
                </w:p>
              </w:tc>
              <w:tc>
                <w:tcPr>
                  <w:tcW w:w="1212" w:type="dxa"/>
                  <w:vMerge w:val="restart"/>
                  <w:vAlign w:val="center"/>
                </w:tcPr>
                <w:p w14:paraId="520ACBD3">
                  <w:pPr>
                    <w:adjustRightInd w:val="0"/>
                    <w:snapToGrid w:val="0"/>
                    <w:jc w:val="center"/>
                    <w:textAlignment w:val="baseline"/>
                    <w:rPr>
                      <w:kern w:val="0"/>
                      <w:szCs w:val="21"/>
                    </w:rPr>
                  </w:pPr>
                  <w:r>
                    <w:rPr>
                      <w:rFonts w:hint="eastAsia"/>
                      <w:kern w:val="0"/>
                      <w:szCs w:val="21"/>
                    </w:rPr>
                    <w:t>7</w:t>
                  </w:r>
                  <w:r>
                    <w:rPr>
                      <w:kern w:val="0"/>
                      <w:szCs w:val="21"/>
                    </w:rPr>
                    <w:t>.8</w:t>
                  </w:r>
                </w:p>
              </w:tc>
              <w:tc>
                <w:tcPr>
                  <w:tcW w:w="851" w:type="dxa"/>
                  <w:vAlign w:val="center"/>
                </w:tcPr>
                <w:p w14:paraId="520ACBD4">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BD5">
                  <w:pPr>
                    <w:adjustRightInd w:val="0"/>
                    <w:snapToGrid w:val="0"/>
                    <w:jc w:val="center"/>
                    <w:textAlignment w:val="baseline"/>
                    <w:rPr>
                      <w:kern w:val="0"/>
                      <w:szCs w:val="21"/>
                    </w:rPr>
                  </w:pPr>
                  <w:r>
                    <w:rPr>
                      <w:rFonts w:hint="eastAsia"/>
                      <w:kern w:val="0"/>
                      <w:szCs w:val="21"/>
                    </w:rPr>
                    <w:t>5</w:t>
                  </w:r>
                  <w:r>
                    <w:rPr>
                      <w:kern w:val="0"/>
                      <w:szCs w:val="21"/>
                    </w:rPr>
                    <w:t>6</w:t>
                  </w:r>
                </w:p>
              </w:tc>
              <w:tc>
                <w:tcPr>
                  <w:tcW w:w="1984" w:type="dxa"/>
                  <w:vMerge w:val="continue"/>
                  <w:vAlign w:val="center"/>
                </w:tcPr>
                <w:p w14:paraId="520ACBD6">
                  <w:pPr>
                    <w:adjustRightInd w:val="0"/>
                    <w:snapToGrid w:val="0"/>
                    <w:jc w:val="center"/>
                    <w:textAlignment w:val="baseline"/>
                    <w:rPr>
                      <w:kern w:val="0"/>
                      <w:szCs w:val="21"/>
                      <w:highlight w:val="yellow"/>
                    </w:rPr>
                  </w:pPr>
                </w:p>
              </w:tc>
              <w:tc>
                <w:tcPr>
                  <w:tcW w:w="730" w:type="dxa"/>
                  <w:vMerge w:val="restart"/>
                  <w:vAlign w:val="center"/>
                </w:tcPr>
                <w:p w14:paraId="520ACBD7">
                  <w:pPr>
                    <w:adjustRightInd w:val="0"/>
                    <w:snapToGrid w:val="0"/>
                    <w:jc w:val="center"/>
                    <w:textAlignment w:val="baseline"/>
                    <w:rPr>
                      <w:kern w:val="0"/>
                      <w:szCs w:val="21"/>
                    </w:rPr>
                  </w:pPr>
                  <w:r>
                    <w:rPr>
                      <w:kern w:val="0"/>
                      <w:szCs w:val="21"/>
                    </w:rPr>
                    <w:t>达标</w:t>
                  </w:r>
                </w:p>
              </w:tc>
            </w:tr>
            <w:tr w14:paraId="520ACBE1">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BD9">
                  <w:pPr>
                    <w:adjustRightInd w:val="0"/>
                    <w:snapToGrid w:val="0"/>
                    <w:jc w:val="center"/>
                    <w:textAlignment w:val="baseline"/>
                    <w:rPr>
                      <w:kern w:val="0"/>
                      <w:szCs w:val="21"/>
                    </w:rPr>
                  </w:pPr>
                </w:p>
              </w:tc>
              <w:tc>
                <w:tcPr>
                  <w:tcW w:w="712" w:type="dxa"/>
                  <w:vAlign w:val="center"/>
                </w:tcPr>
                <w:p w14:paraId="520ACBDA">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BDB">
                  <w:pPr>
                    <w:adjustRightInd w:val="0"/>
                    <w:snapToGrid w:val="0"/>
                    <w:jc w:val="center"/>
                    <w:textAlignment w:val="baseline"/>
                    <w:rPr>
                      <w:kern w:val="0"/>
                      <w:szCs w:val="21"/>
                    </w:rPr>
                  </w:pPr>
                  <w:r>
                    <w:rPr>
                      <w:rFonts w:hint="eastAsia"/>
                      <w:kern w:val="0"/>
                      <w:szCs w:val="21"/>
                    </w:rPr>
                    <w:t>4</w:t>
                  </w:r>
                  <w:r>
                    <w:rPr>
                      <w:kern w:val="0"/>
                      <w:szCs w:val="21"/>
                    </w:rPr>
                    <w:t>7</w:t>
                  </w:r>
                </w:p>
              </w:tc>
              <w:tc>
                <w:tcPr>
                  <w:tcW w:w="1212" w:type="dxa"/>
                  <w:vMerge w:val="continue"/>
                  <w:vAlign w:val="center"/>
                </w:tcPr>
                <w:p w14:paraId="520ACBDC">
                  <w:pPr>
                    <w:adjustRightInd w:val="0"/>
                    <w:snapToGrid w:val="0"/>
                    <w:jc w:val="center"/>
                    <w:textAlignment w:val="baseline"/>
                    <w:rPr>
                      <w:kern w:val="0"/>
                      <w:szCs w:val="21"/>
                    </w:rPr>
                  </w:pPr>
                </w:p>
              </w:tc>
              <w:tc>
                <w:tcPr>
                  <w:tcW w:w="851" w:type="dxa"/>
                  <w:vAlign w:val="center"/>
                </w:tcPr>
                <w:p w14:paraId="520ACBDD">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BDE">
                  <w:pPr>
                    <w:adjustRightInd w:val="0"/>
                    <w:snapToGrid w:val="0"/>
                    <w:jc w:val="center"/>
                    <w:textAlignment w:val="baseline"/>
                    <w:rPr>
                      <w:kern w:val="0"/>
                      <w:szCs w:val="21"/>
                    </w:rPr>
                  </w:pPr>
                  <w:r>
                    <w:rPr>
                      <w:rFonts w:hint="eastAsia"/>
                      <w:kern w:val="0"/>
                      <w:szCs w:val="21"/>
                    </w:rPr>
                    <w:t>4</w:t>
                  </w:r>
                  <w:r>
                    <w:rPr>
                      <w:kern w:val="0"/>
                      <w:szCs w:val="21"/>
                    </w:rPr>
                    <w:t>7</w:t>
                  </w:r>
                </w:p>
              </w:tc>
              <w:tc>
                <w:tcPr>
                  <w:tcW w:w="1984" w:type="dxa"/>
                  <w:vMerge w:val="continue"/>
                  <w:vAlign w:val="center"/>
                </w:tcPr>
                <w:p w14:paraId="520ACBDF">
                  <w:pPr>
                    <w:adjustRightInd w:val="0"/>
                    <w:snapToGrid w:val="0"/>
                    <w:jc w:val="center"/>
                    <w:textAlignment w:val="baseline"/>
                    <w:rPr>
                      <w:kern w:val="0"/>
                      <w:szCs w:val="21"/>
                      <w:highlight w:val="yellow"/>
                    </w:rPr>
                  </w:pPr>
                </w:p>
              </w:tc>
              <w:tc>
                <w:tcPr>
                  <w:tcW w:w="730" w:type="dxa"/>
                  <w:vMerge w:val="continue"/>
                  <w:vAlign w:val="center"/>
                </w:tcPr>
                <w:p w14:paraId="520ACBE0">
                  <w:pPr>
                    <w:adjustRightInd w:val="0"/>
                    <w:snapToGrid w:val="0"/>
                    <w:jc w:val="center"/>
                    <w:textAlignment w:val="baseline"/>
                    <w:rPr>
                      <w:kern w:val="0"/>
                      <w:szCs w:val="21"/>
                    </w:rPr>
                  </w:pPr>
                </w:p>
              </w:tc>
            </w:tr>
            <w:tr w14:paraId="520ACBEA">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BE2">
                  <w:pPr>
                    <w:adjustRightInd w:val="0"/>
                    <w:snapToGrid w:val="0"/>
                    <w:jc w:val="center"/>
                    <w:textAlignment w:val="baseline"/>
                    <w:rPr>
                      <w:kern w:val="0"/>
                      <w:szCs w:val="21"/>
                    </w:rPr>
                  </w:pPr>
                  <w:r>
                    <w:rPr>
                      <w:kern w:val="0"/>
                      <w:szCs w:val="21"/>
                    </w:rPr>
                    <w:t>南厂界</w:t>
                  </w:r>
                </w:p>
              </w:tc>
              <w:tc>
                <w:tcPr>
                  <w:tcW w:w="712" w:type="dxa"/>
                  <w:vAlign w:val="center"/>
                </w:tcPr>
                <w:p w14:paraId="520ACBE3">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BE4">
                  <w:pPr>
                    <w:adjustRightInd w:val="0"/>
                    <w:snapToGrid w:val="0"/>
                    <w:jc w:val="center"/>
                    <w:textAlignment w:val="baseline"/>
                    <w:rPr>
                      <w:kern w:val="0"/>
                      <w:szCs w:val="21"/>
                    </w:rPr>
                  </w:pPr>
                  <w:r>
                    <w:rPr>
                      <w:rFonts w:hint="eastAsia"/>
                      <w:kern w:val="0"/>
                      <w:szCs w:val="21"/>
                    </w:rPr>
                    <w:t>5</w:t>
                  </w:r>
                  <w:r>
                    <w:rPr>
                      <w:kern w:val="0"/>
                      <w:szCs w:val="21"/>
                    </w:rPr>
                    <w:t>6</w:t>
                  </w:r>
                </w:p>
              </w:tc>
              <w:tc>
                <w:tcPr>
                  <w:tcW w:w="1212" w:type="dxa"/>
                  <w:vMerge w:val="restart"/>
                  <w:vAlign w:val="center"/>
                </w:tcPr>
                <w:p w14:paraId="520ACBE5">
                  <w:pPr>
                    <w:adjustRightInd w:val="0"/>
                    <w:snapToGrid w:val="0"/>
                    <w:jc w:val="center"/>
                    <w:textAlignment w:val="baseline"/>
                    <w:rPr>
                      <w:kern w:val="0"/>
                      <w:szCs w:val="21"/>
                    </w:rPr>
                  </w:pPr>
                  <w:r>
                    <w:rPr>
                      <w:rFonts w:hint="eastAsia"/>
                      <w:kern w:val="0"/>
                      <w:szCs w:val="21"/>
                    </w:rPr>
                    <w:t>0</w:t>
                  </w:r>
                  <w:r>
                    <w:rPr>
                      <w:kern w:val="0"/>
                      <w:szCs w:val="21"/>
                    </w:rPr>
                    <w:t>.9</w:t>
                  </w:r>
                </w:p>
              </w:tc>
              <w:tc>
                <w:tcPr>
                  <w:tcW w:w="851" w:type="dxa"/>
                  <w:vAlign w:val="center"/>
                </w:tcPr>
                <w:p w14:paraId="520ACBE6">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BE7">
                  <w:pPr>
                    <w:adjustRightInd w:val="0"/>
                    <w:snapToGrid w:val="0"/>
                    <w:jc w:val="center"/>
                    <w:textAlignment w:val="baseline"/>
                    <w:rPr>
                      <w:kern w:val="0"/>
                      <w:szCs w:val="21"/>
                    </w:rPr>
                  </w:pPr>
                  <w:r>
                    <w:rPr>
                      <w:rFonts w:hint="eastAsia"/>
                      <w:kern w:val="0"/>
                      <w:szCs w:val="21"/>
                    </w:rPr>
                    <w:t>5</w:t>
                  </w:r>
                  <w:r>
                    <w:rPr>
                      <w:kern w:val="0"/>
                      <w:szCs w:val="21"/>
                    </w:rPr>
                    <w:t>6</w:t>
                  </w:r>
                </w:p>
              </w:tc>
              <w:tc>
                <w:tcPr>
                  <w:tcW w:w="1984" w:type="dxa"/>
                  <w:vMerge w:val="continue"/>
                  <w:vAlign w:val="center"/>
                </w:tcPr>
                <w:p w14:paraId="520ACBE8">
                  <w:pPr>
                    <w:adjustRightInd w:val="0"/>
                    <w:snapToGrid w:val="0"/>
                    <w:jc w:val="center"/>
                    <w:textAlignment w:val="baseline"/>
                    <w:rPr>
                      <w:kern w:val="0"/>
                      <w:szCs w:val="21"/>
                      <w:highlight w:val="yellow"/>
                    </w:rPr>
                  </w:pPr>
                </w:p>
              </w:tc>
              <w:tc>
                <w:tcPr>
                  <w:tcW w:w="730" w:type="dxa"/>
                  <w:vMerge w:val="restart"/>
                  <w:vAlign w:val="center"/>
                </w:tcPr>
                <w:p w14:paraId="520ACBE9">
                  <w:pPr>
                    <w:adjustRightInd w:val="0"/>
                    <w:snapToGrid w:val="0"/>
                    <w:jc w:val="center"/>
                    <w:textAlignment w:val="baseline"/>
                    <w:rPr>
                      <w:kern w:val="0"/>
                      <w:szCs w:val="21"/>
                    </w:rPr>
                  </w:pPr>
                  <w:r>
                    <w:rPr>
                      <w:kern w:val="0"/>
                      <w:szCs w:val="21"/>
                    </w:rPr>
                    <w:t>达标</w:t>
                  </w:r>
                </w:p>
              </w:tc>
            </w:tr>
            <w:tr w14:paraId="520ACBF3">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BEB">
                  <w:pPr>
                    <w:adjustRightInd w:val="0"/>
                    <w:snapToGrid w:val="0"/>
                    <w:jc w:val="center"/>
                    <w:textAlignment w:val="baseline"/>
                    <w:rPr>
                      <w:kern w:val="0"/>
                      <w:szCs w:val="21"/>
                    </w:rPr>
                  </w:pPr>
                </w:p>
              </w:tc>
              <w:tc>
                <w:tcPr>
                  <w:tcW w:w="712" w:type="dxa"/>
                  <w:vAlign w:val="center"/>
                </w:tcPr>
                <w:p w14:paraId="520ACBEC">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BED">
                  <w:pPr>
                    <w:adjustRightInd w:val="0"/>
                    <w:snapToGrid w:val="0"/>
                    <w:jc w:val="center"/>
                    <w:textAlignment w:val="baseline"/>
                    <w:rPr>
                      <w:kern w:val="0"/>
                      <w:szCs w:val="21"/>
                    </w:rPr>
                  </w:pPr>
                  <w:r>
                    <w:rPr>
                      <w:rFonts w:hint="eastAsia"/>
                      <w:kern w:val="0"/>
                      <w:szCs w:val="21"/>
                    </w:rPr>
                    <w:t>4</w:t>
                  </w:r>
                  <w:r>
                    <w:rPr>
                      <w:kern w:val="0"/>
                      <w:szCs w:val="21"/>
                    </w:rPr>
                    <w:t>8</w:t>
                  </w:r>
                </w:p>
              </w:tc>
              <w:tc>
                <w:tcPr>
                  <w:tcW w:w="1212" w:type="dxa"/>
                  <w:vMerge w:val="continue"/>
                  <w:vAlign w:val="center"/>
                </w:tcPr>
                <w:p w14:paraId="520ACBEE">
                  <w:pPr>
                    <w:adjustRightInd w:val="0"/>
                    <w:snapToGrid w:val="0"/>
                    <w:jc w:val="center"/>
                    <w:textAlignment w:val="baseline"/>
                    <w:rPr>
                      <w:kern w:val="0"/>
                      <w:szCs w:val="21"/>
                    </w:rPr>
                  </w:pPr>
                </w:p>
              </w:tc>
              <w:tc>
                <w:tcPr>
                  <w:tcW w:w="851" w:type="dxa"/>
                  <w:vAlign w:val="center"/>
                </w:tcPr>
                <w:p w14:paraId="520ACBEF">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BF0">
                  <w:pPr>
                    <w:adjustRightInd w:val="0"/>
                    <w:snapToGrid w:val="0"/>
                    <w:jc w:val="center"/>
                    <w:textAlignment w:val="baseline"/>
                    <w:rPr>
                      <w:kern w:val="0"/>
                      <w:szCs w:val="21"/>
                    </w:rPr>
                  </w:pPr>
                  <w:r>
                    <w:rPr>
                      <w:rFonts w:hint="eastAsia"/>
                      <w:kern w:val="0"/>
                      <w:szCs w:val="21"/>
                    </w:rPr>
                    <w:t>4</w:t>
                  </w:r>
                  <w:r>
                    <w:rPr>
                      <w:kern w:val="0"/>
                      <w:szCs w:val="21"/>
                    </w:rPr>
                    <w:t>8</w:t>
                  </w:r>
                </w:p>
              </w:tc>
              <w:tc>
                <w:tcPr>
                  <w:tcW w:w="1984" w:type="dxa"/>
                  <w:vMerge w:val="continue"/>
                  <w:vAlign w:val="center"/>
                </w:tcPr>
                <w:p w14:paraId="520ACBF1">
                  <w:pPr>
                    <w:adjustRightInd w:val="0"/>
                    <w:snapToGrid w:val="0"/>
                    <w:jc w:val="center"/>
                    <w:textAlignment w:val="baseline"/>
                    <w:rPr>
                      <w:kern w:val="0"/>
                      <w:szCs w:val="21"/>
                      <w:highlight w:val="yellow"/>
                    </w:rPr>
                  </w:pPr>
                </w:p>
              </w:tc>
              <w:tc>
                <w:tcPr>
                  <w:tcW w:w="730" w:type="dxa"/>
                  <w:vMerge w:val="continue"/>
                  <w:vAlign w:val="center"/>
                </w:tcPr>
                <w:p w14:paraId="520ACBF2">
                  <w:pPr>
                    <w:adjustRightInd w:val="0"/>
                    <w:snapToGrid w:val="0"/>
                    <w:jc w:val="center"/>
                    <w:textAlignment w:val="baseline"/>
                    <w:rPr>
                      <w:kern w:val="0"/>
                      <w:szCs w:val="21"/>
                    </w:rPr>
                  </w:pPr>
                </w:p>
              </w:tc>
            </w:tr>
            <w:tr w14:paraId="520ACBFC">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BF4">
                  <w:pPr>
                    <w:adjustRightInd w:val="0"/>
                    <w:snapToGrid w:val="0"/>
                    <w:jc w:val="center"/>
                    <w:textAlignment w:val="baseline"/>
                    <w:rPr>
                      <w:kern w:val="0"/>
                      <w:szCs w:val="21"/>
                    </w:rPr>
                  </w:pPr>
                  <w:r>
                    <w:rPr>
                      <w:kern w:val="0"/>
                      <w:szCs w:val="21"/>
                    </w:rPr>
                    <w:t>北厂界</w:t>
                  </w:r>
                </w:p>
              </w:tc>
              <w:tc>
                <w:tcPr>
                  <w:tcW w:w="712" w:type="dxa"/>
                  <w:vAlign w:val="center"/>
                </w:tcPr>
                <w:p w14:paraId="520ACBF5">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BF6">
                  <w:pPr>
                    <w:adjustRightInd w:val="0"/>
                    <w:snapToGrid w:val="0"/>
                    <w:jc w:val="center"/>
                    <w:textAlignment w:val="baseline"/>
                    <w:rPr>
                      <w:kern w:val="0"/>
                      <w:szCs w:val="21"/>
                    </w:rPr>
                  </w:pPr>
                  <w:r>
                    <w:rPr>
                      <w:rFonts w:hint="eastAsia"/>
                      <w:kern w:val="0"/>
                      <w:szCs w:val="21"/>
                    </w:rPr>
                    <w:t>5</w:t>
                  </w:r>
                  <w:r>
                    <w:rPr>
                      <w:kern w:val="0"/>
                      <w:szCs w:val="21"/>
                    </w:rPr>
                    <w:t>3</w:t>
                  </w:r>
                </w:p>
              </w:tc>
              <w:tc>
                <w:tcPr>
                  <w:tcW w:w="1212" w:type="dxa"/>
                  <w:vMerge w:val="restart"/>
                  <w:vAlign w:val="center"/>
                </w:tcPr>
                <w:p w14:paraId="520ACBF7">
                  <w:pPr>
                    <w:adjustRightInd w:val="0"/>
                    <w:snapToGrid w:val="0"/>
                    <w:jc w:val="center"/>
                    <w:textAlignment w:val="baseline"/>
                    <w:rPr>
                      <w:kern w:val="0"/>
                      <w:szCs w:val="21"/>
                    </w:rPr>
                  </w:pPr>
                  <w:r>
                    <w:rPr>
                      <w:rFonts w:hint="eastAsia"/>
                      <w:kern w:val="0"/>
                      <w:szCs w:val="21"/>
                    </w:rPr>
                    <w:t>0</w:t>
                  </w:r>
                </w:p>
              </w:tc>
              <w:tc>
                <w:tcPr>
                  <w:tcW w:w="851" w:type="dxa"/>
                  <w:vAlign w:val="center"/>
                </w:tcPr>
                <w:p w14:paraId="520ACBF8">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BF9">
                  <w:pPr>
                    <w:adjustRightInd w:val="0"/>
                    <w:snapToGrid w:val="0"/>
                    <w:jc w:val="center"/>
                    <w:textAlignment w:val="baseline"/>
                    <w:rPr>
                      <w:kern w:val="0"/>
                      <w:szCs w:val="21"/>
                    </w:rPr>
                  </w:pPr>
                  <w:r>
                    <w:rPr>
                      <w:rFonts w:hint="eastAsia"/>
                      <w:kern w:val="0"/>
                      <w:szCs w:val="21"/>
                    </w:rPr>
                    <w:t>5</w:t>
                  </w:r>
                  <w:r>
                    <w:rPr>
                      <w:kern w:val="0"/>
                      <w:szCs w:val="21"/>
                    </w:rPr>
                    <w:t>3</w:t>
                  </w:r>
                </w:p>
              </w:tc>
              <w:tc>
                <w:tcPr>
                  <w:tcW w:w="1984" w:type="dxa"/>
                  <w:vMerge w:val="continue"/>
                  <w:vAlign w:val="center"/>
                </w:tcPr>
                <w:p w14:paraId="520ACBFA">
                  <w:pPr>
                    <w:adjustRightInd w:val="0"/>
                    <w:snapToGrid w:val="0"/>
                    <w:jc w:val="center"/>
                    <w:textAlignment w:val="baseline"/>
                    <w:rPr>
                      <w:kern w:val="0"/>
                      <w:szCs w:val="21"/>
                      <w:highlight w:val="yellow"/>
                    </w:rPr>
                  </w:pPr>
                </w:p>
              </w:tc>
              <w:tc>
                <w:tcPr>
                  <w:tcW w:w="730" w:type="dxa"/>
                  <w:vMerge w:val="restart"/>
                  <w:vAlign w:val="center"/>
                </w:tcPr>
                <w:p w14:paraId="520ACBFB">
                  <w:pPr>
                    <w:adjustRightInd w:val="0"/>
                    <w:snapToGrid w:val="0"/>
                    <w:jc w:val="center"/>
                    <w:textAlignment w:val="baseline"/>
                    <w:rPr>
                      <w:kern w:val="0"/>
                      <w:szCs w:val="21"/>
                    </w:rPr>
                  </w:pPr>
                  <w:r>
                    <w:rPr>
                      <w:kern w:val="0"/>
                      <w:szCs w:val="21"/>
                    </w:rPr>
                    <w:t>达标</w:t>
                  </w:r>
                </w:p>
              </w:tc>
            </w:tr>
            <w:tr w14:paraId="520ACC05">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BFD">
                  <w:pPr>
                    <w:adjustRightInd w:val="0"/>
                    <w:snapToGrid w:val="0"/>
                    <w:jc w:val="center"/>
                    <w:textAlignment w:val="baseline"/>
                    <w:rPr>
                      <w:kern w:val="0"/>
                      <w:szCs w:val="21"/>
                    </w:rPr>
                  </w:pPr>
                </w:p>
              </w:tc>
              <w:tc>
                <w:tcPr>
                  <w:tcW w:w="712" w:type="dxa"/>
                  <w:vAlign w:val="center"/>
                </w:tcPr>
                <w:p w14:paraId="520ACBFE">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BFF">
                  <w:pPr>
                    <w:adjustRightInd w:val="0"/>
                    <w:snapToGrid w:val="0"/>
                    <w:jc w:val="center"/>
                    <w:textAlignment w:val="baseline"/>
                    <w:rPr>
                      <w:kern w:val="0"/>
                      <w:szCs w:val="21"/>
                    </w:rPr>
                  </w:pPr>
                  <w:r>
                    <w:rPr>
                      <w:rFonts w:hint="eastAsia"/>
                      <w:kern w:val="0"/>
                      <w:szCs w:val="21"/>
                    </w:rPr>
                    <w:t>4</w:t>
                  </w:r>
                  <w:r>
                    <w:rPr>
                      <w:kern w:val="0"/>
                      <w:szCs w:val="21"/>
                    </w:rPr>
                    <w:t>4</w:t>
                  </w:r>
                </w:p>
              </w:tc>
              <w:tc>
                <w:tcPr>
                  <w:tcW w:w="1212" w:type="dxa"/>
                  <w:vMerge w:val="continue"/>
                  <w:vAlign w:val="center"/>
                </w:tcPr>
                <w:p w14:paraId="520ACC00">
                  <w:pPr>
                    <w:adjustRightInd w:val="0"/>
                    <w:snapToGrid w:val="0"/>
                    <w:jc w:val="center"/>
                    <w:textAlignment w:val="baseline"/>
                    <w:rPr>
                      <w:kern w:val="0"/>
                      <w:szCs w:val="21"/>
                      <w:highlight w:val="yellow"/>
                    </w:rPr>
                  </w:pPr>
                </w:p>
              </w:tc>
              <w:tc>
                <w:tcPr>
                  <w:tcW w:w="851" w:type="dxa"/>
                  <w:vAlign w:val="center"/>
                </w:tcPr>
                <w:p w14:paraId="520ACC01">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C02">
                  <w:pPr>
                    <w:adjustRightInd w:val="0"/>
                    <w:snapToGrid w:val="0"/>
                    <w:jc w:val="center"/>
                    <w:textAlignment w:val="baseline"/>
                    <w:rPr>
                      <w:kern w:val="0"/>
                      <w:szCs w:val="21"/>
                    </w:rPr>
                  </w:pPr>
                  <w:r>
                    <w:rPr>
                      <w:rFonts w:hint="eastAsia"/>
                      <w:kern w:val="0"/>
                      <w:szCs w:val="21"/>
                    </w:rPr>
                    <w:t>4</w:t>
                  </w:r>
                  <w:r>
                    <w:rPr>
                      <w:kern w:val="0"/>
                      <w:szCs w:val="21"/>
                    </w:rPr>
                    <w:t>4</w:t>
                  </w:r>
                </w:p>
              </w:tc>
              <w:tc>
                <w:tcPr>
                  <w:tcW w:w="1984" w:type="dxa"/>
                  <w:vMerge w:val="continue"/>
                  <w:vAlign w:val="center"/>
                </w:tcPr>
                <w:p w14:paraId="520ACC03">
                  <w:pPr>
                    <w:widowControl/>
                    <w:adjustRightInd w:val="0"/>
                    <w:snapToGrid w:val="0"/>
                    <w:jc w:val="center"/>
                    <w:textAlignment w:val="baseline"/>
                    <w:rPr>
                      <w:szCs w:val="21"/>
                      <w:highlight w:val="yellow"/>
                    </w:rPr>
                  </w:pPr>
                </w:p>
              </w:tc>
              <w:tc>
                <w:tcPr>
                  <w:tcW w:w="730" w:type="dxa"/>
                  <w:vMerge w:val="continue"/>
                  <w:vAlign w:val="center"/>
                </w:tcPr>
                <w:p w14:paraId="520ACC04">
                  <w:pPr>
                    <w:widowControl/>
                    <w:adjustRightInd w:val="0"/>
                    <w:snapToGrid w:val="0"/>
                    <w:jc w:val="center"/>
                    <w:textAlignment w:val="baseline"/>
                    <w:rPr>
                      <w:szCs w:val="21"/>
                      <w:highlight w:val="yellow"/>
                    </w:rPr>
                  </w:pPr>
                </w:p>
              </w:tc>
            </w:tr>
            <w:tr w14:paraId="520ACC0E">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C06">
                  <w:pPr>
                    <w:adjustRightInd w:val="0"/>
                    <w:snapToGrid w:val="0"/>
                    <w:jc w:val="center"/>
                    <w:textAlignment w:val="baseline"/>
                    <w:rPr>
                      <w:kern w:val="0"/>
                      <w:szCs w:val="21"/>
                    </w:rPr>
                  </w:pPr>
                  <w:r>
                    <w:rPr>
                      <w:kern w:val="0"/>
                      <w:szCs w:val="21"/>
                    </w:rPr>
                    <w:t>新乡市第一实验学校</w:t>
                  </w:r>
                </w:p>
              </w:tc>
              <w:tc>
                <w:tcPr>
                  <w:tcW w:w="712" w:type="dxa"/>
                  <w:vAlign w:val="center"/>
                </w:tcPr>
                <w:p w14:paraId="520ACC07">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C08">
                  <w:pPr>
                    <w:adjustRightInd w:val="0"/>
                    <w:snapToGrid w:val="0"/>
                    <w:jc w:val="center"/>
                    <w:textAlignment w:val="baseline"/>
                    <w:rPr>
                      <w:kern w:val="0"/>
                      <w:szCs w:val="21"/>
                    </w:rPr>
                  </w:pPr>
                  <w:r>
                    <w:rPr>
                      <w:rFonts w:hint="eastAsia"/>
                      <w:kern w:val="0"/>
                      <w:szCs w:val="21"/>
                    </w:rPr>
                    <w:t>5</w:t>
                  </w:r>
                  <w:r>
                    <w:rPr>
                      <w:kern w:val="0"/>
                      <w:szCs w:val="21"/>
                    </w:rPr>
                    <w:t>2</w:t>
                  </w:r>
                </w:p>
              </w:tc>
              <w:tc>
                <w:tcPr>
                  <w:tcW w:w="1212" w:type="dxa"/>
                  <w:vMerge w:val="restart"/>
                  <w:vAlign w:val="center"/>
                </w:tcPr>
                <w:p w14:paraId="520ACC09">
                  <w:pPr>
                    <w:adjustRightInd w:val="0"/>
                    <w:snapToGrid w:val="0"/>
                    <w:jc w:val="center"/>
                    <w:textAlignment w:val="baseline"/>
                    <w:rPr>
                      <w:kern w:val="0"/>
                      <w:szCs w:val="21"/>
                    </w:rPr>
                  </w:pPr>
                  <w:r>
                    <w:rPr>
                      <w:rFonts w:hint="eastAsia"/>
                      <w:kern w:val="0"/>
                      <w:szCs w:val="21"/>
                    </w:rPr>
                    <w:t>0</w:t>
                  </w:r>
                </w:p>
              </w:tc>
              <w:tc>
                <w:tcPr>
                  <w:tcW w:w="851" w:type="dxa"/>
                  <w:vAlign w:val="center"/>
                </w:tcPr>
                <w:p w14:paraId="520ACC0A">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C0B">
                  <w:pPr>
                    <w:adjustRightInd w:val="0"/>
                    <w:snapToGrid w:val="0"/>
                    <w:jc w:val="center"/>
                    <w:textAlignment w:val="baseline"/>
                    <w:rPr>
                      <w:kern w:val="0"/>
                      <w:szCs w:val="21"/>
                    </w:rPr>
                  </w:pPr>
                  <w:r>
                    <w:rPr>
                      <w:rFonts w:hint="eastAsia"/>
                      <w:kern w:val="0"/>
                      <w:szCs w:val="21"/>
                    </w:rPr>
                    <w:t>5</w:t>
                  </w:r>
                  <w:r>
                    <w:rPr>
                      <w:kern w:val="0"/>
                      <w:szCs w:val="21"/>
                    </w:rPr>
                    <w:t>2</w:t>
                  </w:r>
                </w:p>
              </w:tc>
              <w:tc>
                <w:tcPr>
                  <w:tcW w:w="1984" w:type="dxa"/>
                  <w:vMerge w:val="restart"/>
                  <w:vAlign w:val="center"/>
                </w:tcPr>
                <w:p w14:paraId="520ACC0C">
                  <w:pPr>
                    <w:widowControl/>
                    <w:adjustRightInd w:val="0"/>
                    <w:snapToGrid w:val="0"/>
                    <w:jc w:val="center"/>
                    <w:textAlignment w:val="baseline"/>
                    <w:rPr>
                      <w:szCs w:val="21"/>
                    </w:rPr>
                  </w:pPr>
                  <w:r>
                    <w:rPr>
                      <w:rFonts w:hint="eastAsia"/>
                      <w:kern w:val="0"/>
                      <w:szCs w:val="21"/>
                    </w:rPr>
                    <w:t>《声环境质量标准》（</w:t>
                  </w:r>
                  <w:r>
                    <w:rPr>
                      <w:kern w:val="0"/>
                      <w:szCs w:val="21"/>
                    </w:rPr>
                    <w:t>GB3096</w:t>
                  </w:r>
                  <w:r>
                    <w:rPr>
                      <w:rFonts w:hint="eastAsia"/>
                      <w:kern w:val="0"/>
                      <w:szCs w:val="21"/>
                    </w:rPr>
                    <w:t>-2008）1类</w:t>
                  </w:r>
                  <w:r>
                    <w:rPr>
                      <w:kern w:val="0"/>
                      <w:szCs w:val="21"/>
                    </w:rPr>
                    <w:t>：昼间</w:t>
                  </w:r>
                  <w:r>
                    <w:rPr>
                      <w:rFonts w:hint="eastAsia"/>
                      <w:kern w:val="0"/>
                      <w:szCs w:val="21"/>
                    </w:rPr>
                    <w:t>55</w:t>
                  </w:r>
                  <w:r>
                    <w:rPr>
                      <w:kern w:val="0"/>
                      <w:szCs w:val="21"/>
                    </w:rPr>
                    <w:t>dB(A)，夜间</w:t>
                  </w:r>
                  <w:r>
                    <w:rPr>
                      <w:rFonts w:hint="eastAsia"/>
                      <w:kern w:val="0"/>
                      <w:szCs w:val="21"/>
                    </w:rPr>
                    <w:t>45</w:t>
                  </w:r>
                  <w:r>
                    <w:rPr>
                      <w:kern w:val="0"/>
                      <w:szCs w:val="21"/>
                    </w:rPr>
                    <w:t>dB(A)</w:t>
                  </w:r>
                </w:p>
              </w:tc>
              <w:tc>
                <w:tcPr>
                  <w:tcW w:w="730" w:type="dxa"/>
                  <w:vAlign w:val="center"/>
                </w:tcPr>
                <w:p w14:paraId="520ACC0D">
                  <w:pPr>
                    <w:widowControl/>
                    <w:adjustRightInd w:val="0"/>
                    <w:snapToGrid w:val="0"/>
                    <w:jc w:val="center"/>
                    <w:textAlignment w:val="baseline"/>
                    <w:rPr>
                      <w:szCs w:val="21"/>
                    </w:rPr>
                  </w:pPr>
                  <w:r>
                    <w:rPr>
                      <w:kern w:val="0"/>
                      <w:szCs w:val="21"/>
                    </w:rPr>
                    <w:t>达标</w:t>
                  </w:r>
                </w:p>
              </w:tc>
            </w:tr>
            <w:tr w14:paraId="520ACC17">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C0F">
                  <w:pPr>
                    <w:adjustRightInd w:val="0"/>
                    <w:snapToGrid w:val="0"/>
                    <w:jc w:val="center"/>
                    <w:textAlignment w:val="baseline"/>
                    <w:rPr>
                      <w:kern w:val="0"/>
                      <w:szCs w:val="21"/>
                    </w:rPr>
                  </w:pPr>
                </w:p>
              </w:tc>
              <w:tc>
                <w:tcPr>
                  <w:tcW w:w="712" w:type="dxa"/>
                  <w:vAlign w:val="center"/>
                </w:tcPr>
                <w:p w14:paraId="520ACC10">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C11">
                  <w:pPr>
                    <w:adjustRightInd w:val="0"/>
                    <w:snapToGrid w:val="0"/>
                    <w:jc w:val="center"/>
                    <w:textAlignment w:val="baseline"/>
                    <w:rPr>
                      <w:kern w:val="0"/>
                      <w:szCs w:val="21"/>
                    </w:rPr>
                  </w:pPr>
                  <w:r>
                    <w:rPr>
                      <w:rFonts w:hint="eastAsia"/>
                      <w:kern w:val="0"/>
                      <w:szCs w:val="21"/>
                    </w:rPr>
                    <w:t>39</w:t>
                  </w:r>
                </w:p>
              </w:tc>
              <w:tc>
                <w:tcPr>
                  <w:tcW w:w="1212" w:type="dxa"/>
                  <w:vMerge w:val="continue"/>
                  <w:vAlign w:val="center"/>
                </w:tcPr>
                <w:p w14:paraId="520ACC12">
                  <w:pPr>
                    <w:adjustRightInd w:val="0"/>
                    <w:snapToGrid w:val="0"/>
                    <w:jc w:val="center"/>
                    <w:textAlignment w:val="baseline"/>
                    <w:rPr>
                      <w:kern w:val="0"/>
                      <w:szCs w:val="21"/>
                    </w:rPr>
                  </w:pPr>
                </w:p>
              </w:tc>
              <w:tc>
                <w:tcPr>
                  <w:tcW w:w="851" w:type="dxa"/>
                  <w:vAlign w:val="center"/>
                </w:tcPr>
                <w:p w14:paraId="520ACC13">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C14">
                  <w:pPr>
                    <w:adjustRightInd w:val="0"/>
                    <w:snapToGrid w:val="0"/>
                    <w:jc w:val="center"/>
                    <w:textAlignment w:val="baseline"/>
                    <w:rPr>
                      <w:kern w:val="0"/>
                      <w:szCs w:val="21"/>
                    </w:rPr>
                  </w:pPr>
                  <w:r>
                    <w:rPr>
                      <w:rFonts w:hint="eastAsia"/>
                      <w:kern w:val="0"/>
                      <w:szCs w:val="21"/>
                    </w:rPr>
                    <w:t>39</w:t>
                  </w:r>
                </w:p>
              </w:tc>
              <w:tc>
                <w:tcPr>
                  <w:tcW w:w="1984" w:type="dxa"/>
                  <w:vMerge w:val="continue"/>
                  <w:vAlign w:val="center"/>
                </w:tcPr>
                <w:p w14:paraId="520ACC15">
                  <w:pPr>
                    <w:widowControl/>
                    <w:adjustRightInd w:val="0"/>
                    <w:snapToGrid w:val="0"/>
                    <w:jc w:val="center"/>
                    <w:textAlignment w:val="baseline"/>
                    <w:rPr>
                      <w:szCs w:val="21"/>
                    </w:rPr>
                  </w:pPr>
                </w:p>
              </w:tc>
              <w:tc>
                <w:tcPr>
                  <w:tcW w:w="730" w:type="dxa"/>
                  <w:vAlign w:val="center"/>
                </w:tcPr>
                <w:p w14:paraId="520ACC16">
                  <w:pPr>
                    <w:widowControl/>
                    <w:adjustRightInd w:val="0"/>
                    <w:snapToGrid w:val="0"/>
                    <w:jc w:val="center"/>
                    <w:textAlignment w:val="baseline"/>
                    <w:rPr>
                      <w:szCs w:val="21"/>
                    </w:rPr>
                  </w:pPr>
                  <w:r>
                    <w:rPr>
                      <w:rFonts w:hint="eastAsia"/>
                      <w:szCs w:val="21"/>
                    </w:rPr>
                    <w:t>达标</w:t>
                  </w:r>
                </w:p>
              </w:tc>
            </w:tr>
            <w:tr w14:paraId="520ACC20">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C18">
                  <w:pPr>
                    <w:adjustRightInd w:val="0"/>
                    <w:snapToGrid w:val="0"/>
                    <w:jc w:val="center"/>
                    <w:textAlignment w:val="baseline"/>
                    <w:rPr>
                      <w:b/>
                      <w:kern w:val="0"/>
                      <w:szCs w:val="21"/>
                      <w:u w:val="single"/>
                    </w:rPr>
                  </w:pPr>
                  <w:r>
                    <w:rPr>
                      <w:szCs w:val="21"/>
                    </w:rPr>
                    <w:t>坛后新村</w:t>
                  </w:r>
                  <w:r>
                    <w:rPr>
                      <w:rFonts w:hint="eastAsia" w:ascii="宋体" w:hAnsi="宋体"/>
                      <w:kern w:val="0"/>
                      <w:szCs w:val="21"/>
                      <w:vertAlign w:val="superscript"/>
                    </w:rPr>
                    <w:t>①</w:t>
                  </w:r>
                </w:p>
              </w:tc>
              <w:tc>
                <w:tcPr>
                  <w:tcW w:w="712" w:type="dxa"/>
                  <w:vAlign w:val="center"/>
                </w:tcPr>
                <w:p w14:paraId="520ACC19">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C1A">
                  <w:pPr>
                    <w:adjustRightInd w:val="0"/>
                    <w:snapToGrid w:val="0"/>
                    <w:jc w:val="center"/>
                    <w:textAlignment w:val="baseline"/>
                    <w:rPr>
                      <w:kern w:val="0"/>
                      <w:szCs w:val="21"/>
                    </w:rPr>
                  </w:pPr>
                  <w:r>
                    <w:rPr>
                      <w:kern w:val="0"/>
                      <w:szCs w:val="21"/>
                    </w:rPr>
                    <w:t>5</w:t>
                  </w:r>
                  <w:r>
                    <w:rPr>
                      <w:rFonts w:hint="eastAsia"/>
                      <w:kern w:val="0"/>
                      <w:szCs w:val="21"/>
                    </w:rPr>
                    <w:t>2</w:t>
                  </w:r>
                </w:p>
              </w:tc>
              <w:tc>
                <w:tcPr>
                  <w:tcW w:w="1212" w:type="dxa"/>
                  <w:vMerge w:val="restart"/>
                  <w:vAlign w:val="center"/>
                </w:tcPr>
                <w:p w14:paraId="520ACC1B">
                  <w:pPr>
                    <w:adjustRightInd w:val="0"/>
                    <w:snapToGrid w:val="0"/>
                    <w:jc w:val="center"/>
                    <w:textAlignment w:val="baseline"/>
                    <w:rPr>
                      <w:kern w:val="0"/>
                      <w:szCs w:val="21"/>
                    </w:rPr>
                  </w:pPr>
                  <w:r>
                    <w:rPr>
                      <w:rFonts w:hint="eastAsia"/>
                      <w:kern w:val="0"/>
                      <w:szCs w:val="21"/>
                    </w:rPr>
                    <w:t>0</w:t>
                  </w:r>
                </w:p>
              </w:tc>
              <w:tc>
                <w:tcPr>
                  <w:tcW w:w="851" w:type="dxa"/>
                  <w:vAlign w:val="center"/>
                </w:tcPr>
                <w:p w14:paraId="520ACC1C">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C1D">
                  <w:pPr>
                    <w:adjustRightInd w:val="0"/>
                    <w:snapToGrid w:val="0"/>
                    <w:jc w:val="center"/>
                    <w:textAlignment w:val="baseline"/>
                    <w:rPr>
                      <w:kern w:val="0"/>
                      <w:szCs w:val="21"/>
                      <w:highlight w:val="yellow"/>
                    </w:rPr>
                  </w:pPr>
                  <w:r>
                    <w:rPr>
                      <w:kern w:val="0"/>
                      <w:szCs w:val="21"/>
                    </w:rPr>
                    <w:t>5</w:t>
                  </w:r>
                  <w:r>
                    <w:rPr>
                      <w:rFonts w:hint="eastAsia"/>
                      <w:kern w:val="0"/>
                      <w:szCs w:val="21"/>
                    </w:rPr>
                    <w:t>2</w:t>
                  </w:r>
                </w:p>
              </w:tc>
              <w:tc>
                <w:tcPr>
                  <w:tcW w:w="1984" w:type="dxa"/>
                  <w:vMerge w:val="restart"/>
                  <w:vAlign w:val="center"/>
                </w:tcPr>
                <w:p w14:paraId="520ACC1E">
                  <w:pPr>
                    <w:adjustRightInd w:val="0"/>
                    <w:snapToGrid w:val="0"/>
                    <w:jc w:val="center"/>
                    <w:textAlignment w:val="baseline"/>
                    <w:rPr>
                      <w:szCs w:val="21"/>
                      <w:highlight w:val="yellow"/>
                    </w:rPr>
                  </w:pPr>
                  <w:r>
                    <w:rPr>
                      <w:rFonts w:hint="eastAsia"/>
                      <w:kern w:val="0"/>
                      <w:szCs w:val="21"/>
                    </w:rPr>
                    <w:t>《声环境质量标准》（</w:t>
                  </w:r>
                  <w:r>
                    <w:rPr>
                      <w:kern w:val="0"/>
                      <w:szCs w:val="21"/>
                    </w:rPr>
                    <w:t>GB3096</w:t>
                  </w:r>
                  <w:r>
                    <w:rPr>
                      <w:rFonts w:hint="eastAsia"/>
                      <w:kern w:val="0"/>
                      <w:szCs w:val="21"/>
                    </w:rPr>
                    <w:t>-2008）2类</w:t>
                  </w:r>
                  <w:r>
                    <w:rPr>
                      <w:kern w:val="0"/>
                      <w:szCs w:val="21"/>
                    </w:rPr>
                    <w:t>：昼间6</w:t>
                  </w:r>
                  <w:r>
                    <w:rPr>
                      <w:rFonts w:hint="eastAsia"/>
                      <w:kern w:val="0"/>
                      <w:szCs w:val="21"/>
                    </w:rPr>
                    <w:t>0</w:t>
                  </w:r>
                  <w:r>
                    <w:rPr>
                      <w:kern w:val="0"/>
                      <w:szCs w:val="21"/>
                    </w:rPr>
                    <w:t>dB(A)，夜间5</w:t>
                  </w:r>
                  <w:r>
                    <w:rPr>
                      <w:rFonts w:hint="eastAsia"/>
                      <w:kern w:val="0"/>
                      <w:szCs w:val="21"/>
                    </w:rPr>
                    <w:t>0</w:t>
                  </w:r>
                  <w:r>
                    <w:rPr>
                      <w:kern w:val="0"/>
                      <w:szCs w:val="21"/>
                    </w:rPr>
                    <w:t>dB(A)</w:t>
                  </w:r>
                </w:p>
              </w:tc>
              <w:tc>
                <w:tcPr>
                  <w:tcW w:w="730" w:type="dxa"/>
                  <w:vMerge w:val="restart"/>
                  <w:vAlign w:val="center"/>
                </w:tcPr>
                <w:p w14:paraId="520ACC1F">
                  <w:pPr>
                    <w:adjustRightInd w:val="0"/>
                    <w:snapToGrid w:val="0"/>
                    <w:jc w:val="center"/>
                    <w:textAlignment w:val="baseline"/>
                    <w:rPr>
                      <w:kern w:val="0"/>
                      <w:szCs w:val="21"/>
                    </w:rPr>
                  </w:pPr>
                  <w:r>
                    <w:rPr>
                      <w:kern w:val="0"/>
                      <w:szCs w:val="21"/>
                    </w:rPr>
                    <w:t>达标</w:t>
                  </w:r>
                </w:p>
              </w:tc>
            </w:tr>
            <w:tr w14:paraId="520ACC29">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C21">
                  <w:pPr>
                    <w:adjustRightInd w:val="0"/>
                    <w:snapToGrid w:val="0"/>
                    <w:jc w:val="center"/>
                    <w:textAlignment w:val="baseline"/>
                    <w:rPr>
                      <w:b/>
                      <w:kern w:val="0"/>
                      <w:szCs w:val="21"/>
                      <w:u w:val="single"/>
                    </w:rPr>
                  </w:pPr>
                </w:p>
              </w:tc>
              <w:tc>
                <w:tcPr>
                  <w:tcW w:w="712" w:type="dxa"/>
                  <w:vAlign w:val="center"/>
                </w:tcPr>
                <w:p w14:paraId="520ACC22">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C23">
                  <w:pPr>
                    <w:adjustRightInd w:val="0"/>
                    <w:snapToGrid w:val="0"/>
                    <w:jc w:val="center"/>
                    <w:textAlignment w:val="baseline"/>
                    <w:rPr>
                      <w:kern w:val="0"/>
                      <w:szCs w:val="21"/>
                    </w:rPr>
                  </w:pPr>
                  <w:r>
                    <w:rPr>
                      <w:rFonts w:hint="eastAsia"/>
                      <w:kern w:val="0"/>
                      <w:szCs w:val="21"/>
                    </w:rPr>
                    <w:t>41</w:t>
                  </w:r>
                </w:p>
              </w:tc>
              <w:tc>
                <w:tcPr>
                  <w:tcW w:w="1212" w:type="dxa"/>
                  <w:vMerge w:val="continue"/>
                  <w:vAlign w:val="center"/>
                </w:tcPr>
                <w:p w14:paraId="520ACC24">
                  <w:pPr>
                    <w:adjustRightInd w:val="0"/>
                    <w:snapToGrid w:val="0"/>
                    <w:jc w:val="center"/>
                    <w:textAlignment w:val="baseline"/>
                    <w:rPr>
                      <w:kern w:val="0"/>
                      <w:szCs w:val="21"/>
                    </w:rPr>
                  </w:pPr>
                </w:p>
              </w:tc>
              <w:tc>
                <w:tcPr>
                  <w:tcW w:w="851" w:type="dxa"/>
                  <w:vAlign w:val="center"/>
                </w:tcPr>
                <w:p w14:paraId="520ACC25">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C26">
                  <w:pPr>
                    <w:adjustRightInd w:val="0"/>
                    <w:snapToGrid w:val="0"/>
                    <w:jc w:val="center"/>
                    <w:textAlignment w:val="baseline"/>
                    <w:rPr>
                      <w:kern w:val="0"/>
                      <w:szCs w:val="21"/>
                      <w:highlight w:val="yellow"/>
                    </w:rPr>
                  </w:pPr>
                  <w:r>
                    <w:rPr>
                      <w:rFonts w:hint="eastAsia"/>
                      <w:kern w:val="0"/>
                      <w:szCs w:val="21"/>
                    </w:rPr>
                    <w:t>41</w:t>
                  </w:r>
                </w:p>
              </w:tc>
              <w:tc>
                <w:tcPr>
                  <w:tcW w:w="1984" w:type="dxa"/>
                  <w:vMerge w:val="continue"/>
                  <w:vAlign w:val="center"/>
                </w:tcPr>
                <w:p w14:paraId="520ACC27">
                  <w:pPr>
                    <w:widowControl/>
                    <w:adjustRightInd w:val="0"/>
                    <w:snapToGrid w:val="0"/>
                    <w:jc w:val="center"/>
                    <w:textAlignment w:val="baseline"/>
                    <w:rPr>
                      <w:szCs w:val="21"/>
                      <w:highlight w:val="yellow"/>
                    </w:rPr>
                  </w:pPr>
                </w:p>
              </w:tc>
              <w:tc>
                <w:tcPr>
                  <w:tcW w:w="730" w:type="dxa"/>
                  <w:vMerge w:val="continue"/>
                  <w:vAlign w:val="center"/>
                </w:tcPr>
                <w:p w14:paraId="520ACC28">
                  <w:pPr>
                    <w:adjustRightInd w:val="0"/>
                    <w:snapToGrid w:val="0"/>
                    <w:jc w:val="center"/>
                    <w:textAlignment w:val="baseline"/>
                    <w:rPr>
                      <w:kern w:val="0"/>
                      <w:szCs w:val="21"/>
                    </w:rPr>
                  </w:pPr>
                </w:p>
              </w:tc>
            </w:tr>
            <w:tr w14:paraId="520ACC32">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C2A">
                  <w:pPr>
                    <w:adjustRightInd w:val="0"/>
                    <w:snapToGrid w:val="0"/>
                    <w:jc w:val="center"/>
                    <w:textAlignment w:val="baseline"/>
                    <w:rPr>
                      <w:b/>
                      <w:kern w:val="0"/>
                      <w:szCs w:val="21"/>
                      <w:u w:val="single"/>
                    </w:rPr>
                  </w:pPr>
                  <w:r>
                    <w:rPr>
                      <w:szCs w:val="21"/>
                    </w:rPr>
                    <w:t>静馨嘉园小区</w:t>
                  </w:r>
                </w:p>
              </w:tc>
              <w:tc>
                <w:tcPr>
                  <w:tcW w:w="712" w:type="dxa"/>
                  <w:vAlign w:val="center"/>
                </w:tcPr>
                <w:p w14:paraId="520ACC2B">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C2C">
                  <w:pPr>
                    <w:adjustRightInd w:val="0"/>
                    <w:snapToGrid w:val="0"/>
                    <w:jc w:val="center"/>
                    <w:textAlignment w:val="baseline"/>
                    <w:rPr>
                      <w:kern w:val="0"/>
                      <w:szCs w:val="21"/>
                    </w:rPr>
                  </w:pPr>
                  <w:r>
                    <w:rPr>
                      <w:rFonts w:hint="eastAsia"/>
                      <w:kern w:val="0"/>
                      <w:szCs w:val="21"/>
                    </w:rPr>
                    <w:t>52</w:t>
                  </w:r>
                </w:p>
              </w:tc>
              <w:tc>
                <w:tcPr>
                  <w:tcW w:w="1212" w:type="dxa"/>
                  <w:vMerge w:val="restart"/>
                  <w:vAlign w:val="center"/>
                </w:tcPr>
                <w:p w14:paraId="520ACC2D">
                  <w:pPr>
                    <w:adjustRightInd w:val="0"/>
                    <w:snapToGrid w:val="0"/>
                    <w:jc w:val="center"/>
                    <w:textAlignment w:val="baseline"/>
                    <w:rPr>
                      <w:kern w:val="0"/>
                      <w:szCs w:val="21"/>
                    </w:rPr>
                  </w:pPr>
                  <w:r>
                    <w:rPr>
                      <w:rFonts w:hint="eastAsia"/>
                      <w:kern w:val="0"/>
                      <w:szCs w:val="21"/>
                    </w:rPr>
                    <w:t>0</w:t>
                  </w:r>
                </w:p>
              </w:tc>
              <w:tc>
                <w:tcPr>
                  <w:tcW w:w="851" w:type="dxa"/>
                  <w:vAlign w:val="center"/>
                </w:tcPr>
                <w:p w14:paraId="520ACC2E">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C2F">
                  <w:pPr>
                    <w:adjustRightInd w:val="0"/>
                    <w:snapToGrid w:val="0"/>
                    <w:jc w:val="center"/>
                    <w:textAlignment w:val="baseline"/>
                    <w:rPr>
                      <w:kern w:val="0"/>
                      <w:szCs w:val="21"/>
                      <w:highlight w:val="yellow"/>
                    </w:rPr>
                  </w:pPr>
                  <w:r>
                    <w:rPr>
                      <w:rFonts w:hint="eastAsia"/>
                      <w:kern w:val="0"/>
                      <w:szCs w:val="21"/>
                    </w:rPr>
                    <w:t>52</w:t>
                  </w:r>
                </w:p>
              </w:tc>
              <w:tc>
                <w:tcPr>
                  <w:tcW w:w="1984" w:type="dxa"/>
                  <w:vMerge w:val="continue"/>
                  <w:vAlign w:val="center"/>
                </w:tcPr>
                <w:p w14:paraId="520ACC30">
                  <w:pPr>
                    <w:widowControl/>
                    <w:adjustRightInd w:val="0"/>
                    <w:snapToGrid w:val="0"/>
                    <w:jc w:val="center"/>
                    <w:textAlignment w:val="baseline"/>
                    <w:rPr>
                      <w:szCs w:val="21"/>
                      <w:highlight w:val="yellow"/>
                    </w:rPr>
                  </w:pPr>
                </w:p>
              </w:tc>
              <w:tc>
                <w:tcPr>
                  <w:tcW w:w="730" w:type="dxa"/>
                  <w:vMerge w:val="restart"/>
                  <w:vAlign w:val="center"/>
                </w:tcPr>
                <w:p w14:paraId="520ACC31">
                  <w:pPr>
                    <w:adjustRightInd w:val="0"/>
                    <w:snapToGrid w:val="0"/>
                    <w:jc w:val="center"/>
                    <w:textAlignment w:val="baseline"/>
                    <w:rPr>
                      <w:kern w:val="0"/>
                      <w:szCs w:val="21"/>
                    </w:rPr>
                  </w:pPr>
                  <w:r>
                    <w:rPr>
                      <w:kern w:val="0"/>
                      <w:szCs w:val="21"/>
                    </w:rPr>
                    <w:t>达标</w:t>
                  </w:r>
                </w:p>
              </w:tc>
            </w:tr>
            <w:tr w14:paraId="520ACC3B">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C33">
                  <w:pPr>
                    <w:adjustRightInd w:val="0"/>
                    <w:snapToGrid w:val="0"/>
                    <w:jc w:val="center"/>
                    <w:textAlignment w:val="baseline"/>
                    <w:rPr>
                      <w:b/>
                      <w:kern w:val="0"/>
                      <w:szCs w:val="21"/>
                      <w:u w:val="single"/>
                    </w:rPr>
                  </w:pPr>
                </w:p>
              </w:tc>
              <w:tc>
                <w:tcPr>
                  <w:tcW w:w="712" w:type="dxa"/>
                  <w:vAlign w:val="center"/>
                </w:tcPr>
                <w:p w14:paraId="520ACC34">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C35">
                  <w:pPr>
                    <w:adjustRightInd w:val="0"/>
                    <w:snapToGrid w:val="0"/>
                    <w:jc w:val="center"/>
                    <w:textAlignment w:val="baseline"/>
                    <w:rPr>
                      <w:kern w:val="0"/>
                      <w:szCs w:val="21"/>
                    </w:rPr>
                  </w:pPr>
                  <w:r>
                    <w:rPr>
                      <w:rFonts w:hint="eastAsia"/>
                      <w:kern w:val="0"/>
                      <w:szCs w:val="21"/>
                    </w:rPr>
                    <w:t>40</w:t>
                  </w:r>
                </w:p>
              </w:tc>
              <w:tc>
                <w:tcPr>
                  <w:tcW w:w="1212" w:type="dxa"/>
                  <w:vMerge w:val="continue"/>
                  <w:vAlign w:val="center"/>
                </w:tcPr>
                <w:p w14:paraId="520ACC36">
                  <w:pPr>
                    <w:adjustRightInd w:val="0"/>
                    <w:snapToGrid w:val="0"/>
                    <w:jc w:val="center"/>
                    <w:textAlignment w:val="baseline"/>
                    <w:rPr>
                      <w:kern w:val="0"/>
                      <w:szCs w:val="21"/>
                    </w:rPr>
                  </w:pPr>
                </w:p>
              </w:tc>
              <w:tc>
                <w:tcPr>
                  <w:tcW w:w="851" w:type="dxa"/>
                  <w:vAlign w:val="center"/>
                </w:tcPr>
                <w:p w14:paraId="520ACC37">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C38">
                  <w:pPr>
                    <w:adjustRightInd w:val="0"/>
                    <w:snapToGrid w:val="0"/>
                    <w:jc w:val="center"/>
                    <w:textAlignment w:val="baseline"/>
                    <w:rPr>
                      <w:kern w:val="0"/>
                      <w:szCs w:val="21"/>
                      <w:highlight w:val="yellow"/>
                    </w:rPr>
                  </w:pPr>
                  <w:r>
                    <w:rPr>
                      <w:rFonts w:hint="eastAsia"/>
                      <w:kern w:val="0"/>
                      <w:szCs w:val="21"/>
                    </w:rPr>
                    <w:t>40</w:t>
                  </w:r>
                </w:p>
              </w:tc>
              <w:tc>
                <w:tcPr>
                  <w:tcW w:w="1984" w:type="dxa"/>
                  <w:vMerge w:val="continue"/>
                  <w:vAlign w:val="center"/>
                </w:tcPr>
                <w:p w14:paraId="520ACC39">
                  <w:pPr>
                    <w:widowControl/>
                    <w:adjustRightInd w:val="0"/>
                    <w:snapToGrid w:val="0"/>
                    <w:jc w:val="center"/>
                    <w:textAlignment w:val="baseline"/>
                    <w:rPr>
                      <w:szCs w:val="21"/>
                      <w:highlight w:val="yellow"/>
                    </w:rPr>
                  </w:pPr>
                </w:p>
              </w:tc>
              <w:tc>
                <w:tcPr>
                  <w:tcW w:w="730" w:type="dxa"/>
                  <w:vMerge w:val="continue"/>
                  <w:vAlign w:val="center"/>
                </w:tcPr>
                <w:p w14:paraId="520ACC3A">
                  <w:pPr>
                    <w:adjustRightInd w:val="0"/>
                    <w:snapToGrid w:val="0"/>
                    <w:jc w:val="center"/>
                    <w:textAlignment w:val="baseline"/>
                    <w:rPr>
                      <w:szCs w:val="21"/>
                    </w:rPr>
                  </w:pPr>
                </w:p>
              </w:tc>
            </w:tr>
            <w:tr w14:paraId="520ACC44">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C3C">
                  <w:pPr>
                    <w:adjustRightInd w:val="0"/>
                    <w:snapToGrid w:val="0"/>
                    <w:jc w:val="center"/>
                    <w:textAlignment w:val="baseline"/>
                    <w:rPr>
                      <w:b/>
                      <w:kern w:val="0"/>
                      <w:szCs w:val="21"/>
                      <w:u w:val="single"/>
                    </w:rPr>
                  </w:pPr>
                  <w:r>
                    <w:rPr>
                      <w:szCs w:val="21"/>
                    </w:rPr>
                    <w:t>豫新</w:t>
                  </w:r>
                  <w:r>
                    <w:rPr>
                      <w:rFonts w:hint="eastAsia"/>
                      <w:szCs w:val="21"/>
                    </w:rPr>
                    <w:t>五</w:t>
                  </w:r>
                  <w:r>
                    <w:rPr>
                      <w:szCs w:val="21"/>
                    </w:rPr>
                    <w:t>号生活区</w:t>
                  </w:r>
                </w:p>
              </w:tc>
              <w:tc>
                <w:tcPr>
                  <w:tcW w:w="712" w:type="dxa"/>
                  <w:vAlign w:val="center"/>
                </w:tcPr>
                <w:p w14:paraId="520ACC3D">
                  <w:pPr>
                    <w:adjustRightInd w:val="0"/>
                    <w:snapToGrid w:val="0"/>
                    <w:jc w:val="center"/>
                    <w:textAlignment w:val="baseline"/>
                    <w:rPr>
                      <w:b/>
                      <w:kern w:val="0"/>
                      <w:szCs w:val="21"/>
                      <w:u w:val="single"/>
                    </w:rPr>
                  </w:pPr>
                  <w:r>
                    <w:rPr>
                      <w:kern w:val="0"/>
                      <w:szCs w:val="21"/>
                    </w:rPr>
                    <w:t>昼</w:t>
                  </w:r>
                  <w:r>
                    <w:rPr>
                      <w:rFonts w:hint="eastAsia"/>
                      <w:kern w:val="0"/>
                      <w:szCs w:val="21"/>
                    </w:rPr>
                    <w:t>间</w:t>
                  </w:r>
                </w:p>
              </w:tc>
              <w:tc>
                <w:tcPr>
                  <w:tcW w:w="912" w:type="dxa"/>
                  <w:vAlign w:val="center"/>
                </w:tcPr>
                <w:p w14:paraId="520ACC3E">
                  <w:pPr>
                    <w:adjustRightInd w:val="0"/>
                    <w:snapToGrid w:val="0"/>
                    <w:jc w:val="center"/>
                    <w:textAlignment w:val="baseline"/>
                    <w:rPr>
                      <w:kern w:val="0"/>
                      <w:szCs w:val="21"/>
                    </w:rPr>
                  </w:pPr>
                  <w:r>
                    <w:rPr>
                      <w:rFonts w:hint="eastAsia"/>
                      <w:kern w:val="0"/>
                      <w:szCs w:val="21"/>
                    </w:rPr>
                    <w:t>52</w:t>
                  </w:r>
                </w:p>
              </w:tc>
              <w:tc>
                <w:tcPr>
                  <w:tcW w:w="1212" w:type="dxa"/>
                  <w:vMerge w:val="restart"/>
                  <w:vAlign w:val="center"/>
                </w:tcPr>
                <w:p w14:paraId="520ACC3F">
                  <w:pPr>
                    <w:adjustRightInd w:val="0"/>
                    <w:snapToGrid w:val="0"/>
                    <w:jc w:val="center"/>
                    <w:textAlignment w:val="baseline"/>
                    <w:rPr>
                      <w:kern w:val="0"/>
                      <w:szCs w:val="21"/>
                    </w:rPr>
                  </w:pPr>
                  <w:r>
                    <w:rPr>
                      <w:rFonts w:hint="eastAsia"/>
                      <w:kern w:val="0"/>
                      <w:szCs w:val="21"/>
                    </w:rPr>
                    <w:t>0</w:t>
                  </w:r>
                </w:p>
              </w:tc>
              <w:tc>
                <w:tcPr>
                  <w:tcW w:w="851" w:type="dxa"/>
                  <w:vAlign w:val="center"/>
                </w:tcPr>
                <w:p w14:paraId="520ACC40">
                  <w:pPr>
                    <w:adjustRightInd w:val="0"/>
                    <w:snapToGrid w:val="0"/>
                    <w:jc w:val="center"/>
                    <w:textAlignment w:val="baseline"/>
                    <w:rPr>
                      <w:b/>
                      <w:kern w:val="0"/>
                      <w:szCs w:val="21"/>
                      <w:u w:val="single"/>
                    </w:rPr>
                  </w:pPr>
                  <w:r>
                    <w:rPr>
                      <w:kern w:val="0"/>
                      <w:szCs w:val="21"/>
                    </w:rPr>
                    <w:t>昼</w:t>
                  </w:r>
                  <w:r>
                    <w:rPr>
                      <w:rFonts w:hint="eastAsia"/>
                      <w:kern w:val="0"/>
                      <w:szCs w:val="21"/>
                    </w:rPr>
                    <w:t>间</w:t>
                  </w:r>
                </w:p>
              </w:tc>
              <w:tc>
                <w:tcPr>
                  <w:tcW w:w="709" w:type="dxa"/>
                  <w:vAlign w:val="center"/>
                </w:tcPr>
                <w:p w14:paraId="520ACC41">
                  <w:pPr>
                    <w:adjustRightInd w:val="0"/>
                    <w:snapToGrid w:val="0"/>
                    <w:jc w:val="center"/>
                    <w:textAlignment w:val="baseline"/>
                    <w:rPr>
                      <w:kern w:val="0"/>
                      <w:szCs w:val="21"/>
                      <w:highlight w:val="yellow"/>
                    </w:rPr>
                  </w:pPr>
                  <w:r>
                    <w:rPr>
                      <w:rFonts w:hint="eastAsia"/>
                      <w:kern w:val="0"/>
                      <w:szCs w:val="21"/>
                    </w:rPr>
                    <w:t>52</w:t>
                  </w:r>
                </w:p>
              </w:tc>
              <w:tc>
                <w:tcPr>
                  <w:tcW w:w="1984" w:type="dxa"/>
                  <w:vMerge w:val="continue"/>
                  <w:vAlign w:val="center"/>
                </w:tcPr>
                <w:p w14:paraId="520ACC42">
                  <w:pPr>
                    <w:widowControl/>
                    <w:adjustRightInd w:val="0"/>
                    <w:snapToGrid w:val="0"/>
                    <w:jc w:val="center"/>
                    <w:textAlignment w:val="baseline"/>
                    <w:rPr>
                      <w:szCs w:val="21"/>
                      <w:highlight w:val="yellow"/>
                    </w:rPr>
                  </w:pPr>
                </w:p>
              </w:tc>
              <w:tc>
                <w:tcPr>
                  <w:tcW w:w="730" w:type="dxa"/>
                  <w:vMerge w:val="restart"/>
                  <w:vAlign w:val="center"/>
                </w:tcPr>
                <w:p w14:paraId="520ACC43">
                  <w:pPr>
                    <w:adjustRightInd w:val="0"/>
                    <w:snapToGrid w:val="0"/>
                    <w:jc w:val="center"/>
                    <w:textAlignment w:val="baseline"/>
                    <w:rPr>
                      <w:szCs w:val="21"/>
                    </w:rPr>
                  </w:pPr>
                  <w:r>
                    <w:rPr>
                      <w:kern w:val="0"/>
                      <w:szCs w:val="21"/>
                    </w:rPr>
                    <w:t>达标</w:t>
                  </w:r>
                </w:p>
              </w:tc>
            </w:tr>
            <w:tr w14:paraId="520ACC4D">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C45">
                  <w:pPr>
                    <w:adjustRightInd w:val="0"/>
                    <w:snapToGrid w:val="0"/>
                    <w:jc w:val="center"/>
                    <w:textAlignment w:val="baseline"/>
                    <w:rPr>
                      <w:b/>
                      <w:kern w:val="0"/>
                      <w:szCs w:val="21"/>
                      <w:u w:val="single"/>
                    </w:rPr>
                  </w:pPr>
                </w:p>
              </w:tc>
              <w:tc>
                <w:tcPr>
                  <w:tcW w:w="712" w:type="dxa"/>
                  <w:vAlign w:val="center"/>
                </w:tcPr>
                <w:p w14:paraId="520ACC46">
                  <w:pPr>
                    <w:adjustRightInd w:val="0"/>
                    <w:snapToGrid w:val="0"/>
                    <w:jc w:val="center"/>
                    <w:textAlignment w:val="baseline"/>
                    <w:rPr>
                      <w:b/>
                      <w:kern w:val="0"/>
                      <w:szCs w:val="21"/>
                      <w:u w:val="single"/>
                    </w:rPr>
                  </w:pPr>
                  <w:r>
                    <w:rPr>
                      <w:kern w:val="0"/>
                      <w:szCs w:val="21"/>
                    </w:rPr>
                    <w:t>夜</w:t>
                  </w:r>
                  <w:r>
                    <w:rPr>
                      <w:rFonts w:hint="eastAsia"/>
                      <w:kern w:val="0"/>
                      <w:szCs w:val="21"/>
                    </w:rPr>
                    <w:t>间</w:t>
                  </w:r>
                </w:p>
              </w:tc>
              <w:tc>
                <w:tcPr>
                  <w:tcW w:w="912" w:type="dxa"/>
                  <w:vAlign w:val="center"/>
                </w:tcPr>
                <w:p w14:paraId="520ACC47">
                  <w:pPr>
                    <w:adjustRightInd w:val="0"/>
                    <w:snapToGrid w:val="0"/>
                    <w:jc w:val="center"/>
                    <w:textAlignment w:val="baseline"/>
                    <w:rPr>
                      <w:kern w:val="0"/>
                      <w:szCs w:val="21"/>
                    </w:rPr>
                  </w:pPr>
                  <w:r>
                    <w:rPr>
                      <w:rFonts w:hint="eastAsia"/>
                      <w:kern w:val="0"/>
                      <w:szCs w:val="21"/>
                    </w:rPr>
                    <w:t>40</w:t>
                  </w:r>
                </w:p>
              </w:tc>
              <w:tc>
                <w:tcPr>
                  <w:tcW w:w="1212" w:type="dxa"/>
                  <w:vMerge w:val="continue"/>
                  <w:vAlign w:val="center"/>
                </w:tcPr>
                <w:p w14:paraId="520ACC48">
                  <w:pPr>
                    <w:adjustRightInd w:val="0"/>
                    <w:snapToGrid w:val="0"/>
                    <w:jc w:val="center"/>
                    <w:textAlignment w:val="baseline"/>
                    <w:rPr>
                      <w:b/>
                      <w:kern w:val="0"/>
                      <w:szCs w:val="21"/>
                      <w:u w:val="single"/>
                    </w:rPr>
                  </w:pPr>
                </w:p>
              </w:tc>
              <w:tc>
                <w:tcPr>
                  <w:tcW w:w="851" w:type="dxa"/>
                  <w:vAlign w:val="center"/>
                </w:tcPr>
                <w:p w14:paraId="520ACC49">
                  <w:pPr>
                    <w:adjustRightInd w:val="0"/>
                    <w:snapToGrid w:val="0"/>
                    <w:jc w:val="center"/>
                    <w:textAlignment w:val="baseline"/>
                    <w:rPr>
                      <w:b/>
                      <w:kern w:val="0"/>
                      <w:szCs w:val="21"/>
                      <w:u w:val="single"/>
                    </w:rPr>
                  </w:pPr>
                  <w:r>
                    <w:rPr>
                      <w:kern w:val="0"/>
                      <w:szCs w:val="21"/>
                    </w:rPr>
                    <w:t>夜</w:t>
                  </w:r>
                  <w:r>
                    <w:rPr>
                      <w:rFonts w:hint="eastAsia"/>
                      <w:kern w:val="0"/>
                      <w:szCs w:val="21"/>
                    </w:rPr>
                    <w:t>间</w:t>
                  </w:r>
                </w:p>
              </w:tc>
              <w:tc>
                <w:tcPr>
                  <w:tcW w:w="709" w:type="dxa"/>
                  <w:vAlign w:val="center"/>
                </w:tcPr>
                <w:p w14:paraId="520ACC4A">
                  <w:pPr>
                    <w:adjustRightInd w:val="0"/>
                    <w:snapToGrid w:val="0"/>
                    <w:jc w:val="center"/>
                    <w:textAlignment w:val="baseline"/>
                    <w:rPr>
                      <w:kern w:val="0"/>
                      <w:szCs w:val="21"/>
                      <w:highlight w:val="yellow"/>
                    </w:rPr>
                  </w:pPr>
                  <w:r>
                    <w:rPr>
                      <w:rFonts w:hint="eastAsia"/>
                      <w:kern w:val="0"/>
                      <w:szCs w:val="21"/>
                    </w:rPr>
                    <w:t>40</w:t>
                  </w:r>
                </w:p>
              </w:tc>
              <w:tc>
                <w:tcPr>
                  <w:tcW w:w="1984" w:type="dxa"/>
                  <w:vMerge w:val="continue"/>
                  <w:vAlign w:val="center"/>
                </w:tcPr>
                <w:p w14:paraId="520ACC4B">
                  <w:pPr>
                    <w:widowControl/>
                    <w:adjustRightInd w:val="0"/>
                    <w:snapToGrid w:val="0"/>
                    <w:jc w:val="center"/>
                    <w:textAlignment w:val="baseline"/>
                    <w:rPr>
                      <w:szCs w:val="21"/>
                      <w:highlight w:val="yellow"/>
                    </w:rPr>
                  </w:pPr>
                </w:p>
              </w:tc>
              <w:tc>
                <w:tcPr>
                  <w:tcW w:w="730" w:type="dxa"/>
                  <w:vMerge w:val="continue"/>
                  <w:vAlign w:val="center"/>
                </w:tcPr>
                <w:p w14:paraId="520ACC4C">
                  <w:pPr>
                    <w:adjustRightInd w:val="0"/>
                    <w:snapToGrid w:val="0"/>
                    <w:jc w:val="center"/>
                    <w:textAlignment w:val="baseline"/>
                    <w:rPr>
                      <w:szCs w:val="21"/>
                    </w:rPr>
                  </w:pPr>
                </w:p>
              </w:tc>
            </w:tr>
            <w:tr w14:paraId="520ACC56">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C4E">
                  <w:pPr>
                    <w:adjustRightInd w:val="0"/>
                    <w:snapToGrid w:val="0"/>
                    <w:jc w:val="center"/>
                    <w:textAlignment w:val="baseline"/>
                    <w:rPr>
                      <w:kern w:val="0"/>
                      <w:szCs w:val="21"/>
                    </w:rPr>
                  </w:pPr>
                  <w:r>
                    <w:rPr>
                      <w:szCs w:val="21"/>
                    </w:rPr>
                    <w:t>六合园小区</w:t>
                  </w:r>
                </w:p>
              </w:tc>
              <w:tc>
                <w:tcPr>
                  <w:tcW w:w="712" w:type="dxa"/>
                  <w:vAlign w:val="center"/>
                </w:tcPr>
                <w:p w14:paraId="520ACC4F">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C50">
                  <w:pPr>
                    <w:adjustRightInd w:val="0"/>
                    <w:snapToGrid w:val="0"/>
                    <w:jc w:val="center"/>
                    <w:textAlignment w:val="baseline"/>
                    <w:rPr>
                      <w:kern w:val="0"/>
                      <w:szCs w:val="21"/>
                    </w:rPr>
                  </w:pPr>
                  <w:r>
                    <w:rPr>
                      <w:rFonts w:hint="eastAsia"/>
                      <w:kern w:val="0"/>
                      <w:szCs w:val="21"/>
                    </w:rPr>
                    <w:t>52</w:t>
                  </w:r>
                </w:p>
              </w:tc>
              <w:tc>
                <w:tcPr>
                  <w:tcW w:w="1212" w:type="dxa"/>
                  <w:vMerge w:val="restart"/>
                  <w:vAlign w:val="center"/>
                </w:tcPr>
                <w:p w14:paraId="520ACC51">
                  <w:pPr>
                    <w:adjustRightInd w:val="0"/>
                    <w:snapToGrid w:val="0"/>
                    <w:jc w:val="center"/>
                    <w:textAlignment w:val="baseline"/>
                    <w:rPr>
                      <w:kern w:val="0"/>
                      <w:szCs w:val="21"/>
                    </w:rPr>
                  </w:pPr>
                  <w:r>
                    <w:rPr>
                      <w:rFonts w:hint="eastAsia"/>
                      <w:kern w:val="0"/>
                      <w:szCs w:val="21"/>
                    </w:rPr>
                    <w:t>0</w:t>
                  </w:r>
                </w:p>
              </w:tc>
              <w:tc>
                <w:tcPr>
                  <w:tcW w:w="851" w:type="dxa"/>
                  <w:vAlign w:val="center"/>
                </w:tcPr>
                <w:p w14:paraId="520ACC52">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C53">
                  <w:pPr>
                    <w:adjustRightInd w:val="0"/>
                    <w:snapToGrid w:val="0"/>
                    <w:jc w:val="center"/>
                    <w:textAlignment w:val="baseline"/>
                    <w:rPr>
                      <w:kern w:val="0"/>
                      <w:szCs w:val="21"/>
                      <w:highlight w:val="yellow"/>
                    </w:rPr>
                  </w:pPr>
                  <w:r>
                    <w:rPr>
                      <w:rFonts w:hint="eastAsia"/>
                      <w:kern w:val="0"/>
                      <w:szCs w:val="21"/>
                    </w:rPr>
                    <w:t>52</w:t>
                  </w:r>
                </w:p>
              </w:tc>
              <w:tc>
                <w:tcPr>
                  <w:tcW w:w="1984" w:type="dxa"/>
                  <w:vMerge w:val="continue"/>
                  <w:vAlign w:val="center"/>
                </w:tcPr>
                <w:p w14:paraId="520ACC54">
                  <w:pPr>
                    <w:widowControl/>
                    <w:adjustRightInd w:val="0"/>
                    <w:snapToGrid w:val="0"/>
                    <w:jc w:val="center"/>
                    <w:textAlignment w:val="baseline"/>
                    <w:rPr>
                      <w:kern w:val="0"/>
                      <w:szCs w:val="21"/>
                      <w:highlight w:val="yellow"/>
                    </w:rPr>
                  </w:pPr>
                </w:p>
              </w:tc>
              <w:tc>
                <w:tcPr>
                  <w:tcW w:w="730" w:type="dxa"/>
                  <w:vMerge w:val="restart"/>
                  <w:vAlign w:val="center"/>
                </w:tcPr>
                <w:p w14:paraId="520ACC55">
                  <w:pPr>
                    <w:adjustRightInd w:val="0"/>
                    <w:snapToGrid w:val="0"/>
                    <w:jc w:val="center"/>
                    <w:textAlignment w:val="baseline"/>
                    <w:rPr>
                      <w:kern w:val="0"/>
                      <w:szCs w:val="21"/>
                    </w:rPr>
                  </w:pPr>
                  <w:r>
                    <w:rPr>
                      <w:kern w:val="0"/>
                      <w:szCs w:val="21"/>
                    </w:rPr>
                    <w:t>达标</w:t>
                  </w:r>
                </w:p>
              </w:tc>
            </w:tr>
            <w:tr w14:paraId="520ACC5F">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C57">
                  <w:pPr>
                    <w:adjustRightInd w:val="0"/>
                    <w:snapToGrid w:val="0"/>
                    <w:jc w:val="center"/>
                    <w:textAlignment w:val="baseline"/>
                    <w:rPr>
                      <w:kern w:val="0"/>
                      <w:szCs w:val="21"/>
                    </w:rPr>
                  </w:pPr>
                </w:p>
              </w:tc>
              <w:tc>
                <w:tcPr>
                  <w:tcW w:w="712" w:type="dxa"/>
                  <w:vAlign w:val="center"/>
                </w:tcPr>
                <w:p w14:paraId="520ACC58">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C59">
                  <w:pPr>
                    <w:adjustRightInd w:val="0"/>
                    <w:snapToGrid w:val="0"/>
                    <w:jc w:val="center"/>
                    <w:textAlignment w:val="baseline"/>
                    <w:rPr>
                      <w:kern w:val="0"/>
                      <w:szCs w:val="21"/>
                    </w:rPr>
                  </w:pPr>
                  <w:r>
                    <w:rPr>
                      <w:rFonts w:hint="eastAsia"/>
                      <w:kern w:val="0"/>
                      <w:szCs w:val="21"/>
                    </w:rPr>
                    <w:t>41</w:t>
                  </w:r>
                </w:p>
              </w:tc>
              <w:tc>
                <w:tcPr>
                  <w:tcW w:w="1212" w:type="dxa"/>
                  <w:vMerge w:val="continue"/>
                  <w:vAlign w:val="center"/>
                </w:tcPr>
                <w:p w14:paraId="520ACC5A">
                  <w:pPr>
                    <w:adjustRightInd w:val="0"/>
                    <w:snapToGrid w:val="0"/>
                    <w:jc w:val="center"/>
                    <w:textAlignment w:val="baseline"/>
                    <w:rPr>
                      <w:kern w:val="0"/>
                      <w:szCs w:val="21"/>
                    </w:rPr>
                  </w:pPr>
                </w:p>
              </w:tc>
              <w:tc>
                <w:tcPr>
                  <w:tcW w:w="851" w:type="dxa"/>
                  <w:vAlign w:val="center"/>
                </w:tcPr>
                <w:p w14:paraId="520ACC5B">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C5C">
                  <w:pPr>
                    <w:adjustRightInd w:val="0"/>
                    <w:snapToGrid w:val="0"/>
                    <w:jc w:val="center"/>
                    <w:textAlignment w:val="baseline"/>
                    <w:rPr>
                      <w:kern w:val="0"/>
                      <w:szCs w:val="21"/>
                      <w:highlight w:val="yellow"/>
                    </w:rPr>
                  </w:pPr>
                  <w:r>
                    <w:rPr>
                      <w:rFonts w:hint="eastAsia"/>
                      <w:kern w:val="0"/>
                      <w:szCs w:val="21"/>
                    </w:rPr>
                    <w:t>41</w:t>
                  </w:r>
                </w:p>
              </w:tc>
              <w:tc>
                <w:tcPr>
                  <w:tcW w:w="1984" w:type="dxa"/>
                  <w:vMerge w:val="continue"/>
                  <w:vAlign w:val="center"/>
                </w:tcPr>
                <w:p w14:paraId="520ACC5D">
                  <w:pPr>
                    <w:widowControl/>
                    <w:adjustRightInd w:val="0"/>
                    <w:snapToGrid w:val="0"/>
                    <w:jc w:val="center"/>
                    <w:textAlignment w:val="baseline"/>
                    <w:rPr>
                      <w:kern w:val="0"/>
                      <w:szCs w:val="21"/>
                      <w:highlight w:val="yellow"/>
                    </w:rPr>
                  </w:pPr>
                </w:p>
              </w:tc>
              <w:tc>
                <w:tcPr>
                  <w:tcW w:w="730" w:type="dxa"/>
                  <w:vMerge w:val="continue"/>
                  <w:vAlign w:val="center"/>
                </w:tcPr>
                <w:p w14:paraId="520ACC5E">
                  <w:pPr>
                    <w:adjustRightInd w:val="0"/>
                    <w:snapToGrid w:val="0"/>
                    <w:jc w:val="center"/>
                    <w:textAlignment w:val="baseline"/>
                    <w:rPr>
                      <w:kern w:val="0"/>
                      <w:szCs w:val="21"/>
                    </w:rPr>
                  </w:pPr>
                </w:p>
              </w:tc>
            </w:tr>
            <w:tr w14:paraId="520ACC68">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C60">
                  <w:pPr>
                    <w:adjustRightInd w:val="0"/>
                    <w:snapToGrid w:val="0"/>
                    <w:jc w:val="center"/>
                    <w:textAlignment w:val="baseline"/>
                    <w:rPr>
                      <w:kern w:val="0"/>
                      <w:szCs w:val="21"/>
                    </w:rPr>
                  </w:pPr>
                  <w:r>
                    <w:rPr>
                      <w:szCs w:val="21"/>
                    </w:rPr>
                    <w:t>建北小区</w:t>
                  </w:r>
                </w:p>
              </w:tc>
              <w:tc>
                <w:tcPr>
                  <w:tcW w:w="712" w:type="dxa"/>
                  <w:vAlign w:val="center"/>
                </w:tcPr>
                <w:p w14:paraId="520ACC61">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C62">
                  <w:pPr>
                    <w:adjustRightInd w:val="0"/>
                    <w:snapToGrid w:val="0"/>
                    <w:jc w:val="center"/>
                    <w:textAlignment w:val="baseline"/>
                    <w:rPr>
                      <w:kern w:val="0"/>
                      <w:szCs w:val="21"/>
                    </w:rPr>
                  </w:pPr>
                  <w:r>
                    <w:rPr>
                      <w:rFonts w:hint="eastAsia"/>
                      <w:kern w:val="0"/>
                      <w:szCs w:val="21"/>
                    </w:rPr>
                    <w:t>52</w:t>
                  </w:r>
                </w:p>
              </w:tc>
              <w:tc>
                <w:tcPr>
                  <w:tcW w:w="1212" w:type="dxa"/>
                  <w:vMerge w:val="restart"/>
                  <w:vAlign w:val="center"/>
                </w:tcPr>
                <w:p w14:paraId="520ACC63">
                  <w:pPr>
                    <w:adjustRightInd w:val="0"/>
                    <w:snapToGrid w:val="0"/>
                    <w:jc w:val="center"/>
                    <w:textAlignment w:val="baseline"/>
                    <w:rPr>
                      <w:kern w:val="0"/>
                      <w:szCs w:val="21"/>
                    </w:rPr>
                  </w:pPr>
                  <w:r>
                    <w:rPr>
                      <w:rFonts w:hint="eastAsia"/>
                      <w:kern w:val="0"/>
                      <w:szCs w:val="21"/>
                    </w:rPr>
                    <w:t>0</w:t>
                  </w:r>
                </w:p>
              </w:tc>
              <w:tc>
                <w:tcPr>
                  <w:tcW w:w="851" w:type="dxa"/>
                  <w:vAlign w:val="center"/>
                </w:tcPr>
                <w:p w14:paraId="520ACC64">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C65">
                  <w:pPr>
                    <w:adjustRightInd w:val="0"/>
                    <w:snapToGrid w:val="0"/>
                    <w:jc w:val="center"/>
                    <w:textAlignment w:val="baseline"/>
                    <w:rPr>
                      <w:kern w:val="0"/>
                      <w:szCs w:val="21"/>
                      <w:highlight w:val="yellow"/>
                    </w:rPr>
                  </w:pPr>
                  <w:r>
                    <w:rPr>
                      <w:rFonts w:hint="eastAsia"/>
                      <w:kern w:val="0"/>
                      <w:szCs w:val="21"/>
                    </w:rPr>
                    <w:t>52</w:t>
                  </w:r>
                </w:p>
              </w:tc>
              <w:tc>
                <w:tcPr>
                  <w:tcW w:w="1984" w:type="dxa"/>
                  <w:vMerge w:val="continue"/>
                  <w:vAlign w:val="center"/>
                </w:tcPr>
                <w:p w14:paraId="520ACC66">
                  <w:pPr>
                    <w:widowControl/>
                    <w:adjustRightInd w:val="0"/>
                    <w:snapToGrid w:val="0"/>
                    <w:jc w:val="center"/>
                    <w:textAlignment w:val="baseline"/>
                    <w:rPr>
                      <w:kern w:val="0"/>
                      <w:szCs w:val="21"/>
                      <w:highlight w:val="yellow"/>
                    </w:rPr>
                  </w:pPr>
                </w:p>
              </w:tc>
              <w:tc>
                <w:tcPr>
                  <w:tcW w:w="730" w:type="dxa"/>
                  <w:vMerge w:val="restart"/>
                  <w:vAlign w:val="center"/>
                </w:tcPr>
                <w:p w14:paraId="520ACC67">
                  <w:pPr>
                    <w:adjustRightInd w:val="0"/>
                    <w:snapToGrid w:val="0"/>
                    <w:jc w:val="center"/>
                    <w:textAlignment w:val="baseline"/>
                    <w:rPr>
                      <w:kern w:val="0"/>
                      <w:szCs w:val="21"/>
                    </w:rPr>
                  </w:pPr>
                  <w:r>
                    <w:rPr>
                      <w:rFonts w:hint="eastAsia"/>
                      <w:szCs w:val="21"/>
                    </w:rPr>
                    <w:t>达标</w:t>
                  </w:r>
                </w:p>
              </w:tc>
            </w:tr>
            <w:tr w14:paraId="520ACC71">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C69">
                  <w:pPr>
                    <w:adjustRightInd w:val="0"/>
                    <w:snapToGrid w:val="0"/>
                    <w:jc w:val="center"/>
                    <w:textAlignment w:val="baseline"/>
                    <w:rPr>
                      <w:kern w:val="0"/>
                      <w:szCs w:val="21"/>
                    </w:rPr>
                  </w:pPr>
                </w:p>
              </w:tc>
              <w:tc>
                <w:tcPr>
                  <w:tcW w:w="712" w:type="dxa"/>
                  <w:vAlign w:val="center"/>
                </w:tcPr>
                <w:p w14:paraId="520ACC6A">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C6B">
                  <w:pPr>
                    <w:adjustRightInd w:val="0"/>
                    <w:snapToGrid w:val="0"/>
                    <w:jc w:val="center"/>
                    <w:textAlignment w:val="baseline"/>
                    <w:rPr>
                      <w:kern w:val="0"/>
                      <w:szCs w:val="21"/>
                    </w:rPr>
                  </w:pPr>
                  <w:r>
                    <w:rPr>
                      <w:rFonts w:hint="eastAsia"/>
                      <w:kern w:val="0"/>
                      <w:szCs w:val="21"/>
                    </w:rPr>
                    <w:t>41</w:t>
                  </w:r>
                </w:p>
              </w:tc>
              <w:tc>
                <w:tcPr>
                  <w:tcW w:w="1212" w:type="dxa"/>
                  <w:vMerge w:val="continue"/>
                  <w:vAlign w:val="center"/>
                </w:tcPr>
                <w:p w14:paraId="520ACC6C">
                  <w:pPr>
                    <w:adjustRightInd w:val="0"/>
                    <w:snapToGrid w:val="0"/>
                    <w:jc w:val="center"/>
                    <w:textAlignment w:val="baseline"/>
                    <w:rPr>
                      <w:kern w:val="0"/>
                      <w:szCs w:val="21"/>
                    </w:rPr>
                  </w:pPr>
                </w:p>
              </w:tc>
              <w:tc>
                <w:tcPr>
                  <w:tcW w:w="851" w:type="dxa"/>
                  <w:vAlign w:val="center"/>
                </w:tcPr>
                <w:p w14:paraId="520ACC6D">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C6E">
                  <w:pPr>
                    <w:adjustRightInd w:val="0"/>
                    <w:snapToGrid w:val="0"/>
                    <w:jc w:val="center"/>
                    <w:textAlignment w:val="baseline"/>
                    <w:rPr>
                      <w:kern w:val="0"/>
                      <w:szCs w:val="21"/>
                      <w:highlight w:val="yellow"/>
                    </w:rPr>
                  </w:pPr>
                  <w:r>
                    <w:rPr>
                      <w:rFonts w:hint="eastAsia"/>
                      <w:kern w:val="0"/>
                      <w:szCs w:val="21"/>
                    </w:rPr>
                    <w:t>41</w:t>
                  </w:r>
                </w:p>
              </w:tc>
              <w:tc>
                <w:tcPr>
                  <w:tcW w:w="1984" w:type="dxa"/>
                  <w:vMerge w:val="continue"/>
                  <w:vAlign w:val="center"/>
                </w:tcPr>
                <w:p w14:paraId="520ACC6F">
                  <w:pPr>
                    <w:widowControl/>
                    <w:adjustRightInd w:val="0"/>
                    <w:snapToGrid w:val="0"/>
                    <w:jc w:val="center"/>
                    <w:textAlignment w:val="baseline"/>
                    <w:rPr>
                      <w:kern w:val="0"/>
                      <w:szCs w:val="21"/>
                      <w:highlight w:val="yellow"/>
                    </w:rPr>
                  </w:pPr>
                </w:p>
              </w:tc>
              <w:tc>
                <w:tcPr>
                  <w:tcW w:w="730" w:type="dxa"/>
                  <w:vMerge w:val="continue"/>
                  <w:vAlign w:val="center"/>
                </w:tcPr>
                <w:p w14:paraId="520ACC70">
                  <w:pPr>
                    <w:adjustRightInd w:val="0"/>
                    <w:snapToGrid w:val="0"/>
                    <w:jc w:val="center"/>
                    <w:textAlignment w:val="baseline"/>
                    <w:rPr>
                      <w:kern w:val="0"/>
                      <w:szCs w:val="21"/>
                    </w:rPr>
                  </w:pPr>
                </w:p>
              </w:tc>
            </w:tr>
            <w:tr w14:paraId="520ACC7A">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C72">
                  <w:pPr>
                    <w:adjustRightInd w:val="0"/>
                    <w:snapToGrid w:val="0"/>
                    <w:jc w:val="center"/>
                    <w:textAlignment w:val="baseline"/>
                    <w:rPr>
                      <w:kern w:val="0"/>
                      <w:szCs w:val="21"/>
                    </w:rPr>
                  </w:pPr>
                  <w:r>
                    <w:rPr>
                      <w:szCs w:val="21"/>
                    </w:rPr>
                    <w:t>豫新生活区南院</w:t>
                  </w:r>
                </w:p>
              </w:tc>
              <w:tc>
                <w:tcPr>
                  <w:tcW w:w="712" w:type="dxa"/>
                  <w:vAlign w:val="center"/>
                </w:tcPr>
                <w:p w14:paraId="520ACC73">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C74">
                  <w:pPr>
                    <w:adjustRightInd w:val="0"/>
                    <w:snapToGrid w:val="0"/>
                    <w:jc w:val="center"/>
                    <w:textAlignment w:val="baseline"/>
                    <w:rPr>
                      <w:kern w:val="0"/>
                      <w:szCs w:val="21"/>
                    </w:rPr>
                  </w:pPr>
                  <w:r>
                    <w:rPr>
                      <w:rFonts w:hint="eastAsia"/>
                      <w:kern w:val="0"/>
                      <w:szCs w:val="21"/>
                    </w:rPr>
                    <w:t>54</w:t>
                  </w:r>
                </w:p>
              </w:tc>
              <w:tc>
                <w:tcPr>
                  <w:tcW w:w="1212" w:type="dxa"/>
                  <w:vMerge w:val="restart"/>
                  <w:vAlign w:val="center"/>
                </w:tcPr>
                <w:p w14:paraId="520ACC75">
                  <w:pPr>
                    <w:adjustRightInd w:val="0"/>
                    <w:snapToGrid w:val="0"/>
                    <w:jc w:val="center"/>
                    <w:textAlignment w:val="baseline"/>
                    <w:rPr>
                      <w:kern w:val="0"/>
                      <w:szCs w:val="21"/>
                    </w:rPr>
                  </w:pPr>
                  <w:r>
                    <w:rPr>
                      <w:rFonts w:hint="eastAsia"/>
                      <w:kern w:val="0"/>
                      <w:szCs w:val="21"/>
                    </w:rPr>
                    <w:t>0</w:t>
                  </w:r>
                </w:p>
              </w:tc>
              <w:tc>
                <w:tcPr>
                  <w:tcW w:w="851" w:type="dxa"/>
                  <w:vAlign w:val="center"/>
                </w:tcPr>
                <w:p w14:paraId="520ACC76">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C77">
                  <w:pPr>
                    <w:adjustRightInd w:val="0"/>
                    <w:snapToGrid w:val="0"/>
                    <w:jc w:val="center"/>
                    <w:textAlignment w:val="baseline"/>
                    <w:rPr>
                      <w:kern w:val="0"/>
                      <w:szCs w:val="21"/>
                      <w:highlight w:val="yellow"/>
                    </w:rPr>
                  </w:pPr>
                  <w:r>
                    <w:rPr>
                      <w:rFonts w:hint="eastAsia"/>
                      <w:kern w:val="0"/>
                      <w:szCs w:val="21"/>
                    </w:rPr>
                    <w:t>54</w:t>
                  </w:r>
                </w:p>
              </w:tc>
              <w:tc>
                <w:tcPr>
                  <w:tcW w:w="1984" w:type="dxa"/>
                  <w:vMerge w:val="continue"/>
                  <w:vAlign w:val="center"/>
                </w:tcPr>
                <w:p w14:paraId="520ACC78">
                  <w:pPr>
                    <w:widowControl/>
                    <w:adjustRightInd w:val="0"/>
                    <w:snapToGrid w:val="0"/>
                    <w:jc w:val="center"/>
                    <w:textAlignment w:val="baseline"/>
                    <w:rPr>
                      <w:kern w:val="0"/>
                      <w:szCs w:val="21"/>
                      <w:highlight w:val="yellow"/>
                    </w:rPr>
                  </w:pPr>
                </w:p>
              </w:tc>
              <w:tc>
                <w:tcPr>
                  <w:tcW w:w="730" w:type="dxa"/>
                  <w:vMerge w:val="restart"/>
                  <w:vAlign w:val="center"/>
                </w:tcPr>
                <w:p w14:paraId="520ACC79">
                  <w:pPr>
                    <w:adjustRightInd w:val="0"/>
                    <w:snapToGrid w:val="0"/>
                    <w:jc w:val="center"/>
                    <w:textAlignment w:val="baseline"/>
                    <w:rPr>
                      <w:kern w:val="0"/>
                      <w:szCs w:val="21"/>
                    </w:rPr>
                  </w:pPr>
                  <w:r>
                    <w:rPr>
                      <w:rFonts w:hint="eastAsia"/>
                      <w:kern w:val="0"/>
                      <w:szCs w:val="21"/>
                    </w:rPr>
                    <w:t>达标</w:t>
                  </w:r>
                </w:p>
              </w:tc>
            </w:tr>
            <w:tr w14:paraId="520ACC83">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C7B">
                  <w:pPr>
                    <w:adjustRightInd w:val="0"/>
                    <w:snapToGrid w:val="0"/>
                    <w:jc w:val="center"/>
                    <w:textAlignment w:val="baseline"/>
                    <w:rPr>
                      <w:kern w:val="0"/>
                      <w:szCs w:val="21"/>
                    </w:rPr>
                  </w:pPr>
                </w:p>
              </w:tc>
              <w:tc>
                <w:tcPr>
                  <w:tcW w:w="712" w:type="dxa"/>
                  <w:vAlign w:val="center"/>
                </w:tcPr>
                <w:p w14:paraId="520ACC7C">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C7D">
                  <w:pPr>
                    <w:adjustRightInd w:val="0"/>
                    <w:snapToGrid w:val="0"/>
                    <w:jc w:val="center"/>
                    <w:textAlignment w:val="baseline"/>
                    <w:rPr>
                      <w:kern w:val="0"/>
                      <w:szCs w:val="21"/>
                    </w:rPr>
                  </w:pPr>
                  <w:r>
                    <w:rPr>
                      <w:rFonts w:hint="eastAsia"/>
                      <w:kern w:val="0"/>
                      <w:szCs w:val="21"/>
                    </w:rPr>
                    <w:t>42</w:t>
                  </w:r>
                </w:p>
              </w:tc>
              <w:tc>
                <w:tcPr>
                  <w:tcW w:w="1212" w:type="dxa"/>
                  <w:vMerge w:val="continue"/>
                  <w:vAlign w:val="center"/>
                </w:tcPr>
                <w:p w14:paraId="520ACC7E">
                  <w:pPr>
                    <w:adjustRightInd w:val="0"/>
                    <w:snapToGrid w:val="0"/>
                    <w:jc w:val="center"/>
                    <w:textAlignment w:val="baseline"/>
                    <w:rPr>
                      <w:kern w:val="0"/>
                      <w:szCs w:val="21"/>
                    </w:rPr>
                  </w:pPr>
                </w:p>
              </w:tc>
              <w:tc>
                <w:tcPr>
                  <w:tcW w:w="851" w:type="dxa"/>
                  <w:vAlign w:val="center"/>
                </w:tcPr>
                <w:p w14:paraId="520ACC7F">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C80">
                  <w:pPr>
                    <w:adjustRightInd w:val="0"/>
                    <w:snapToGrid w:val="0"/>
                    <w:jc w:val="center"/>
                    <w:textAlignment w:val="baseline"/>
                    <w:rPr>
                      <w:kern w:val="0"/>
                      <w:szCs w:val="21"/>
                      <w:highlight w:val="yellow"/>
                    </w:rPr>
                  </w:pPr>
                  <w:r>
                    <w:rPr>
                      <w:rFonts w:hint="eastAsia"/>
                      <w:kern w:val="0"/>
                      <w:szCs w:val="21"/>
                    </w:rPr>
                    <w:t>42</w:t>
                  </w:r>
                </w:p>
              </w:tc>
              <w:tc>
                <w:tcPr>
                  <w:tcW w:w="1984" w:type="dxa"/>
                  <w:vMerge w:val="continue"/>
                  <w:vAlign w:val="center"/>
                </w:tcPr>
                <w:p w14:paraId="520ACC81">
                  <w:pPr>
                    <w:widowControl/>
                    <w:adjustRightInd w:val="0"/>
                    <w:snapToGrid w:val="0"/>
                    <w:jc w:val="center"/>
                    <w:textAlignment w:val="baseline"/>
                    <w:rPr>
                      <w:kern w:val="0"/>
                      <w:szCs w:val="21"/>
                      <w:highlight w:val="yellow"/>
                    </w:rPr>
                  </w:pPr>
                </w:p>
              </w:tc>
              <w:tc>
                <w:tcPr>
                  <w:tcW w:w="730" w:type="dxa"/>
                  <w:vMerge w:val="continue"/>
                  <w:vAlign w:val="center"/>
                </w:tcPr>
                <w:p w14:paraId="520ACC82">
                  <w:pPr>
                    <w:adjustRightInd w:val="0"/>
                    <w:snapToGrid w:val="0"/>
                    <w:jc w:val="center"/>
                    <w:textAlignment w:val="baseline"/>
                    <w:rPr>
                      <w:kern w:val="0"/>
                      <w:szCs w:val="21"/>
                    </w:rPr>
                  </w:pPr>
                </w:p>
              </w:tc>
            </w:tr>
            <w:tr w14:paraId="520ACC8C">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C84">
                  <w:pPr>
                    <w:adjustRightInd w:val="0"/>
                    <w:snapToGrid w:val="0"/>
                    <w:jc w:val="center"/>
                    <w:textAlignment w:val="baseline"/>
                    <w:rPr>
                      <w:kern w:val="0"/>
                      <w:szCs w:val="21"/>
                    </w:rPr>
                  </w:pPr>
                  <w:r>
                    <w:rPr>
                      <w:szCs w:val="21"/>
                    </w:rPr>
                    <w:t>太行电源集团家属院</w:t>
                  </w:r>
                </w:p>
              </w:tc>
              <w:tc>
                <w:tcPr>
                  <w:tcW w:w="712" w:type="dxa"/>
                  <w:vAlign w:val="center"/>
                </w:tcPr>
                <w:p w14:paraId="520ACC85">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C86">
                  <w:pPr>
                    <w:adjustRightInd w:val="0"/>
                    <w:snapToGrid w:val="0"/>
                    <w:jc w:val="center"/>
                    <w:textAlignment w:val="baseline"/>
                    <w:rPr>
                      <w:kern w:val="0"/>
                      <w:szCs w:val="21"/>
                    </w:rPr>
                  </w:pPr>
                  <w:r>
                    <w:rPr>
                      <w:rFonts w:hint="eastAsia"/>
                      <w:kern w:val="0"/>
                      <w:szCs w:val="21"/>
                    </w:rPr>
                    <w:t>54</w:t>
                  </w:r>
                </w:p>
              </w:tc>
              <w:tc>
                <w:tcPr>
                  <w:tcW w:w="1212" w:type="dxa"/>
                  <w:vMerge w:val="restart"/>
                  <w:vAlign w:val="center"/>
                </w:tcPr>
                <w:p w14:paraId="520ACC87">
                  <w:pPr>
                    <w:adjustRightInd w:val="0"/>
                    <w:snapToGrid w:val="0"/>
                    <w:jc w:val="center"/>
                    <w:textAlignment w:val="baseline"/>
                    <w:rPr>
                      <w:kern w:val="0"/>
                      <w:szCs w:val="21"/>
                    </w:rPr>
                  </w:pPr>
                  <w:r>
                    <w:rPr>
                      <w:rFonts w:hint="eastAsia"/>
                      <w:kern w:val="0"/>
                      <w:szCs w:val="21"/>
                    </w:rPr>
                    <w:t>0</w:t>
                  </w:r>
                </w:p>
              </w:tc>
              <w:tc>
                <w:tcPr>
                  <w:tcW w:w="851" w:type="dxa"/>
                  <w:vAlign w:val="center"/>
                </w:tcPr>
                <w:p w14:paraId="520ACC88">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C89">
                  <w:pPr>
                    <w:adjustRightInd w:val="0"/>
                    <w:snapToGrid w:val="0"/>
                    <w:jc w:val="center"/>
                    <w:textAlignment w:val="baseline"/>
                    <w:rPr>
                      <w:kern w:val="0"/>
                      <w:szCs w:val="21"/>
                      <w:highlight w:val="yellow"/>
                    </w:rPr>
                  </w:pPr>
                  <w:r>
                    <w:rPr>
                      <w:rFonts w:hint="eastAsia"/>
                      <w:kern w:val="0"/>
                      <w:szCs w:val="21"/>
                    </w:rPr>
                    <w:t>54</w:t>
                  </w:r>
                </w:p>
              </w:tc>
              <w:tc>
                <w:tcPr>
                  <w:tcW w:w="1984" w:type="dxa"/>
                  <w:vMerge w:val="continue"/>
                  <w:vAlign w:val="center"/>
                </w:tcPr>
                <w:p w14:paraId="520ACC8A">
                  <w:pPr>
                    <w:widowControl/>
                    <w:adjustRightInd w:val="0"/>
                    <w:snapToGrid w:val="0"/>
                    <w:jc w:val="center"/>
                    <w:textAlignment w:val="baseline"/>
                    <w:rPr>
                      <w:kern w:val="0"/>
                      <w:szCs w:val="21"/>
                      <w:highlight w:val="yellow"/>
                    </w:rPr>
                  </w:pPr>
                </w:p>
              </w:tc>
              <w:tc>
                <w:tcPr>
                  <w:tcW w:w="730" w:type="dxa"/>
                  <w:vMerge w:val="restart"/>
                  <w:vAlign w:val="center"/>
                </w:tcPr>
                <w:p w14:paraId="520ACC8B">
                  <w:pPr>
                    <w:adjustRightInd w:val="0"/>
                    <w:snapToGrid w:val="0"/>
                    <w:jc w:val="center"/>
                    <w:textAlignment w:val="baseline"/>
                    <w:rPr>
                      <w:kern w:val="0"/>
                      <w:szCs w:val="21"/>
                    </w:rPr>
                  </w:pPr>
                  <w:r>
                    <w:rPr>
                      <w:rFonts w:hint="eastAsia"/>
                      <w:kern w:val="0"/>
                      <w:szCs w:val="21"/>
                    </w:rPr>
                    <w:t>达标</w:t>
                  </w:r>
                </w:p>
              </w:tc>
            </w:tr>
            <w:tr w14:paraId="520ACC95">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C8D">
                  <w:pPr>
                    <w:adjustRightInd w:val="0"/>
                    <w:snapToGrid w:val="0"/>
                    <w:jc w:val="center"/>
                    <w:textAlignment w:val="baseline"/>
                    <w:rPr>
                      <w:kern w:val="0"/>
                      <w:szCs w:val="21"/>
                    </w:rPr>
                  </w:pPr>
                </w:p>
              </w:tc>
              <w:tc>
                <w:tcPr>
                  <w:tcW w:w="712" w:type="dxa"/>
                  <w:vAlign w:val="center"/>
                </w:tcPr>
                <w:p w14:paraId="520ACC8E">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C8F">
                  <w:pPr>
                    <w:adjustRightInd w:val="0"/>
                    <w:snapToGrid w:val="0"/>
                    <w:jc w:val="center"/>
                    <w:textAlignment w:val="baseline"/>
                    <w:rPr>
                      <w:kern w:val="0"/>
                      <w:szCs w:val="21"/>
                    </w:rPr>
                  </w:pPr>
                  <w:r>
                    <w:rPr>
                      <w:rFonts w:hint="eastAsia"/>
                      <w:kern w:val="0"/>
                      <w:szCs w:val="21"/>
                    </w:rPr>
                    <w:t>42</w:t>
                  </w:r>
                </w:p>
              </w:tc>
              <w:tc>
                <w:tcPr>
                  <w:tcW w:w="1212" w:type="dxa"/>
                  <w:vMerge w:val="continue"/>
                  <w:vAlign w:val="center"/>
                </w:tcPr>
                <w:p w14:paraId="520ACC90">
                  <w:pPr>
                    <w:adjustRightInd w:val="0"/>
                    <w:snapToGrid w:val="0"/>
                    <w:jc w:val="center"/>
                    <w:textAlignment w:val="baseline"/>
                    <w:rPr>
                      <w:kern w:val="0"/>
                      <w:szCs w:val="21"/>
                    </w:rPr>
                  </w:pPr>
                </w:p>
              </w:tc>
              <w:tc>
                <w:tcPr>
                  <w:tcW w:w="851" w:type="dxa"/>
                  <w:vAlign w:val="center"/>
                </w:tcPr>
                <w:p w14:paraId="520ACC91">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C92">
                  <w:pPr>
                    <w:adjustRightInd w:val="0"/>
                    <w:snapToGrid w:val="0"/>
                    <w:jc w:val="center"/>
                    <w:textAlignment w:val="baseline"/>
                    <w:rPr>
                      <w:kern w:val="0"/>
                      <w:szCs w:val="21"/>
                      <w:highlight w:val="yellow"/>
                    </w:rPr>
                  </w:pPr>
                  <w:r>
                    <w:rPr>
                      <w:rFonts w:hint="eastAsia"/>
                      <w:kern w:val="0"/>
                      <w:szCs w:val="21"/>
                    </w:rPr>
                    <w:t>42</w:t>
                  </w:r>
                </w:p>
              </w:tc>
              <w:tc>
                <w:tcPr>
                  <w:tcW w:w="1984" w:type="dxa"/>
                  <w:vMerge w:val="continue"/>
                  <w:vAlign w:val="center"/>
                </w:tcPr>
                <w:p w14:paraId="520ACC93">
                  <w:pPr>
                    <w:widowControl/>
                    <w:adjustRightInd w:val="0"/>
                    <w:snapToGrid w:val="0"/>
                    <w:jc w:val="center"/>
                    <w:textAlignment w:val="baseline"/>
                    <w:rPr>
                      <w:kern w:val="0"/>
                      <w:szCs w:val="21"/>
                      <w:highlight w:val="yellow"/>
                    </w:rPr>
                  </w:pPr>
                </w:p>
              </w:tc>
              <w:tc>
                <w:tcPr>
                  <w:tcW w:w="730" w:type="dxa"/>
                  <w:vMerge w:val="continue"/>
                  <w:vAlign w:val="center"/>
                </w:tcPr>
                <w:p w14:paraId="520ACC94">
                  <w:pPr>
                    <w:adjustRightInd w:val="0"/>
                    <w:snapToGrid w:val="0"/>
                    <w:jc w:val="center"/>
                    <w:textAlignment w:val="baseline"/>
                    <w:rPr>
                      <w:kern w:val="0"/>
                      <w:szCs w:val="21"/>
                    </w:rPr>
                  </w:pPr>
                </w:p>
              </w:tc>
            </w:tr>
            <w:tr w14:paraId="520ACC9E">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restart"/>
                  <w:vAlign w:val="center"/>
                </w:tcPr>
                <w:p w14:paraId="520ACC96">
                  <w:pPr>
                    <w:adjustRightInd w:val="0"/>
                    <w:snapToGrid w:val="0"/>
                    <w:jc w:val="center"/>
                    <w:textAlignment w:val="baseline"/>
                    <w:rPr>
                      <w:kern w:val="0"/>
                      <w:szCs w:val="21"/>
                    </w:rPr>
                  </w:pPr>
                  <w:r>
                    <w:rPr>
                      <w:rFonts w:hint="eastAsia"/>
                      <w:szCs w:val="21"/>
                    </w:rPr>
                    <w:t>尚都国际</w:t>
                  </w:r>
                </w:p>
              </w:tc>
              <w:tc>
                <w:tcPr>
                  <w:tcW w:w="712" w:type="dxa"/>
                  <w:vAlign w:val="center"/>
                </w:tcPr>
                <w:p w14:paraId="520ACC97">
                  <w:pPr>
                    <w:adjustRightInd w:val="0"/>
                    <w:snapToGrid w:val="0"/>
                    <w:jc w:val="center"/>
                    <w:textAlignment w:val="baseline"/>
                    <w:rPr>
                      <w:kern w:val="0"/>
                      <w:szCs w:val="21"/>
                    </w:rPr>
                  </w:pPr>
                  <w:r>
                    <w:rPr>
                      <w:kern w:val="0"/>
                      <w:szCs w:val="21"/>
                    </w:rPr>
                    <w:t>昼</w:t>
                  </w:r>
                  <w:r>
                    <w:rPr>
                      <w:rFonts w:hint="eastAsia"/>
                      <w:kern w:val="0"/>
                      <w:szCs w:val="21"/>
                    </w:rPr>
                    <w:t>间</w:t>
                  </w:r>
                </w:p>
              </w:tc>
              <w:tc>
                <w:tcPr>
                  <w:tcW w:w="912" w:type="dxa"/>
                  <w:vAlign w:val="center"/>
                </w:tcPr>
                <w:p w14:paraId="520ACC98">
                  <w:pPr>
                    <w:adjustRightInd w:val="0"/>
                    <w:snapToGrid w:val="0"/>
                    <w:jc w:val="center"/>
                    <w:textAlignment w:val="baseline"/>
                    <w:rPr>
                      <w:kern w:val="0"/>
                      <w:szCs w:val="21"/>
                    </w:rPr>
                  </w:pPr>
                  <w:r>
                    <w:rPr>
                      <w:rFonts w:hint="eastAsia"/>
                      <w:kern w:val="0"/>
                      <w:szCs w:val="21"/>
                    </w:rPr>
                    <w:t>54</w:t>
                  </w:r>
                </w:p>
              </w:tc>
              <w:tc>
                <w:tcPr>
                  <w:tcW w:w="1212" w:type="dxa"/>
                  <w:vMerge w:val="restart"/>
                  <w:vAlign w:val="center"/>
                </w:tcPr>
                <w:p w14:paraId="520ACC99">
                  <w:pPr>
                    <w:adjustRightInd w:val="0"/>
                    <w:snapToGrid w:val="0"/>
                    <w:jc w:val="center"/>
                    <w:textAlignment w:val="baseline"/>
                    <w:rPr>
                      <w:kern w:val="0"/>
                      <w:szCs w:val="21"/>
                    </w:rPr>
                  </w:pPr>
                  <w:r>
                    <w:rPr>
                      <w:rFonts w:hint="eastAsia"/>
                      <w:kern w:val="0"/>
                      <w:szCs w:val="21"/>
                    </w:rPr>
                    <w:t>0</w:t>
                  </w:r>
                </w:p>
              </w:tc>
              <w:tc>
                <w:tcPr>
                  <w:tcW w:w="851" w:type="dxa"/>
                  <w:vAlign w:val="center"/>
                </w:tcPr>
                <w:p w14:paraId="520ACC9A">
                  <w:pPr>
                    <w:adjustRightInd w:val="0"/>
                    <w:snapToGrid w:val="0"/>
                    <w:jc w:val="center"/>
                    <w:textAlignment w:val="baseline"/>
                    <w:rPr>
                      <w:kern w:val="0"/>
                      <w:szCs w:val="21"/>
                    </w:rPr>
                  </w:pPr>
                  <w:r>
                    <w:rPr>
                      <w:kern w:val="0"/>
                      <w:szCs w:val="21"/>
                    </w:rPr>
                    <w:t>昼</w:t>
                  </w:r>
                  <w:r>
                    <w:rPr>
                      <w:rFonts w:hint="eastAsia"/>
                      <w:kern w:val="0"/>
                      <w:szCs w:val="21"/>
                    </w:rPr>
                    <w:t>间</w:t>
                  </w:r>
                </w:p>
              </w:tc>
              <w:tc>
                <w:tcPr>
                  <w:tcW w:w="709" w:type="dxa"/>
                  <w:vAlign w:val="center"/>
                </w:tcPr>
                <w:p w14:paraId="520ACC9B">
                  <w:pPr>
                    <w:adjustRightInd w:val="0"/>
                    <w:snapToGrid w:val="0"/>
                    <w:jc w:val="center"/>
                    <w:textAlignment w:val="baseline"/>
                    <w:rPr>
                      <w:kern w:val="0"/>
                      <w:szCs w:val="21"/>
                      <w:highlight w:val="yellow"/>
                    </w:rPr>
                  </w:pPr>
                  <w:r>
                    <w:rPr>
                      <w:rFonts w:hint="eastAsia"/>
                      <w:kern w:val="0"/>
                      <w:szCs w:val="21"/>
                    </w:rPr>
                    <w:t>54</w:t>
                  </w:r>
                </w:p>
              </w:tc>
              <w:tc>
                <w:tcPr>
                  <w:tcW w:w="1984" w:type="dxa"/>
                  <w:vMerge w:val="continue"/>
                  <w:vAlign w:val="center"/>
                </w:tcPr>
                <w:p w14:paraId="520ACC9C">
                  <w:pPr>
                    <w:widowControl/>
                    <w:adjustRightInd w:val="0"/>
                    <w:snapToGrid w:val="0"/>
                    <w:jc w:val="center"/>
                    <w:textAlignment w:val="baseline"/>
                    <w:rPr>
                      <w:kern w:val="0"/>
                      <w:szCs w:val="21"/>
                      <w:highlight w:val="yellow"/>
                    </w:rPr>
                  </w:pPr>
                </w:p>
              </w:tc>
              <w:tc>
                <w:tcPr>
                  <w:tcW w:w="730" w:type="dxa"/>
                  <w:vMerge w:val="restart"/>
                  <w:vAlign w:val="center"/>
                </w:tcPr>
                <w:p w14:paraId="520ACC9D">
                  <w:pPr>
                    <w:adjustRightInd w:val="0"/>
                    <w:snapToGrid w:val="0"/>
                    <w:jc w:val="center"/>
                    <w:textAlignment w:val="baseline"/>
                    <w:rPr>
                      <w:kern w:val="0"/>
                      <w:szCs w:val="21"/>
                    </w:rPr>
                  </w:pPr>
                  <w:r>
                    <w:rPr>
                      <w:rFonts w:hint="eastAsia"/>
                      <w:kern w:val="0"/>
                      <w:szCs w:val="21"/>
                    </w:rPr>
                    <w:t>达标</w:t>
                  </w:r>
                </w:p>
              </w:tc>
            </w:tr>
            <w:tr w14:paraId="520ACCA7">
              <w:tblPrEx>
                <w:tblBorders>
                  <w:top w:val="single" w:color="000000" w:sz="8" w:space="0"/>
                  <w:left w:val="none" w:color="auto" w:sz="0" w:space="0"/>
                  <w:bottom w:val="single" w:color="000000" w:sz="8" w:space="0"/>
                  <w:right w:val="none" w:color="auto" w:sz="0" w:space="0"/>
                  <w:insideH w:val="single" w:color="000000" w:sz="6" w:space="0"/>
                  <w:insideV w:val="single" w:color="000000" w:sz="6" w:space="0"/>
                </w:tblBorders>
                <w:tblCellMar>
                  <w:top w:w="0" w:type="dxa"/>
                  <w:left w:w="28" w:type="dxa"/>
                  <w:bottom w:w="0" w:type="dxa"/>
                  <w:right w:w="28" w:type="dxa"/>
                </w:tblCellMar>
              </w:tblPrEx>
              <w:trPr>
                <w:trHeight w:val="397" w:hRule="atLeast"/>
                <w:jc w:val="center"/>
              </w:trPr>
              <w:tc>
                <w:tcPr>
                  <w:tcW w:w="1025" w:type="dxa"/>
                  <w:vMerge w:val="continue"/>
                  <w:vAlign w:val="center"/>
                </w:tcPr>
                <w:p w14:paraId="520ACC9F">
                  <w:pPr>
                    <w:adjustRightInd w:val="0"/>
                    <w:snapToGrid w:val="0"/>
                    <w:jc w:val="center"/>
                    <w:textAlignment w:val="baseline"/>
                    <w:rPr>
                      <w:kern w:val="0"/>
                      <w:szCs w:val="21"/>
                    </w:rPr>
                  </w:pPr>
                </w:p>
              </w:tc>
              <w:tc>
                <w:tcPr>
                  <w:tcW w:w="712" w:type="dxa"/>
                  <w:vAlign w:val="center"/>
                </w:tcPr>
                <w:p w14:paraId="520ACCA0">
                  <w:pPr>
                    <w:adjustRightInd w:val="0"/>
                    <w:snapToGrid w:val="0"/>
                    <w:jc w:val="center"/>
                    <w:textAlignment w:val="baseline"/>
                    <w:rPr>
                      <w:kern w:val="0"/>
                      <w:szCs w:val="21"/>
                    </w:rPr>
                  </w:pPr>
                  <w:r>
                    <w:rPr>
                      <w:kern w:val="0"/>
                      <w:szCs w:val="21"/>
                    </w:rPr>
                    <w:t>夜</w:t>
                  </w:r>
                  <w:r>
                    <w:rPr>
                      <w:rFonts w:hint="eastAsia"/>
                      <w:kern w:val="0"/>
                      <w:szCs w:val="21"/>
                    </w:rPr>
                    <w:t>间</w:t>
                  </w:r>
                </w:p>
              </w:tc>
              <w:tc>
                <w:tcPr>
                  <w:tcW w:w="912" w:type="dxa"/>
                  <w:vAlign w:val="center"/>
                </w:tcPr>
                <w:p w14:paraId="520ACCA1">
                  <w:pPr>
                    <w:adjustRightInd w:val="0"/>
                    <w:snapToGrid w:val="0"/>
                    <w:jc w:val="center"/>
                    <w:textAlignment w:val="baseline"/>
                    <w:rPr>
                      <w:kern w:val="0"/>
                      <w:szCs w:val="21"/>
                    </w:rPr>
                  </w:pPr>
                  <w:r>
                    <w:rPr>
                      <w:rFonts w:hint="eastAsia"/>
                      <w:kern w:val="0"/>
                      <w:szCs w:val="21"/>
                    </w:rPr>
                    <w:t>42</w:t>
                  </w:r>
                </w:p>
              </w:tc>
              <w:tc>
                <w:tcPr>
                  <w:tcW w:w="1212" w:type="dxa"/>
                  <w:vMerge w:val="continue"/>
                  <w:vAlign w:val="center"/>
                </w:tcPr>
                <w:p w14:paraId="520ACCA2">
                  <w:pPr>
                    <w:adjustRightInd w:val="0"/>
                    <w:snapToGrid w:val="0"/>
                    <w:jc w:val="center"/>
                    <w:textAlignment w:val="baseline"/>
                    <w:rPr>
                      <w:kern w:val="0"/>
                      <w:szCs w:val="21"/>
                      <w:highlight w:val="yellow"/>
                    </w:rPr>
                  </w:pPr>
                </w:p>
              </w:tc>
              <w:tc>
                <w:tcPr>
                  <w:tcW w:w="851" w:type="dxa"/>
                  <w:vAlign w:val="center"/>
                </w:tcPr>
                <w:p w14:paraId="520ACCA3">
                  <w:pPr>
                    <w:adjustRightInd w:val="0"/>
                    <w:snapToGrid w:val="0"/>
                    <w:jc w:val="center"/>
                    <w:textAlignment w:val="baseline"/>
                    <w:rPr>
                      <w:kern w:val="0"/>
                      <w:szCs w:val="21"/>
                    </w:rPr>
                  </w:pPr>
                  <w:r>
                    <w:rPr>
                      <w:kern w:val="0"/>
                      <w:szCs w:val="21"/>
                    </w:rPr>
                    <w:t>夜</w:t>
                  </w:r>
                  <w:r>
                    <w:rPr>
                      <w:rFonts w:hint="eastAsia"/>
                      <w:kern w:val="0"/>
                      <w:szCs w:val="21"/>
                    </w:rPr>
                    <w:t>间</w:t>
                  </w:r>
                </w:p>
              </w:tc>
              <w:tc>
                <w:tcPr>
                  <w:tcW w:w="709" w:type="dxa"/>
                  <w:vAlign w:val="center"/>
                </w:tcPr>
                <w:p w14:paraId="520ACCA4">
                  <w:pPr>
                    <w:adjustRightInd w:val="0"/>
                    <w:snapToGrid w:val="0"/>
                    <w:jc w:val="center"/>
                    <w:textAlignment w:val="baseline"/>
                    <w:rPr>
                      <w:kern w:val="0"/>
                      <w:szCs w:val="21"/>
                      <w:highlight w:val="yellow"/>
                    </w:rPr>
                  </w:pPr>
                  <w:r>
                    <w:rPr>
                      <w:rFonts w:hint="eastAsia"/>
                      <w:kern w:val="0"/>
                      <w:szCs w:val="21"/>
                    </w:rPr>
                    <w:t>42</w:t>
                  </w:r>
                </w:p>
              </w:tc>
              <w:tc>
                <w:tcPr>
                  <w:tcW w:w="1984" w:type="dxa"/>
                  <w:vMerge w:val="continue"/>
                  <w:vAlign w:val="center"/>
                </w:tcPr>
                <w:p w14:paraId="520ACCA5">
                  <w:pPr>
                    <w:widowControl/>
                    <w:adjustRightInd w:val="0"/>
                    <w:snapToGrid w:val="0"/>
                    <w:jc w:val="center"/>
                    <w:textAlignment w:val="baseline"/>
                    <w:rPr>
                      <w:kern w:val="0"/>
                      <w:szCs w:val="21"/>
                      <w:highlight w:val="yellow"/>
                    </w:rPr>
                  </w:pPr>
                </w:p>
              </w:tc>
              <w:tc>
                <w:tcPr>
                  <w:tcW w:w="730" w:type="dxa"/>
                  <w:vMerge w:val="continue"/>
                  <w:vAlign w:val="center"/>
                </w:tcPr>
                <w:p w14:paraId="520ACCA6">
                  <w:pPr>
                    <w:adjustRightInd w:val="0"/>
                    <w:snapToGrid w:val="0"/>
                    <w:jc w:val="center"/>
                    <w:textAlignment w:val="baseline"/>
                    <w:rPr>
                      <w:kern w:val="0"/>
                      <w:szCs w:val="21"/>
                      <w:highlight w:val="yellow"/>
                    </w:rPr>
                  </w:pPr>
                </w:p>
              </w:tc>
            </w:tr>
          </w:tbl>
          <w:p w14:paraId="520ACCA8">
            <w:pPr>
              <w:tabs>
                <w:tab w:val="left" w:pos="8370"/>
                <w:tab w:val="left" w:pos="8600"/>
              </w:tabs>
              <w:spacing w:line="460" w:lineRule="exact"/>
              <w:ind w:firstLine="480" w:firstLineChars="200"/>
              <w:rPr>
                <w:sz w:val="24"/>
              </w:rPr>
            </w:pPr>
            <w:r>
              <w:rPr>
                <w:rFonts w:hint="eastAsia"/>
                <w:bCs/>
                <w:sz w:val="24"/>
              </w:rPr>
              <w:t>由</w:t>
            </w:r>
            <w:r>
              <w:rPr>
                <w:rFonts w:hint="eastAsia"/>
                <w:kern w:val="0"/>
                <w:sz w:val="24"/>
                <w:szCs w:val="20"/>
              </w:rPr>
              <w:t>上表</w:t>
            </w:r>
            <w:r>
              <w:rPr>
                <w:rFonts w:hint="eastAsia"/>
                <w:bCs/>
                <w:sz w:val="24"/>
              </w:rPr>
              <w:t>预测结果可知，</w:t>
            </w:r>
            <w:r>
              <w:rPr>
                <w:sz w:val="24"/>
              </w:rPr>
              <w:t>项目生产期间高噪声设备经减振、隔声后并与现状值叠加后，</w:t>
            </w:r>
            <w:r>
              <w:rPr>
                <w:rFonts w:hint="eastAsia"/>
                <w:sz w:val="24"/>
              </w:rPr>
              <w:t>建设路厂区及解放路厂区四周厂界</w:t>
            </w:r>
            <w:r>
              <w:rPr>
                <w:sz w:val="24"/>
              </w:rPr>
              <w:t>噪声预测值</w:t>
            </w:r>
            <w:r>
              <w:rPr>
                <w:rFonts w:hint="eastAsia"/>
                <w:sz w:val="24"/>
              </w:rPr>
              <w:t>均</w:t>
            </w:r>
            <w:r>
              <w:rPr>
                <w:sz w:val="24"/>
              </w:rPr>
              <w:t>能够满足《工业企业厂界环境噪声排放标准》（GB12348-2008）</w:t>
            </w:r>
            <w:r>
              <w:rPr>
                <w:rFonts w:hint="eastAsia"/>
                <w:bCs/>
                <w:sz w:val="24"/>
              </w:rPr>
              <w:t>2</w:t>
            </w:r>
            <w:r>
              <w:rPr>
                <w:bCs/>
                <w:sz w:val="24"/>
              </w:rPr>
              <w:t>类昼间6</w:t>
            </w:r>
            <w:r>
              <w:rPr>
                <w:rFonts w:hint="eastAsia"/>
                <w:bCs/>
                <w:sz w:val="24"/>
              </w:rPr>
              <w:t>0</w:t>
            </w:r>
            <w:r>
              <w:rPr>
                <w:bCs/>
                <w:sz w:val="24"/>
              </w:rPr>
              <w:t>dB(A)</w:t>
            </w:r>
            <w:r>
              <w:rPr>
                <w:rFonts w:hint="eastAsia"/>
                <w:bCs/>
                <w:sz w:val="24"/>
              </w:rPr>
              <w:t>、夜间50</w:t>
            </w:r>
            <w:r>
              <w:rPr>
                <w:bCs/>
                <w:sz w:val="24"/>
              </w:rPr>
              <w:t>dB(A)</w:t>
            </w:r>
            <w:r>
              <w:rPr>
                <w:sz w:val="24"/>
              </w:rPr>
              <w:t>的标准要求</w:t>
            </w:r>
            <w:r>
              <w:rPr>
                <w:rFonts w:hint="eastAsia"/>
                <w:sz w:val="24"/>
              </w:rPr>
              <w:t>，厂界外50米范围内的新乡市第一实验学校的噪声预测值能够满足《声环境质量标准》（GB3096-2008）1类标准昼间55dB(A)、夜间45dB(A)，厂界外50米范围内其他环境敏感目标的噪声预测值均能够满足《声环境质量标准》（GB3096-2008）2类标准昼间60dB(A)、夜间50dB(A)的要求。综上所述，本项目噪声</w:t>
            </w:r>
            <w:r>
              <w:rPr>
                <w:sz w:val="24"/>
              </w:rPr>
              <w:t>对四周环境影响较小</w:t>
            </w:r>
            <w:r>
              <w:rPr>
                <w:rFonts w:hint="eastAsia"/>
                <w:sz w:val="24"/>
              </w:rPr>
              <w:t>。</w:t>
            </w:r>
          </w:p>
          <w:p w14:paraId="109392CB">
            <w:pPr>
              <w:tabs>
                <w:tab w:val="left" w:pos="8370"/>
                <w:tab w:val="left" w:pos="8600"/>
              </w:tabs>
              <w:spacing w:line="460" w:lineRule="exact"/>
              <w:ind w:firstLine="480" w:firstLineChars="200"/>
              <w:rPr>
                <w:sz w:val="24"/>
              </w:rPr>
            </w:pPr>
            <w:r>
              <w:rPr>
                <w:rFonts w:hint="eastAsia"/>
                <w:sz w:val="24"/>
              </w:rPr>
              <w:t>此外，由于建设路厂区和解放路厂区界外敏感点较多且距离很近，为减少项日新增声源对周边敏感点的影响，评价要求本次153-1、1205、105厂房新增的设备设置在距离厂界较远的车间东侧，101厂房新增设备设置在距离厂界较远的车间北侧，1206厂房新增设备设置在距离厂界较远的车间西侧，并设置隔声板，最大程度降低本项目新增噪声源对周边环境的影响，保证区域声环境质量达标。</w:t>
            </w:r>
          </w:p>
          <w:p w14:paraId="520ACCA9">
            <w:pPr>
              <w:adjustRightInd w:val="0"/>
              <w:snapToGrid w:val="0"/>
              <w:spacing w:line="460" w:lineRule="exact"/>
              <w:ind w:firstLine="482" w:firstLineChars="200"/>
              <w:rPr>
                <w:b/>
                <w:sz w:val="24"/>
              </w:rPr>
            </w:pPr>
            <w:r>
              <w:rPr>
                <w:rFonts w:hint="eastAsia"/>
                <w:b/>
                <w:sz w:val="24"/>
              </w:rPr>
              <w:t>4、监测要求</w:t>
            </w:r>
          </w:p>
          <w:p w14:paraId="520ACCAA">
            <w:pPr>
              <w:adjustRightInd w:val="0"/>
              <w:snapToGrid w:val="0"/>
              <w:spacing w:line="460" w:lineRule="exact"/>
              <w:ind w:firstLine="480" w:firstLineChars="200"/>
              <w:rPr>
                <w:sz w:val="24"/>
              </w:rPr>
            </w:pPr>
            <w:r>
              <w:rPr>
                <w:sz w:val="24"/>
              </w:rPr>
              <w:t>根据《</w:t>
            </w:r>
            <w:r>
              <w:rPr>
                <w:rFonts w:hint="eastAsia"/>
                <w:sz w:val="24"/>
              </w:rPr>
              <w:t>排污许可证申请与核发技术规范 工业噪声</w:t>
            </w:r>
            <w:r>
              <w:rPr>
                <w:sz w:val="24"/>
              </w:rPr>
              <w:t>》（HJ 1</w:t>
            </w:r>
            <w:r>
              <w:rPr>
                <w:rFonts w:hint="eastAsia"/>
                <w:sz w:val="24"/>
              </w:rPr>
              <w:t>301</w:t>
            </w:r>
            <w:r>
              <w:rPr>
                <w:sz w:val="24"/>
              </w:rPr>
              <w:t>-202</w:t>
            </w:r>
            <w:r>
              <w:rPr>
                <w:rFonts w:hint="eastAsia"/>
                <w:sz w:val="24"/>
              </w:rPr>
              <w:t>3</w:t>
            </w:r>
            <w:r>
              <w:rPr>
                <w:sz w:val="24"/>
              </w:rPr>
              <w:t>）的规定，评价提出项目在生产运行阶段的污染源监测计划，具体监测计划见下表。</w:t>
            </w:r>
          </w:p>
          <w:p w14:paraId="520ACCAB">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75</w:t>
            </w:r>
            <w:r>
              <w:rPr>
                <w:rFonts w:eastAsia="黑体"/>
                <w:sz w:val="24"/>
              </w:rPr>
              <w:t xml:space="preserve">               污染源自行监测计划表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026"/>
              <w:gridCol w:w="1472"/>
              <w:gridCol w:w="1647"/>
              <w:gridCol w:w="964"/>
              <w:gridCol w:w="3026"/>
            </w:tblGrid>
            <w:tr w14:paraId="520ACCB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26" w:type="dxa"/>
                  <w:vAlign w:val="center"/>
                </w:tcPr>
                <w:p w14:paraId="520ACCAC">
                  <w:pPr>
                    <w:autoSpaceDE w:val="0"/>
                    <w:autoSpaceDN w:val="0"/>
                    <w:adjustRightInd w:val="0"/>
                    <w:snapToGrid w:val="0"/>
                    <w:jc w:val="center"/>
                    <w:rPr>
                      <w:b/>
                      <w:bCs/>
                      <w:kern w:val="0"/>
                      <w:szCs w:val="21"/>
                    </w:rPr>
                  </w:pPr>
                  <w:r>
                    <w:rPr>
                      <w:b/>
                      <w:bCs/>
                      <w:kern w:val="0"/>
                      <w:szCs w:val="21"/>
                    </w:rPr>
                    <w:t>监控类别</w:t>
                  </w:r>
                </w:p>
              </w:tc>
              <w:tc>
                <w:tcPr>
                  <w:tcW w:w="1472" w:type="dxa"/>
                  <w:tcMar>
                    <w:top w:w="0" w:type="dxa"/>
                    <w:left w:w="28" w:type="dxa"/>
                    <w:bottom w:w="0" w:type="dxa"/>
                    <w:right w:w="28" w:type="dxa"/>
                  </w:tcMar>
                  <w:vAlign w:val="center"/>
                </w:tcPr>
                <w:p w14:paraId="520ACCAD">
                  <w:pPr>
                    <w:autoSpaceDE w:val="0"/>
                    <w:autoSpaceDN w:val="0"/>
                    <w:adjustRightInd w:val="0"/>
                    <w:snapToGrid w:val="0"/>
                    <w:jc w:val="center"/>
                    <w:rPr>
                      <w:b/>
                      <w:bCs/>
                      <w:kern w:val="0"/>
                      <w:szCs w:val="21"/>
                    </w:rPr>
                  </w:pPr>
                  <w:r>
                    <w:rPr>
                      <w:b/>
                      <w:bCs/>
                      <w:kern w:val="0"/>
                      <w:szCs w:val="21"/>
                    </w:rPr>
                    <w:t>监测指标</w:t>
                  </w:r>
                </w:p>
              </w:tc>
              <w:tc>
                <w:tcPr>
                  <w:tcW w:w="1647" w:type="dxa"/>
                  <w:tcMar>
                    <w:top w:w="0" w:type="dxa"/>
                    <w:left w:w="28" w:type="dxa"/>
                    <w:bottom w:w="0" w:type="dxa"/>
                    <w:right w:w="28" w:type="dxa"/>
                  </w:tcMar>
                  <w:vAlign w:val="center"/>
                </w:tcPr>
                <w:p w14:paraId="520ACCAE">
                  <w:pPr>
                    <w:autoSpaceDE w:val="0"/>
                    <w:autoSpaceDN w:val="0"/>
                    <w:adjustRightInd w:val="0"/>
                    <w:snapToGrid w:val="0"/>
                    <w:jc w:val="center"/>
                    <w:rPr>
                      <w:b/>
                      <w:bCs/>
                      <w:kern w:val="0"/>
                      <w:szCs w:val="21"/>
                    </w:rPr>
                  </w:pPr>
                  <w:r>
                    <w:rPr>
                      <w:b/>
                      <w:bCs/>
                      <w:kern w:val="0"/>
                      <w:szCs w:val="21"/>
                    </w:rPr>
                    <w:t>监测点位</w:t>
                  </w:r>
                </w:p>
              </w:tc>
              <w:tc>
                <w:tcPr>
                  <w:tcW w:w="964" w:type="dxa"/>
                  <w:tcMar>
                    <w:top w:w="0" w:type="dxa"/>
                    <w:left w:w="28" w:type="dxa"/>
                    <w:bottom w:w="0" w:type="dxa"/>
                    <w:right w:w="28" w:type="dxa"/>
                  </w:tcMar>
                  <w:vAlign w:val="center"/>
                </w:tcPr>
                <w:p w14:paraId="520ACCAF">
                  <w:pPr>
                    <w:autoSpaceDE w:val="0"/>
                    <w:autoSpaceDN w:val="0"/>
                    <w:adjustRightInd w:val="0"/>
                    <w:snapToGrid w:val="0"/>
                    <w:jc w:val="center"/>
                    <w:rPr>
                      <w:b/>
                      <w:bCs/>
                      <w:kern w:val="0"/>
                      <w:szCs w:val="21"/>
                    </w:rPr>
                  </w:pPr>
                  <w:r>
                    <w:rPr>
                      <w:b/>
                      <w:bCs/>
                      <w:kern w:val="0"/>
                      <w:szCs w:val="21"/>
                    </w:rPr>
                    <w:t>监测频次</w:t>
                  </w:r>
                </w:p>
              </w:tc>
              <w:tc>
                <w:tcPr>
                  <w:tcW w:w="3026" w:type="dxa"/>
                  <w:tcMar>
                    <w:top w:w="0" w:type="dxa"/>
                    <w:left w:w="28" w:type="dxa"/>
                    <w:bottom w:w="0" w:type="dxa"/>
                    <w:right w:w="28" w:type="dxa"/>
                  </w:tcMar>
                  <w:vAlign w:val="center"/>
                </w:tcPr>
                <w:p w14:paraId="520ACCB0">
                  <w:pPr>
                    <w:autoSpaceDE w:val="0"/>
                    <w:autoSpaceDN w:val="0"/>
                    <w:adjustRightInd w:val="0"/>
                    <w:snapToGrid w:val="0"/>
                    <w:jc w:val="center"/>
                    <w:rPr>
                      <w:b/>
                      <w:bCs/>
                      <w:kern w:val="0"/>
                      <w:szCs w:val="21"/>
                    </w:rPr>
                  </w:pPr>
                  <w:r>
                    <w:rPr>
                      <w:b/>
                      <w:bCs/>
                      <w:kern w:val="0"/>
                      <w:szCs w:val="21"/>
                    </w:rPr>
                    <w:t>执行排放标准</w:t>
                  </w:r>
                </w:p>
              </w:tc>
            </w:tr>
            <w:tr w14:paraId="520ACCB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26" w:type="dxa"/>
                  <w:tcMar>
                    <w:top w:w="0" w:type="dxa"/>
                    <w:left w:w="28" w:type="dxa"/>
                    <w:bottom w:w="0" w:type="dxa"/>
                    <w:right w:w="28" w:type="dxa"/>
                  </w:tcMar>
                  <w:vAlign w:val="center"/>
                </w:tcPr>
                <w:p w14:paraId="520ACCB2">
                  <w:pPr>
                    <w:autoSpaceDE w:val="0"/>
                    <w:autoSpaceDN w:val="0"/>
                    <w:adjustRightInd w:val="0"/>
                    <w:snapToGrid w:val="0"/>
                    <w:jc w:val="center"/>
                    <w:rPr>
                      <w:szCs w:val="21"/>
                    </w:rPr>
                  </w:pPr>
                  <w:r>
                    <w:rPr>
                      <w:szCs w:val="21"/>
                    </w:rPr>
                    <w:t>噪声</w:t>
                  </w:r>
                </w:p>
              </w:tc>
              <w:tc>
                <w:tcPr>
                  <w:tcW w:w="1472" w:type="dxa"/>
                  <w:tcMar>
                    <w:top w:w="0" w:type="dxa"/>
                    <w:left w:w="28" w:type="dxa"/>
                    <w:bottom w:w="0" w:type="dxa"/>
                    <w:right w:w="28" w:type="dxa"/>
                  </w:tcMar>
                  <w:vAlign w:val="center"/>
                </w:tcPr>
                <w:p w14:paraId="520ACCB3">
                  <w:pPr>
                    <w:autoSpaceDE w:val="0"/>
                    <w:autoSpaceDN w:val="0"/>
                    <w:adjustRightInd w:val="0"/>
                    <w:snapToGrid w:val="0"/>
                    <w:jc w:val="center"/>
                    <w:rPr>
                      <w:kern w:val="0"/>
                      <w:szCs w:val="21"/>
                    </w:rPr>
                  </w:pPr>
                  <w:r>
                    <w:rPr>
                      <w:kern w:val="0"/>
                      <w:szCs w:val="21"/>
                    </w:rPr>
                    <w:t>等效连续A声级</w:t>
                  </w:r>
                </w:p>
              </w:tc>
              <w:tc>
                <w:tcPr>
                  <w:tcW w:w="1647" w:type="dxa"/>
                  <w:tcMar>
                    <w:top w:w="0" w:type="dxa"/>
                    <w:left w:w="28" w:type="dxa"/>
                    <w:bottom w:w="0" w:type="dxa"/>
                    <w:right w:w="28" w:type="dxa"/>
                  </w:tcMar>
                  <w:vAlign w:val="center"/>
                </w:tcPr>
                <w:p w14:paraId="520ACCB4">
                  <w:pPr>
                    <w:autoSpaceDE w:val="0"/>
                    <w:autoSpaceDN w:val="0"/>
                    <w:adjustRightInd w:val="0"/>
                    <w:snapToGrid w:val="0"/>
                    <w:jc w:val="center"/>
                    <w:rPr>
                      <w:kern w:val="0"/>
                      <w:szCs w:val="21"/>
                    </w:rPr>
                  </w:pPr>
                  <w:r>
                    <w:rPr>
                      <w:kern w:val="0"/>
                      <w:szCs w:val="21"/>
                    </w:rPr>
                    <w:t>四周厂界外1m处</w:t>
                  </w:r>
                </w:p>
              </w:tc>
              <w:tc>
                <w:tcPr>
                  <w:tcW w:w="964" w:type="dxa"/>
                  <w:tcMar>
                    <w:top w:w="0" w:type="dxa"/>
                    <w:left w:w="28" w:type="dxa"/>
                    <w:bottom w:w="0" w:type="dxa"/>
                    <w:right w:w="28" w:type="dxa"/>
                  </w:tcMar>
                  <w:vAlign w:val="center"/>
                </w:tcPr>
                <w:p w14:paraId="520ACCB5">
                  <w:pPr>
                    <w:autoSpaceDE w:val="0"/>
                    <w:autoSpaceDN w:val="0"/>
                    <w:adjustRightInd w:val="0"/>
                    <w:snapToGrid w:val="0"/>
                    <w:jc w:val="center"/>
                    <w:rPr>
                      <w:kern w:val="0"/>
                      <w:szCs w:val="21"/>
                    </w:rPr>
                  </w:pPr>
                  <w:r>
                    <w:rPr>
                      <w:rFonts w:hint="eastAsia"/>
                      <w:kern w:val="0"/>
                      <w:szCs w:val="21"/>
                    </w:rPr>
                    <w:t>1次/季度</w:t>
                  </w:r>
                </w:p>
              </w:tc>
              <w:tc>
                <w:tcPr>
                  <w:tcW w:w="3026" w:type="dxa"/>
                  <w:tcMar>
                    <w:top w:w="0" w:type="dxa"/>
                    <w:left w:w="28" w:type="dxa"/>
                    <w:bottom w:w="0" w:type="dxa"/>
                    <w:right w:w="28" w:type="dxa"/>
                  </w:tcMar>
                  <w:vAlign w:val="center"/>
                </w:tcPr>
                <w:p w14:paraId="520ACCB6">
                  <w:pPr>
                    <w:autoSpaceDE w:val="0"/>
                    <w:autoSpaceDN w:val="0"/>
                    <w:adjustRightInd w:val="0"/>
                    <w:snapToGrid w:val="0"/>
                    <w:jc w:val="center"/>
                    <w:rPr>
                      <w:kern w:val="0"/>
                      <w:szCs w:val="21"/>
                    </w:rPr>
                  </w:pPr>
                  <w:r>
                    <w:rPr>
                      <w:kern w:val="0"/>
                      <w:szCs w:val="21"/>
                    </w:rPr>
                    <w:t>《工业企业厂界环境噪声排放标准》（GB12348-2008）</w:t>
                  </w:r>
                  <w:r>
                    <w:rPr>
                      <w:rFonts w:hint="eastAsia"/>
                      <w:bCs/>
                      <w:kern w:val="0"/>
                      <w:szCs w:val="21"/>
                    </w:rPr>
                    <w:t>2</w:t>
                  </w:r>
                  <w:r>
                    <w:rPr>
                      <w:bCs/>
                      <w:kern w:val="0"/>
                      <w:szCs w:val="21"/>
                    </w:rPr>
                    <w:t>类</w:t>
                  </w:r>
                </w:p>
              </w:tc>
            </w:tr>
          </w:tbl>
          <w:p w14:paraId="520ACCB8">
            <w:pPr>
              <w:adjustRightInd w:val="0"/>
              <w:snapToGrid w:val="0"/>
              <w:spacing w:line="460" w:lineRule="exact"/>
              <w:ind w:firstLine="482" w:firstLineChars="200"/>
              <w:rPr>
                <w:bCs/>
                <w:spacing w:val="-10"/>
                <w:sz w:val="24"/>
              </w:rPr>
            </w:pPr>
            <w:r>
              <w:rPr>
                <w:b/>
                <w:sz w:val="24"/>
              </w:rPr>
              <w:t>四、固废</w:t>
            </w:r>
          </w:p>
          <w:p w14:paraId="520ACCB9">
            <w:pPr>
              <w:spacing w:line="460" w:lineRule="exact"/>
              <w:ind w:firstLine="480" w:firstLineChars="200"/>
              <w:rPr>
                <w:sz w:val="24"/>
              </w:rPr>
            </w:pPr>
            <w:r>
              <w:rPr>
                <w:sz w:val="24"/>
              </w:rPr>
              <w:t>本项目营运期</w:t>
            </w:r>
            <w:r>
              <w:rPr>
                <w:rFonts w:hint="eastAsia"/>
                <w:sz w:val="24"/>
              </w:rPr>
              <w:t>危险废物为建设路厂区机加工过程产生的废切削液，油类试验过程产生的废液压油、废滑油，有机废气治理设施产生的废活性炭。解放路厂区硫化机液压系统产生的废液压油。</w:t>
            </w:r>
          </w:p>
          <w:p w14:paraId="520ACCBA">
            <w:pPr>
              <w:tabs>
                <w:tab w:val="left" w:pos="8370"/>
                <w:tab w:val="left" w:pos="8600"/>
              </w:tabs>
              <w:spacing w:line="460" w:lineRule="exact"/>
              <w:ind w:firstLine="482" w:firstLineChars="200"/>
              <w:rPr>
                <w:b/>
                <w:bCs/>
                <w:sz w:val="24"/>
              </w:rPr>
            </w:pPr>
            <w:r>
              <w:rPr>
                <w:rFonts w:hint="eastAsia"/>
                <w:b/>
                <w:bCs/>
                <w:sz w:val="24"/>
              </w:rPr>
              <w:t>（一）危险废物</w:t>
            </w:r>
          </w:p>
          <w:p w14:paraId="520ACCBB">
            <w:pPr>
              <w:adjustRightInd w:val="0"/>
              <w:snapToGrid w:val="0"/>
              <w:spacing w:line="460" w:lineRule="exact"/>
              <w:ind w:firstLine="482" w:firstLineChars="200"/>
              <w:textAlignment w:val="baseline"/>
              <w:rPr>
                <w:b/>
                <w:bCs/>
                <w:sz w:val="24"/>
              </w:rPr>
            </w:pPr>
            <w:r>
              <w:rPr>
                <w:rFonts w:hint="eastAsia"/>
                <w:b/>
                <w:bCs/>
                <w:sz w:val="24"/>
              </w:rPr>
              <w:t>1、建设路厂区</w:t>
            </w:r>
          </w:p>
          <w:p w14:paraId="520ACCBC">
            <w:pPr>
              <w:adjustRightInd w:val="0"/>
              <w:snapToGrid w:val="0"/>
              <w:spacing w:line="460" w:lineRule="exact"/>
              <w:ind w:firstLine="480" w:firstLineChars="200"/>
              <w:textAlignment w:val="baseline"/>
              <w:rPr>
                <w:sz w:val="24"/>
                <w:highlight w:val="yellow"/>
              </w:rPr>
            </w:pPr>
            <w:r>
              <w:rPr>
                <w:rFonts w:hint="eastAsia"/>
                <w:sz w:val="24"/>
              </w:rPr>
              <w:t>（1）废切削液</w:t>
            </w:r>
          </w:p>
          <w:p w14:paraId="520ACCBD">
            <w:pPr>
              <w:adjustRightInd w:val="0"/>
              <w:snapToGrid w:val="0"/>
              <w:spacing w:line="460" w:lineRule="exact"/>
              <w:ind w:firstLine="480" w:firstLineChars="200"/>
              <w:textAlignment w:val="baseline"/>
              <w:rPr>
                <w:sz w:val="24"/>
              </w:rPr>
            </w:pPr>
            <w:r>
              <w:rPr>
                <w:rFonts w:hint="eastAsia"/>
                <w:sz w:val="24"/>
              </w:rPr>
              <w:t>本项目建设路厂区卧式加工中心（四轴）加工过程使用切削液，切削液使用过程中循环使用，每年更换一次，每次更换产生的废切削液量约0.0</w:t>
            </w:r>
            <w:r>
              <w:rPr>
                <w:rFonts w:hint="eastAsia"/>
                <w:sz w:val="24"/>
                <w:lang w:val="pt-BR"/>
              </w:rPr>
              <w:t>146t/a</w:t>
            </w:r>
            <w:r>
              <w:rPr>
                <w:rFonts w:hint="eastAsia"/>
                <w:sz w:val="24"/>
              </w:rPr>
              <w:t>。</w:t>
            </w:r>
          </w:p>
          <w:p w14:paraId="520ACCBE">
            <w:pPr>
              <w:adjustRightInd w:val="0"/>
              <w:snapToGrid w:val="0"/>
              <w:spacing w:line="460" w:lineRule="exact"/>
              <w:ind w:firstLine="480" w:firstLineChars="200"/>
              <w:textAlignment w:val="baseline"/>
              <w:rPr>
                <w:sz w:val="24"/>
              </w:rPr>
            </w:pPr>
            <w:r>
              <w:rPr>
                <w:rFonts w:hint="eastAsia"/>
                <w:sz w:val="24"/>
              </w:rPr>
              <w:t>经查阅《国家危险废物名录》（202</w:t>
            </w:r>
            <w:r>
              <w:rPr>
                <w:sz w:val="24"/>
              </w:rPr>
              <w:t>5</w:t>
            </w:r>
            <w:r>
              <w:rPr>
                <w:rFonts w:hint="eastAsia"/>
                <w:sz w:val="24"/>
              </w:rPr>
              <w:t>年版），废切削液属于危险废物（HW09油/水、烃/水混合物或乳化液中“900-006-09”使用切削油或切削液进行机械加工过程中产生的油/水、烃/水混合物或乳化液）。评价提出，废切削液采用密闭容器收集后暂存于厂区危废贮存</w:t>
            </w:r>
            <w:r>
              <w:rPr>
                <w:rFonts w:hint="eastAsia"/>
                <w:bCs/>
                <w:kern w:val="0"/>
                <w:sz w:val="24"/>
              </w:rPr>
              <w:t>间WF-004</w:t>
            </w:r>
            <w:r>
              <w:rPr>
                <w:rFonts w:hint="eastAsia"/>
                <w:sz w:val="24"/>
              </w:rPr>
              <w:t>，</w:t>
            </w:r>
            <w:r>
              <w:rPr>
                <w:bCs/>
                <w:sz w:val="24"/>
              </w:rPr>
              <w:t>定期委托有</w:t>
            </w:r>
            <w:r>
              <w:rPr>
                <w:rFonts w:hint="eastAsia"/>
                <w:bCs/>
                <w:sz w:val="24"/>
              </w:rPr>
              <w:t>相应</w:t>
            </w:r>
            <w:r>
              <w:rPr>
                <w:bCs/>
                <w:sz w:val="24"/>
              </w:rPr>
              <w:t>危废处理资质单位安全处置</w:t>
            </w:r>
            <w:r>
              <w:rPr>
                <w:rFonts w:hint="eastAsia"/>
                <w:bCs/>
                <w:sz w:val="24"/>
              </w:rPr>
              <w:t>。</w:t>
            </w:r>
          </w:p>
          <w:p w14:paraId="520ACCBF">
            <w:pPr>
              <w:adjustRightInd w:val="0"/>
              <w:snapToGrid w:val="0"/>
              <w:spacing w:line="460" w:lineRule="exact"/>
              <w:ind w:firstLine="480" w:firstLineChars="200"/>
              <w:textAlignment w:val="baseline"/>
              <w:rPr>
                <w:sz w:val="24"/>
              </w:rPr>
            </w:pPr>
            <w:r>
              <w:rPr>
                <w:rFonts w:hint="eastAsia"/>
                <w:sz w:val="24"/>
              </w:rPr>
              <w:t>（2）废液压油</w:t>
            </w:r>
          </w:p>
          <w:p w14:paraId="520ACCC0">
            <w:pPr>
              <w:adjustRightInd w:val="0"/>
              <w:snapToGrid w:val="0"/>
              <w:spacing w:line="460" w:lineRule="exact"/>
              <w:ind w:firstLine="480" w:firstLineChars="200"/>
              <w:textAlignment w:val="baseline"/>
              <w:rPr>
                <w:sz w:val="24"/>
                <w:highlight w:val="yellow"/>
              </w:rPr>
            </w:pPr>
            <w:r>
              <w:rPr>
                <w:rFonts w:hint="eastAsia"/>
                <w:sz w:val="24"/>
              </w:rPr>
              <w:t>本项目建设路厂区液压高低压冲击试验台所用试验介质为15#航空液压油，年用量为0.08t/a。试验过程中试验介质在试验台系统内循环流动，每半年更换一次。根据废气工程分析，废气产生量为0.004t/a，则本项目试验台废液压油产生量为0.076t/a。</w:t>
            </w:r>
          </w:p>
          <w:p w14:paraId="520ACCC1">
            <w:pPr>
              <w:adjustRightInd w:val="0"/>
              <w:snapToGrid w:val="0"/>
              <w:spacing w:line="460" w:lineRule="exact"/>
              <w:ind w:firstLine="480" w:firstLineChars="200"/>
              <w:textAlignment w:val="baseline"/>
              <w:rPr>
                <w:sz w:val="24"/>
              </w:rPr>
            </w:pPr>
            <w:r>
              <w:rPr>
                <w:rFonts w:hint="eastAsia"/>
                <w:sz w:val="24"/>
              </w:rPr>
              <w:t>经查阅《国家危险废物名录》（202</w:t>
            </w:r>
            <w:r>
              <w:rPr>
                <w:sz w:val="24"/>
              </w:rPr>
              <w:t>5</w:t>
            </w:r>
            <w:r>
              <w:rPr>
                <w:rFonts w:hint="eastAsia"/>
                <w:sz w:val="24"/>
              </w:rPr>
              <w:t>年版），废液压油属于危险废物（HW</w:t>
            </w:r>
            <w:r>
              <w:rPr>
                <w:sz w:val="24"/>
              </w:rPr>
              <w:t>08</w:t>
            </w:r>
            <w:r>
              <w:rPr>
                <w:rFonts w:hint="eastAsia"/>
                <w:sz w:val="24"/>
              </w:rPr>
              <w:t>废矿物油与含矿物油废物中“900-</w:t>
            </w:r>
            <w:r>
              <w:rPr>
                <w:sz w:val="24"/>
              </w:rPr>
              <w:t>249</w:t>
            </w:r>
            <w:r>
              <w:rPr>
                <w:rFonts w:hint="eastAsia"/>
                <w:sz w:val="24"/>
              </w:rPr>
              <w:t>-</w:t>
            </w:r>
            <w:r>
              <w:rPr>
                <w:sz w:val="24"/>
              </w:rPr>
              <w:t>08</w:t>
            </w:r>
            <w:r>
              <w:rPr>
                <w:rFonts w:hint="eastAsia"/>
                <w:sz w:val="24"/>
              </w:rPr>
              <w:t>”其他生产、销售、使用过程中产生的废矿物油及沾染矿物油的废弃包装物）。评价提出，废液压油采用密闭容器收集后暂存于厂区危废贮存间</w:t>
            </w:r>
            <w:r>
              <w:rPr>
                <w:rFonts w:hint="eastAsia"/>
                <w:bCs/>
                <w:kern w:val="0"/>
                <w:sz w:val="24"/>
              </w:rPr>
              <w:t>WF-002</w:t>
            </w:r>
            <w:r>
              <w:rPr>
                <w:rFonts w:hint="eastAsia"/>
                <w:sz w:val="24"/>
              </w:rPr>
              <w:t>，</w:t>
            </w:r>
            <w:r>
              <w:rPr>
                <w:bCs/>
                <w:sz w:val="24"/>
              </w:rPr>
              <w:t>定期委托有</w:t>
            </w:r>
            <w:r>
              <w:rPr>
                <w:rFonts w:hint="eastAsia"/>
                <w:bCs/>
                <w:sz w:val="24"/>
              </w:rPr>
              <w:t>相应</w:t>
            </w:r>
            <w:r>
              <w:rPr>
                <w:bCs/>
                <w:sz w:val="24"/>
              </w:rPr>
              <w:t>危废处理资质单位安全处置</w:t>
            </w:r>
            <w:r>
              <w:rPr>
                <w:rFonts w:hint="eastAsia"/>
                <w:bCs/>
                <w:sz w:val="24"/>
              </w:rPr>
              <w:t>。</w:t>
            </w:r>
          </w:p>
          <w:p w14:paraId="520ACCC2">
            <w:pPr>
              <w:adjustRightInd w:val="0"/>
              <w:snapToGrid w:val="0"/>
              <w:spacing w:line="460" w:lineRule="exact"/>
              <w:ind w:firstLine="480" w:firstLineChars="200"/>
              <w:textAlignment w:val="baseline"/>
              <w:rPr>
                <w:sz w:val="24"/>
              </w:rPr>
            </w:pPr>
            <w:r>
              <w:rPr>
                <w:rFonts w:hint="eastAsia"/>
                <w:sz w:val="24"/>
              </w:rPr>
              <w:t>（3）废滑油</w:t>
            </w:r>
          </w:p>
          <w:p w14:paraId="520ACCC3">
            <w:pPr>
              <w:adjustRightInd w:val="0"/>
              <w:snapToGrid w:val="0"/>
              <w:spacing w:line="460" w:lineRule="exact"/>
              <w:ind w:firstLine="480" w:firstLineChars="200"/>
              <w:textAlignment w:val="baseline"/>
              <w:rPr>
                <w:sz w:val="24"/>
                <w:highlight w:val="yellow"/>
              </w:rPr>
            </w:pPr>
            <w:r>
              <w:rPr>
                <w:rFonts w:hint="eastAsia"/>
                <w:sz w:val="24"/>
              </w:rPr>
              <w:t>本项目建设路厂区滑油冲洗试验台所用试验介质为滑油，年用量为0.5t/a。试验过程中试验介质在试验台系统内循环流动，每三个月更换一次。根据废气工程分析，废气产生量为0.025t/a，则本项目试验台废滑油产生量为0.475t/a。</w:t>
            </w:r>
          </w:p>
          <w:p w14:paraId="520ACCC4">
            <w:pPr>
              <w:adjustRightInd w:val="0"/>
              <w:snapToGrid w:val="0"/>
              <w:spacing w:line="460" w:lineRule="exact"/>
              <w:ind w:firstLine="480" w:firstLineChars="200"/>
              <w:textAlignment w:val="baseline"/>
              <w:rPr>
                <w:sz w:val="24"/>
              </w:rPr>
            </w:pPr>
            <w:r>
              <w:rPr>
                <w:rFonts w:hint="eastAsia"/>
                <w:sz w:val="24"/>
              </w:rPr>
              <w:t>经查阅《国家危险废物名录》（202</w:t>
            </w:r>
            <w:r>
              <w:rPr>
                <w:sz w:val="24"/>
              </w:rPr>
              <w:t>5</w:t>
            </w:r>
            <w:r>
              <w:rPr>
                <w:rFonts w:hint="eastAsia"/>
                <w:sz w:val="24"/>
              </w:rPr>
              <w:t>年版），废液压油属于危险废物（HW</w:t>
            </w:r>
            <w:r>
              <w:rPr>
                <w:sz w:val="24"/>
              </w:rPr>
              <w:t>08</w:t>
            </w:r>
            <w:r>
              <w:rPr>
                <w:rFonts w:hint="eastAsia"/>
                <w:sz w:val="24"/>
              </w:rPr>
              <w:t>废矿物油与含矿物油废物中“900-</w:t>
            </w:r>
            <w:r>
              <w:rPr>
                <w:sz w:val="24"/>
              </w:rPr>
              <w:t>249</w:t>
            </w:r>
            <w:r>
              <w:rPr>
                <w:rFonts w:hint="eastAsia"/>
                <w:sz w:val="24"/>
              </w:rPr>
              <w:t>-</w:t>
            </w:r>
            <w:r>
              <w:rPr>
                <w:sz w:val="24"/>
              </w:rPr>
              <w:t>08</w:t>
            </w:r>
            <w:r>
              <w:rPr>
                <w:rFonts w:hint="eastAsia"/>
                <w:sz w:val="24"/>
              </w:rPr>
              <w:t>”其他生产、销售、使用过程中产生的废矿物油及沾染矿物油的废弃包装物）。评价提出，废液压油采用密闭容器收集后暂存于厂区危废贮存间</w:t>
            </w:r>
            <w:r>
              <w:rPr>
                <w:rFonts w:hint="eastAsia"/>
                <w:bCs/>
                <w:kern w:val="0"/>
                <w:sz w:val="24"/>
              </w:rPr>
              <w:t>WF-002</w:t>
            </w:r>
            <w:r>
              <w:rPr>
                <w:rFonts w:hint="eastAsia"/>
                <w:sz w:val="24"/>
              </w:rPr>
              <w:t>，</w:t>
            </w:r>
            <w:r>
              <w:rPr>
                <w:bCs/>
                <w:sz w:val="24"/>
              </w:rPr>
              <w:t>定期委托有</w:t>
            </w:r>
            <w:r>
              <w:rPr>
                <w:rFonts w:hint="eastAsia"/>
                <w:bCs/>
                <w:sz w:val="24"/>
              </w:rPr>
              <w:t>相应</w:t>
            </w:r>
            <w:r>
              <w:rPr>
                <w:bCs/>
                <w:sz w:val="24"/>
              </w:rPr>
              <w:t>危废处理资质单位安全处置</w:t>
            </w:r>
            <w:r>
              <w:rPr>
                <w:rFonts w:hint="eastAsia"/>
                <w:bCs/>
                <w:sz w:val="24"/>
              </w:rPr>
              <w:t>。</w:t>
            </w:r>
          </w:p>
          <w:p w14:paraId="520ACCC5">
            <w:pPr>
              <w:adjustRightInd w:val="0"/>
              <w:snapToGrid w:val="0"/>
              <w:spacing w:line="460" w:lineRule="exact"/>
              <w:ind w:firstLine="480" w:firstLineChars="200"/>
              <w:textAlignment w:val="baseline"/>
              <w:rPr>
                <w:sz w:val="24"/>
              </w:rPr>
            </w:pPr>
            <w:r>
              <w:rPr>
                <w:rFonts w:hint="eastAsia"/>
                <w:sz w:val="24"/>
              </w:rPr>
              <w:t>（4）废活性炭</w:t>
            </w:r>
          </w:p>
          <w:p w14:paraId="520ACCC6">
            <w:pPr>
              <w:adjustRightInd w:val="0"/>
              <w:snapToGrid w:val="0"/>
              <w:spacing w:line="460" w:lineRule="exact"/>
              <w:ind w:firstLine="480" w:firstLineChars="200"/>
              <w:textAlignment w:val="baseline"/>
              <w:rPr>
                <w:sz w:val="24"/>
              </w:rPr>
            </w:pPr>
            <w:r>
              <w:rPr>
                <w:rFonts w:hint="eastAsia"/>
                <w:sz w:val="24"/>
              </w:rPr>
              <w:t>本项目依托在建项目</w:t>
            </w:r>
            <w:r>
              <w:rPr>
                <w:sz w:val="24"/>
              </w:rPr>
              <w:t>1</w:t>
            </w:r>
            <w:r>
              <w:rPr>
                <w:rFonts w:hint="eastAsia"/>
                <w:sz w:val="24"/>
              </w:rPr>
              <w:t>套有机废气治理措施“活性炭吸附/脱附-催化燃烧装置”TA0</w:t>
            </w:r>
            <w:r>
              <w:rPr>
                <w:sz w:val="24"/>
              </w:rPr>
              <w:t>3</w:t>
            </w:r>
            <w:r>
              <w:rPr>
                <w:rFonts w:hint="eastAsia"/>
                <w:sz w:val="24"/>
              </w:rPr>
              <w:t>0、已建工程1套有机废气治理措施干式过滤+活性炭吸脱附-催化燃烧装置T</w:t>
            </w:r>
            <w:r>
              <w:rPr>
                <w:sz w:val="24"/>
              </w:rPr>
              <w:t>A0</w:t>
            </w:r>
            <w:r>
              <w:rPr>
                <w:rFonts w:hint="eastAsia"/>
                <w:sz w:val="24"/>
              </w:rPr>
              <w:t>2</w:t>
            </w:r>
            <w:r>
              <w:rPr>
                <w:sz w:val="24"/>
              </w:rPr>
              <w:t>5</w:t>
            </w:r>
            <w:r>
              <w:rPr>
                <w:rFonts w:hint="eastAsia"/>
                <w:sz w:val="24"/>
              </w:rPr>
              <w:t>和1套有机废气治理措施干式过滤+活性炭吸脱附-催化燃烧装置T</w:t>
            </w:r>
            <w:r>
              <w:rPr>
                <w:sz w:val="24"/>
              </w:rPr>
              <w:t>A0</w:t>
            </w:r>
            <w:r>
              <w:rPr>
                <w:rFonts w:hint="eastAsia"/>
                <w:sz w:val="24"/>
              </w:rPr>
              <w:t>26处理非甲烷总烃，需要定期更换活性炭。</w:t>
            </w:r>
          </w:p>
          <w:p w14:paraId="520ACCC7">
            <w:pPr>
              <w:adjustRightInd w:val="0"/>
              <w:snapToGrid w:val="0"/>
              <w:spacing w:line="460" w:lineRule="exact"/>
              <w:ind w:firstLine="480" w:firstLineChars="200"/>
              <w:textAlignment w:val="baseline"/>
              <w:rPr>
                <w:sz w:val="24"/>
              </w:rPr>
            </w:pPr>
            <w:r>
              <w:rPr>
                <w:rFonts w:hint="eastAsia"/>
                <w:sz w:val="24"/>
              </w:rPr>
              <w:t>TA0</w:t>
            </w:r>
            <w:r>
              <w:rPr>
                <w:sz w:val="24"/>
              </w:rPr>
              <w:t>3</w:t>
            </w:r>
            <w:r>
              <w:rPr>
                <w:rFonts w:hint="eastAsia"/>
                <w:sz w:val="24"/>
              </w:rPr>
              <w:t>0设置2个活性炭吸附床，每个吸附床活性炭新增填充量为0.008t；2个活性炭吸附床在工作时，一个吸附，一个脱附。TA0</w:t>
            </w:r>
            <w:r>
              <w:rPr>
                <w:sz w:val="24"/>
              </w:rPr>
              <w:t>3</w:t>
            </w:r>
            <w:r>
              <w:rPr>
                <w:rFonts w:hint="eastAsia"/>
                <w:sz w:val="24"/>
              </w:rPr>
              <w:t>0中活性炭处理的本项目非甲烷总烃量为0.0202t/a。根据相关资料，1t的活性炭可吸附300kg有机废气，则本项目初始0.008t活性炭可吸附0.0024t废气，经多次脱附后吸附能力逐渐降低，当低于50%时更换活性炭。根据相关资料，活性炭每次吸附-脱附会导致5%左右的能力失活，因此再生15次左右后需要更换活性炭，更换时活性炭吸附能力为0.0012t废气。活性炭每25d脱附一次（年工作250d/a），则活性炭装置每1.5年更换一次，则TA0</w:t>
            </w:r>
            <w:r>
              <w:rPr>
                <w:sz w:val="24"/>
              </w:rPr>
              <w:t>3</w:t>
            </w:r>
            <w:r>
              <w:rPr>
                <w:rFonts w:hint="eastAsia"/>
                <w:sz w:val="24"/>
              </w:rPr>
              <w:t>0更换活性炭增加量为0.0184t/1.5a（约0.012t/a）。</w:t>
            </w:r>
          </w:p>
          <w:p w14:paraId="520ACCC8">
            <w:pPr>
              <w:adjustRightInd w:val="0"/>
              <w:snapToGrid w:val="0"/>
              <w:spacing w:line="460" w:lineRule="exact"/>
              <w:ind w:firstLine="480" w:firstLineChars="200"/>
              <w:textAlignment w:val="baseline"/>
              <w:rPr>
                <w:sz w:val="24"/>
              </w:rPr>
            </w:pPr>
            <w:r>
              <w:rPr>
                <w:rFonts w:hint="eastAsia"/>
                <w:sz w:val="24"/>
              </w:rPr>
              <w:t>TA025设置2个活性炭吸附床，每个吸附床活性炭新增填充量为0.002t；2个活性炭吸附床在工作时，一个吸附，一个脱附。TA025中活性炭处理的本项目非甲烷总烃量为0.0032t/a。根据相关资料，1t的活性炭可吸附300kg有机废气，则本项目初始0.002t活性炭可吸附0.0006t废气，经多次脱附后吸附能力逐渐降低，当低于50%时更换活性炭。根据相关资料，活性炭每次吸附-脱附会导致5%左右的能力失活，因此再生15次左右后需要更换活性炭，更换时活性炭吸附能力为0.0003t废气。活性炭每25d脱附一次（年工作250d/a），则活性炭装置每1.5年更换一次，则TA025更换活性炭增加量为0.0046t/1.5a（约0.0031t/a）。</w:t>
            </w:r>
          </w:p>
          <w:p w14:paraId="520ACCC9">
            <w:pPr>
              <w:adjustRightInd w:val="0"/>
              <w:snapToGrid w:val="0"/>
              <w:spacing w:line="460" w:lineRule="exact"/>
              <w:ind w:firstLine="480" w:firstLineChars="200"/>
              <w:textAlignment w:val="baseline"/>
              <w:rPr>
                <w:sz w:val="24"/>
              </w:rPr>
            </w:pPr>
            <w:r>
              <w:rPr>
                <w:rFonts w:hint="eastAsia"/>
                <w:sz w:val="24"/>
              </w:rPr>
              <w:t>TA026设置2个活性炭吸附床，每个吸附床活性炭新增填充量为0.0003t；2个活性炭吸附床在工作时，一个吸附，一个脱附。TA025中活性炭处理的本项目非甲烷总烃量为0.0009t/a。根据相关资料，1t的活性炭可吸附300kg有机废气，则本项目初始0.0003t活性炭可吸附0.00009t废气，经多次脱附后吸附能力逐渐降低，当低于50%时更换活性炭。根据相关资料，活性炭每次吸附-脱附会导致5%左右的能力失活，因此再生15次左右后需要更换活性炭，更换时活性炭吸附能力为0.00045t废气。活性炭每25d脱附一次（年工作250d/a），则活性炭装置每1.5年更换一次，则TA026更换活性炭增加量为0.0015t/1.5a（0.001t/a）。</w:t>
            </w:r>
          </w:p>
          <w:p w14:paraId="520ACCCA">
            <w:pPr>
              <w:adjustRightInd w:val="0"/>
              <w:snapToGrid w:val="0"/>
              <w:spacing w:line="460" w:lineRule="exact"/>
              <w:ind w:firstLine="480" w:firstLineChars="200"/>
              <w:textAlignment w:val="baseline"/>
              <w:rPr>
                <w:bCs/>
                <w:sz w:val="24"/>
              </w:rPr>
            </w:pPr>
            <w:r>
              <w:rPr>
                <w:rFonts w:hint="eastAsia"/>
                <w:sz w:val="24"/>
              </w:rPr>
              <w:t>综上，本项目废活性炭增加量为0.0161t/a。经查阅《国家危险废物名录》（202</w:t>
            </w:r>
            <w:r>
              <w:rPr>
                <w:sz w:val="24"/>
              </w:rPr>
              <w:t>5</w:t>
            </w:r>
            <w:r>
              <w:rPr>
                <w:rFonts w:hint="eastAsia"/>
                <w:sz w:val="24"/>
              </w:rPr>
              <w:t>年版），废活性炭属于危险废物（</w:t>
            </w:r>
            <w:r>
              <w:rPr>
                <w:kern w:val="0"/>
                <w:sz w:val="24"/>
              </w:rPr>
              <w:t>HW49其它废物</w:t>
            </w:r>
            <w:r>
              <w:rPr>
                <w:bCs/>
                <w:kern w:val="0"/>
                <w:sz w:val="24"/>
              </w:rPr>
              <w:t>中的900-039-49烟气、VOCs治理过程（不包括餐饮行业油烟治理过程）产生的废活性炭</w:t>
            </w:r>
            <w:r>
              <w:rPr>
                <w:rFonts w:hint="eastAsia"/>
                <w:sz w:val="24"/>
              </w:rPr>
              <w:t>）。评价提出，废活性炭采用密闭容器收集后暂存于厂区</w:t>
            </w:r>
            <w:r>
              <w:rPr>
                <w:rFonts w:hint="eastAsia"/>
                <w:bCs/>
                <w:kern w:val="0"/>
                <w:sz w:val="24"/>
              </w:rPr>
              <w:t>危废贮存间WF-003</w:t>
            </w:r>
            <w:r>
              <w:rPr>
                <w:rFonts w:hint="eastAsia"/>
                <w:sz w:val="24"/>
              </w:rPr>
              <w:t>，</w:t>
            </w:r>
            <w:r>
              <w:rPr>
                <w:bCs/>
                <w:sz w:val="24"/>
              </w:rPr>
              <w:t>定期委托有</w:t>
            </w:r>
            <w:r>
              <w:rPr>
                <w:rFonts w:hint="eastAsia"/>
                <w:bCs/>
                <w:sz w:val="24"/>
              </w:rPr>
              <w:t>相应</w:t>
            </w:r>
            <w:r>
              <w:rPr>
                <w:bCs/>
                <w:sz w:val="24"/>
              </w:rPr>
              <w:t>危废处理资质单位安全处置</w:t>
            </w:r>
            <w:r>
              <w:rPr>
                <w:rFonts w:hint="eastAsia"/>
                <w:bCs/>
                <w:sz w:val="24"/>
              </w:rPr>
              <w:t>。</w:t>
            </w:r>
          </w:p>
          <w:p w14:paraId="70EC2EC1">
            <w:pPr>
              <w:adjustRightInd w:val="0"/>
              <w:snapToGrid w:val="0"/>
              <w:spacing w:line="460" w:lineRule="exact"/>
              <w:ind w:firstLine="480" w:firstLineChars="200"/>
              <w:textAlignment w:val="baseline"/>
              <w:rPr>
                <w:bCs/>
                <w:sz w:val="24"/>
              </w:rPr>
            </w:pPr>
            <w:r>
              <w:rPr>
                <w:rFonts w:hint="eastAsia"/>
                <w:bCs/>
                <w:sz w:val="24"/>
              </w:rPr>
              <w:t>（5）袋式除尘器回收粉尘</w:t>
            </w:r>
          </w:p>
          <w:p w14:paraId="4441E825">
            <w:pPr>
              <w:adjustRightInd w:val="0"/>
              <w:snapToGrid w:val="0"/>
              <w:spacing w:line="460" w:lineRule="exact"/>
              <w:ind w:firstLine="480" w:firstLineChars="200"/>
              <w:textAlignment w:val="baseline"/>
              <w:rPr>
                <w:bCs/>
                <w:sz w:val="24"/>
              </w:rPr>
            </w:pPr>
            <w:r>
              <w:rPr>
                <w:rFonts w:hint="eastAsia"/>
                <w:bCs/>
                <w:sz w:val="24"/>
              </w:rPr>
              <w:t>本项目建设路厂区新增抛丸机分担原进入吹砂设备处理的一部分工件，且产生的废气与吹砂废气分别经密闭管道收集后一起进入“袋式除尘器+水喷淋TA019”中进行处理，处理后经15m高排气筒DA019排放。故本项目建成后全厂经该袋式除尘器处理的粉尘量不变，该袋式除尘器回收粉尘量不变，故本次不再对本项目袋式除尘器回收粉尘进行定量分析。要求袋式除尘器回收粉尘在一般固废暂存间暂存后定期外售。</w:t>
            </w:r>
          </w:p>
          <w:p w14:paraId="520ACCCB">
            <w:pPr>
              <w:adjustRightInd w:val="0"/>
              <w:snapToGrid w:val="0"/>
              <w:spacing w:line="460" w:lineRule="exact"/>
              <w:ind w:firstLine="482" w:firstLineChars="200"/>
              <w:textAlignment w:val="baseline"/>
              <w:rPr>
                <w:b/>
                <w:bCs/>
                <w:sz w:val="24"/>
              </w:rPr>
            </w:pPr>
            <w:r>
              <w:rPr>
                <w:rFonts w:hint="eastAsia"/>
                <w:b/>
                <w:bCs/>
                <w:sz w:val="24"/>
              </w:rPr>
              <w:t>2、解放路厂区</w:t>
            </w:r>
          </w:p>
          <w:p w14:paraId="7E66755E">
            <w:pPr>
              <w:adjustRightInd w:val="0"/>
              <w:snapToGrid w:val="0"/>
              <w:spacing w:line="460" w:lineRule="exact"/>
              <w:ind w:firstLine="480" w:firstLineChars="200"/>
              <w:textAlignment w:val="baseline"/>
              <w:rPr>
                <w:sz w:val="24"/>
              </w:rPr>
            </w:pPr>
            <w:r>
              <w:rPr>
                <w:rFonts w:hint="eastAsia"/>
                <w:sz w:val="24"/>
              </w:rPr>
              <w:t>（1）废活性炭</w:t>
            </w:r>
          </w:p>
          <w:p w14:paraId="245EE82B">
            <w:pPr>
              <w:adjustRightInd w:val="0"/>
              <w:snapToGrid w:val="0"/>
              <w:spacing w:line="460" w:lineRule="exact"/>
              <w:ind w:firstLine="480" w:firstLineChars="200"/>
              <w:textAlignment w:val="baseline"/>
              <w:rPr>
                <w:sz w:val="24"/>
              </w:rPr>
            </w:pPr>
            <w:r>
              <w:rPr>
                <w:rFonts w:hint="eastAsia"/>
                <w:sz w:val="24"/>
              </w:rPr>
              <w:t>本项目新增高温硫化机及烘箱分担需要硫化处理的工件，建成后与现有的硫化废气一起经集气罩收集后引入现有的活性炭吸脱附-催化燃烧装置处理，处理后经15m高排气筒DA025排放。</w:t>
            </w:r>
            <w:r>
              <w:rPr>
                <w:rFonts w:hint="eastAsia"/>
                <w:bCs/>
                <w:sz w:val="24"/>
              </w:rPr>
              <w:t>故本项目建成后全厂经该</w:t>
            </w:r>
            <w:r>
              <w:rPr>
                <w:rFonts w:hint="eastAsia"/>
                <w:sz w:val="24"/>
              </w:rPr>
              <w:t>活性炭吸脱附-催化燃烧装置</w:t>
            </w:r>
            <w:r>
              <w:rPr>
                <w:rFonts w:hint="eastAsia"/>
                <w:bCs/>
                <w:sz w:val="24"/>
              </w:rPr>
              <w:t>处理的硫化废气量不变，该治理设施废活性炭量不变，故本次不再对本项目废活性炭量进行定量分析。要求</w:t>
            </w:r>
            <w:r>
              <w:rPr>
                <w:rFonts w:hint="eastAsia"/>
                <w:bCs/>
                <w:sz w:val="24"/>
                <w:lang w:val="zh-CN"/>
              </w:rPr>
              <w:t>废活性炭</w:t>
            </w:r>
            <w:r>
              <w:rPr>
                <w:bCs/>
                <w:sz w:val="24"/>
                <w:lang w:val="zh-CN"/>
              </w:rPr>
              <w:t>集中收集</w:t>
            </w:r>
            <w:r>
              <w:rPr>
                <w:rFonts w:hint="eastAsia"/>
                <w:bCs/>
                <w:sz w:val="24"/>
                <w:lang w:val="zh-CN"/>
              </w:rPr>
              <w:t>后于危废贮存库</w:t>
            </w:r>
            <w:r>
              <w:rPr>
                <w:bCs/>
                <w:sz w:val="24"/>
                <w:lang w:val="zh-CN"/>
              </w:rPr>
              <w:t>暂存</w:t>
            </w:r>
            <w:r>
              <w:rPr>
                <w:rFonts w:hint="eastAsia"/>
                <w:bCs/>
                <w:sz w:val="24"/>
                <w:lang w:val="zh-CN"/>
              </w:rPr>
              <w:t>，</w:t>
            </w:r>
            <w:r>
              <w:rPr>
                <w:bCs/>
                <w:sz w:val="24"/>
                <w:lang w:val="zh-CN"/>
              </w:rPr>
              <w:t>定期交由有危废处理资质单位安全处置。</w:t>
            </w:r>
          </w:p>
          <w:p w14:paraId="4BACE93C">
            <w:pPr>
              <w:adjustRightInd w:val="0"/>
              <w:snapToGrid w:val="0"/>
              <w:spacing w:line="460" w:lineRule="exact"/>
              <w:ind w:firstLine="480" w:firstLineChars="200"/>
              <w:textAlignment w:val="baseline"/>
              <w:rPr>
                <w:sz w:val="24"/>
              </w:rPr>
            </w:pPr>
            <w:r>
              <w:rPr>
                <w:rFonts w:hint="eastAsia"/>
                <w:sz w:val="24"/>
              </w:rPr>
              <w:t>（2）废液压油</w:t>
            </w:r>
          </w:p>
          <w:p w14:paraId="520ACCCC">
            <w:pPr>
              <w:adjustRightInd w:val="0"/>
              <w:snapToGrid w:val="0"/>
              <w:spacing w:line="460" w:lineRule="exact"/>
              <w:ind w:firstLine="480" w:firstLineChars="200"/>
              <w:textAlignment w:val="baseline"/>
              <w:rPr>
                <w:sz w:val="24"/>
                <w:highlight w:val="yellow"/>
              </w:rPr>
            </w:pPr>
            <w:r>
              <w:rPr>
                <w:rFonts w:hint="eastAsia"/>
                <w:sz w:val="24"/>
              </w:rPr>
              <w:t>本项目解放路厂区高温硫化机液压系统使用</w:t>
            </w:r>
            <w:r>
              <w:rPr>
                <w:rFonts w:hint="eastAsia"/>
                <w:sz w:val="24"/>
                <w:lang w:val="pt-BR"/>
              </w:rPr>
              <w:t>46#</w:t>
            </w:r>
            <w:r>
              <w:rPr>
                <w:sz w:val="24"/>
                <w:lang w:val="pt-BR"/>
              </w:rPr>
              <w:t>高抗磨</w:t>
            </w:r>
            <w:r>
              <w:rPr>
                <w:rFonts w:hint="eastAsia"/>
                <w:sz w:val="24"/>
                <w:lang w:val="pt-BR"/>
              </w:rPr>
              <w:t>液压油，</w:t>
            </w:r>
            <w:r>
              <w:rPr>
                <w:rFonts w:hint="eastAsia"/>
                <w:sz w:val="24"/>
              </w:rPr>
              <w:t>年用量为0.17t/a。使用过程中</w:t>
            </w:r>
            <w:r>
              <w:rPr>
                <w:rFonts w:hint="eastAsia"/>
                <w:sz w:val="24"/>
                <w:lang w:val="pt-BR"/>
              </w:rPr>
              <w:t>液压油</w:t>
            </w:r>
            <w:r>
              <w:rPr>
                <w:rFonts w:hint="eastAsia"/>
                <w:sz w:val="24"/>
              </w:rPr>
              <w:t>在液压系统内循环流动，每2年更换一次，则本项目废液压油产生量为0.17t/2a（0.085t/a）。</w:t>
            </w:r>
          </w:p>
          <w:p w14:paraId="520ACCCD">
            <w:pPr>
              <w:adjustRightInd w:val="0"/>
              <w:snapToGrid w:val="0"/>
              <w:spacing w:line="460" w:lineRule="exact"/>
              <w:ind w:firstLine="480" w:firstLineChars="200"/>
              <w:textAlignment w:val="baseline"/>
              <w:rPr>
                <w:sz w:val="24"/>
              </w:rPr>
            </w:pPr>
            <w:r>
              <w:rPr>
                <w:rFonts w:hint="eastAsia"/>
                <w:sz w:val="24"/>
              </w:rPr>
              <w:t>经查阅《国家危险废物名录》（202</w:t>
            </w:r>
            <w:r>
              <w:rPr>
                <w:sz w:val="24"/>
              </w:rPr>
              <w:t>5</w:t>
            </w:r>
            <w:r>
              <w:rPr>
                <w:rFonts w:hint="eastAsia"/>
                <w:sz w:val="24"/>
              </w:rPr>
              <w:t>年版），废液压油属于危险废物（HW</w:t>
            </w:r>
            <w:r>
              <w:rPr>
                <w:sz w:val="24"/>
              </w:rPr>
              <w:t>08</w:t>
            </w:r>
            <w:r>
              <w:rPr>
                <w:rFonts w:hint="eastAsia"/>
                <w:sz w:val="24"/>
              </w:rPr>
              <w:t>废矿物油与含矿物油废物中“900-</w:t>
            </w:r>
            <w:r>
              <w:rPr>
                <w:sz w:val="24"/>
              </w:rPr>
              <w:t>249</w:t>
            </w:r>
            <w:r>
              <w:rPr>
                <w:rFonts w:hint="eastAsia"/>
                <w:sz w:val="24"/>
              </w:rPr>
              <w:t>-</w:t>
            </w:r>
            <w:r>
              <w:rPr>
                <w:sz w:val="24"/>
              </w:rPr>
              <w:t>08</w:t>
            </w:r>
            <w:r>
              <w:rPr>
                <w:rFonts w:hint="eastAsia"/>
                <w:sz w:val="24"/>
              </w:rPr>
              <w:t>”其他生产、销售、使用过程中产生的废矿物油及沾染矿物油的废弃包装物）。评价提出，废液压油采用密闭容器收集后暂存于厂区危废贮存间，</w:t>
            </w:r>
            <w:r>
              <w:rPr>
                <w:bCs/>
                <w:sz w:val="24"/>
              </w:rPr>
              <w:t>定期委托有</w:t>
            </w:r>
            <w:r>
              <w:rPr>
                <w:rFonts w:hint="eastAsia"/>
                <w:bCs/>
                <w:sz w:val="24"/>
              </w:rPr>
              <w:t>相应</w:t>
            </w:r>
            <w:r>
              <w:rPr>
                <w:bCs/>
                <w:sz w:val="24"/>
              </w:rPr>
              <w:t>危废处理资质单位安全处置</w:t>
            </w:r>
            <w:r>
              <w:rPr>
                <w:rFonts w:hint="eastAsia"/>
                <w:bCs/>
                <w:sz w:val="24"/>
              </w:rPr>
              <w:t>。</w:t>
            </w:r>
          </w:p>
          <w:p w14:paraId="520ACCCE">
            <w:pPr>
              <w:adjustRightInd w:val="0"/>
              <w:snapToGrid w:val="0"/>
              <w:spacing w:line="460" w:lineRule="exact"/>
              <w:ind w:firstLine="480" w:firstLineChars="200"/>
              <w:rPr>
                <w:rFonts w:eastAsia="黑体"/>
                <w:sz w:val="24"/>
              </w:rPr>
            </w:pPr>
            <w:r>
              <w:rPr>
                <w:rFonts w:eastAsia="黑体"/>
                <w:sz w:val="24"/>
              </w:rPr>
              <w:t>表</w:t>
            </w:r>
            <w:r>
              <w:rPr>
                <w:rFonts w:hint="eastAsia" w:eastAsia="黑体"/>
                <w:sz w:val="24"/>
              </w:rPr>
              <w:t>76</w:t>
            </w:r>
            <w:r>
              <w:rPr>
                <w:rFonts w:eastAsia="黑体"/>
                <w:sz w:val="24"/>
              </w:rPr>
              <w:t xml:space="preserve">               固体废物详情一览表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163"/>
              <w:gridCol w:w="992"/>
              <w:gridCol w:w="993"/>
              <w:gridCol w:w="1275"/>
              <w:gridCol w:w="3712"/>
            </w:tblGrid>
            <w:tr w14:paraId="520ACCD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63" w:type="dxa"/>
                  <w:vAlign w:val="center"/>
                </w:tcPr>
                <w:p w14:paraId="520ACCCF">
                  <w:pPr>
                    <w:jc w:val="center"/>
                    <w:rPr>
                      <w:b/>
                      <w:szCs w:val="21"/>
                    </w:rPr>
                  </w:pPr>
                  <w:r>
                    <w:rPr>
                      <w:b/>
                      <w:szCs w:val="21"/>
                    </w:rPr>
                    <w:t>排放源</w:t>
                  </w:r>
                </w:p>
              </w:tc>
              <w:tc>
                <w:tcPr>
                  <w:tcW w:w="992" w:type="dxa"/>
                  <w:vAlign w:val="center"/>
                </w:tcPr>
                <w:p w14:paraId="520ACCD0">
                  <w:pPr>
                    <w:jc w:val="center"/>
                    <w:rPr>
                      <w:b/>
                      <w:szCs w:val="21"/>
                    </w:rPr>
                  </w:pPr>
                  <w:r>
                    <w:rPr>
                      <w:b/>
                      <w:szCs w:val="21"/>
                    </w:rPr>
                    <w:t>固废名称</w:t>
                  </w:r>
                </w:p>
              </w:tc>
              <w:tc>
                <w:tcPr>
                  <w:tcW w:w="993" w:type="dxa"/>
                  <w:vAlign w:val="center"/>
                </w:tcPr>
                <w:p w14:paraId="520ACCD1">
                  <w:pPr>
                    <w:jc w:val="center"/>
                    <w:rPr>
                      <w:b/>
                      <w:szCs w:val="21"/>
                    </w:rPr>
                  </w:pPr>
                  <w:r>
                    <w:rPr>
                      <w:b/>
                      <w:szCs w:val="21"/>
                    </w:rPr>
                    <w:t>固废性质</w:t>
                  </w:r>
                </w:p>
              </w:tc>
              <w:tc>
                <w:tcPr>
                  <w:tcW w:w="1275" w:type="dxa"/>
                  <w:vAlign w:val="center"/>
                </w:tcPr>
                <w:p w14:paraId="520ACCD2">
                  <w:pPr>
                    <w:jc w:val="center"/>
                    <w:rPr>
                      <w:b/>
                      <w:szCs w:val="21"/>
                    </w:rPr>
                  </w:pPr>
                  <w:r>
                    <w:rPr>
                      <w:b/>
                      <w:szCs w:val="21"/>
                    </w:rPr>
                    <w:t>产生量</w:t>
                  </w:r>
                  <w:r>
                    <w:rPr>
                      <w:rFonts w:hint="eastAsia"/>
                      <w:b/>
                      <w:szCs w:val="21"/>
                    </w:rPr>
                    <w:t>(</w:t>
                  </w:r>
                  <w:r>
                    <w:rPr>
                      <w:b/>
                      <w:szCs w:val="21"/>
                    </w:rPr>
                    <w:t>t/a</w:t>
                  </w:r>
                  <w:r>
                    <w:rPr>
                      <w:rFonts w:hint="eastAsia"/>
                      <w:b/>
                      <w:szCs w:val="21"/>
                    </w:rPr>
                    <w:t>)</w:t>
                  </w:r>
                </w:p>
              </w:tc>
              <w:tc>
                <w:tcPr>
                  <w:tcW w:w="3712" w:type="dxa"/>
                  <w:vAlign w:val="center"/>
                </w:tcPr>
                <w:p w14:paraId="520ACCD3">
                  <w:pPr>
                    <w:jc w:val="center"/>
                    <w:rPr>
                      <w:b/>
                      <w:szCs w:val="21"/>
                    </w:rPr>
                  </w:pPr>
                  <w:r>
                    <w:rPr>
                      <w:b/>
                      <w:szCs w:val="21"/>
                    </w:rPr>
                    <w:t>处理措施</w:t>
                  </w:r>
                </w:p>
              </w:tc>
            </w:tr>
            <w:tr w14:paraId="520ACCD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35" w:type="dxa"/>
                  <w:gridSpan w:val="5"/>
                  <w:vAlign w:val="center"/>
                </w:tcPr>
                <w:p w14:paraId="520ACCD5">
                  <w:pPr>
                    <w:jc w:val="center"/>
                    <w:rPr>
                      <w:b/>
                      <w:szCs w:val="21"/>
                    </w:rPr>
                  </w:pPr>
                  <w:r>
                    <w:rPr>
                      <w:rFonts w:hint="eastAsia"/>
                      <w:b/>
                      <w:szCs w:val="21"/>
                    </w:rPr>
                    <w:t>建设路厂区</w:t>
                  </w:r>
                </w:p>
              </w:tc>
            </w:tr>
            <w:tr w14:paraId="520ACCD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63" w:type="dxa"/>
                  <w:vAlign w:val="center"/>
                </w:tcPr>
                <w:p w14:paraId="520ACCD7">
                  <w:pPr>
                    <w:jc w:val="center"/>
                    <w:rPr>
                      <w:bCs/>
                      <w:szCs w:val="21"/>
                      <w:highlight w:val="yellow"/>
                    </w:rPr>
                  </w:pPr>
                  <w:r>
                    <w:rPr>
                      <w:rFonts w:hint="eastAsia"/>
                      <w:bCs/>
                    </w:rPr>
                    <w:t>机加工</w:t>
                  </w:r>
                </w:p>
              </w:tc>
              <w:tc>
                <w:tcPr>
                  <w:tcW w:w="992" w:type="dxa"/>
                  <w:vAlign w:val="center"/>
                </w:tcPr>
                <w:p w14:paraId="520ACCD8">
                  <w:pPr>
                    <w:jc w:val="center"/>
                    <w:rPr>
                      <w:bCs/>
                      <w:szCs w:val="21"/>
                      <w:highlight w:val="yellow"/>
                    </w:rPr>
                  </w:pPr>
                  <w:r>
                    <w:rPr>
                      <w:rFonts w:hint="eastAsia"/>
                      <w:bCs/>
                    </w:rPr>
                    <w:t>废切削液</w:t>
                  </w:r>
                </w:p>
              </w:tc>
              <w:tc>
                <w:tcPr>
                  <w:tcW w:w="993" w:type="dxa"/>
                  <w:vAlign w:val="center"/>
                </w:tcPr>
                <w:p w14:paraId="520ACCD9">
                  <w:pPr>
                    <w:jc w:val="center"/>
                    <w:rPr>
                      <w:bCs/>
                      <w:szCs w:val="21"/>
                    </w:rPr>
                  </w:pPr>
                  <w:r>
                    <w:rPr>
                      <w:rFonts w:hint="eastAsia"/>
                      <w:bCs/>
                      <w:szCs w:val="21"/>
                    </w:rPr>
                    <w:t>危险废物</w:t>
                  </w:r>
                </w:p>
              </w:tc>
              <w:tc>
                <w:tcPr>
                  <w:tcW w:w="1275" w:type="dxa"/>
                  <w:vAlign w:val="center"/>
                </w:tcPr>
                <w:p w14:paraId="520ACCDA">
                  <w:pPr>
                    <w:jc w:val="center"/>
                    <w:rPr>
                      <w:bCs/>
                      <w:szCs w:val="21"/>
                    </w:rPr>
                  </w:pPr>
                  <w:r>
                    <w:rPr>
                      <w:rFonts w:hint="eastAsia"/>
                      <w:bCs/>
                      <w:szCs w:val="21"/>
                    </w:rPr>
                    <w:t>0.0146</w:t>
                  </w:r>
                </w:p>
              </w:tc>
              <w:tc>
                <w:tcPr>
                  <w:tcW w:w="3712" w:type="dxa"/>
                  <w:vAlign w:val="center"/>
                </w:tcPr>
                <w:p w14:paraId="520ACCDB">
                  <w:pPr>
                    <w:jc w:val="center"/>
                    <w:rPr>
                      <w:szCs w:val="21"/>
                    </w:rPr>
                  </w:pPr>
                  <w:r>
                    <w:rPr>
                      <w:rFonts w:hint="eastAsia"/>
                      <w:szCs w:val="21"/>
                    </w:rPr>
                    <w:t>密闭容器收集并依托建设路厂区现有工程危废贮存间WF-004暂存，定期委托有相应危废处理资质单位安全处置</w:t>
                  </w:r>
                </w:p>
              </w:tc>
            </w:tr>
            <w:tr w14:paraId="520ACCE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63" w:type="dxa"/>
                  <w:vMerge w:val="restart"/>
                  <w:vAlign w:val="center"/>
                </w:tcPr>
                <w:p w14:paraId="520ACCDD">
                  <w:pPr>
                    <w:jc w:val="center"/>
                    <w:rPr>
                      <w:bCs/>
                      <w:szCs w:val="21"/>
                      <w:highlight w:val="yellow"/>
                    </w:rPr>
                  </w:pPr>
                  <w:r>
                    <w:rPr>
                      <w:rFonts w:hint="eastAsia"/>
                      <w:bCs/>
                      <w:szCs w:val="21"/>
                    </w:rPr>
                    <w:t>油类试验</w:t>
                  </w:r>
                </w:p>
              </w:tc>
              <w:tc>
                <w:tcPr>
                  <w:tcW w:w="992" w:type="dxa"/>
                  <w:vAlign w:val="center"/>
                </w:tcPr>
                <w:p w14:paraId="520ACCDE">
                  <w:pPr>
                    <w:jc w:val="center"/>
                    <w:rPr>
                      <w:bCs/>
                      <w:szCs w:val="21"/>
                      <w:highlight w:val="yellow"/>
                    </w:rPr>
                  </w:pPr>
                  <w:r>
                    <w:rPr>
                      <w:rFonts w:hint="eastAsia"/>
                      <w:bCs/>
                      <w:szCs w:val="21"/>
                    </w:rPr>
                    <w:t>废液压油</w:t>
                  </w:r>
                </w:p>
              </w:tc>
              <w:tc>
                <w:tcPr>
                  <w:tcW w:w="993" w:type="dxa"/>
                  <w:vAlign w:val="center"/>
                </w:tcPr>
                <w:p w14:paraId="520ACCDF">
                  <w:pPr>
                    <w:jc w:val="center"/>
                    <w:rPr>
                      <w:bCs/>
                      <w:szCs w:val="21"/>
                    </w:rPr>
                  </w:pPr>
                  <w:r>
                    <w:rPr>
                      <w:bCs/>
                      <w:szCs w:val="21"/>
                    </w:rPr>
                    <w:t>危险废物</w:t>
                  </w:r>
                </w:p>
              </w:tc>
              <w:tc>
                <w:tcPr>
                  <w:tcW w:w="1275" w:type="dxa"/>
                  <w:vAlign w:val="center"/>
                </w:tcPr>
                <w:p w14:paraId="520ACCE0">
                  <w:pPr>
                    <w:jc w:val="center"/>
                    <w:rPr>
                      <w:bCs/>
                      <w:szCs w:val="21"/>
                    </w:rPr>
                  </w:pPr>
                  <w:r>
                    <w:rPr>
                      <w:bCs/>
                      <w:szCs w:val="21"/>
                    </w:rPr>
                    <w:t>0.</w:t>
                  </w:r>
                  <w:r>
                    <w:rPr>
                      <w:rFonts w:hint="eastAsia"/>
                      <w:bCs/>
                      <w:szCs w:val="21"/>
                    </w:rPr>
                    <w:t>076</w:t>
                  </w:r>
                </w:p>
              </w:tc>
              <w:tc>
                <w:tcPr>
                  <w:tcW w:w="3712" w:type="dxa"/>
                  <w:vMerge w:val="restart"/>
                  <w:vAlign w:val="center"/>
                </w:tcPr>
                <w:p w14:paraId="520ACCE1">
                  <w:pPr>
                    <w:jc w:val="center"/>
                    <w:rPr>
                      <w:szCs w:val="21"/>
                      <w:highlight w:val="yellow"/>
                    </w:rPr>
                  </w:pPr>
                  <w:r>
                    <w:rPr>
                      <w:rFonts w:hint="eastAsia"/>
                      <w:szCs w:val="21"/>
                    </w:rPr>
                    <w:t>密闭容器收集并依托建设路厂区现有工程危废贮存间WF-002暂存，定期委托有相应危废处理资质单位安全处置</w:t>
                  </w:r>
                </w:p>
              </w:tc>
            </w:tr>
            <w:tr w14:paraId="520ACCE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63" w:type="dxa"/>
                  <w:vMerge w:val="continue"/>
                  <w:vAlign w:val="center"/>
                </w:tcPr>
                <w:p w14:paraId="520ACCE3">
                  <w:pPr>
                    <w:jc w:val="center"/>
                    <w:rPr>
                      <w:bCs/>
                      <w:szCs w:val="21"/>
                      <w:highlight w:val="yellow"/>
                    </w:rPr>
                  </w:pPr>
                </w:p>
              </w:tc>
              <w:tc>
                <w:tcPr>
                  <w:tcW w:w="992" w:type="dxa"/>
                  <w:vAlign w:val="center"/>
                </w:tcPr>
                <w:p w14:paraId="520ACCE4">
                  <w:pPr>
                    <w:jc w:val="center"/>
                    <w:rPr>
                      <w:bCs/>
                      <w:highlight w:val="yellow"/>
                    </w:rPr>
                  </w:pPr>
                  <w:r>
                    <w:rPr>
                      <w:rFonts w:hint="eastAsia"/>
                      <w:bCs/>
                    </w:rPr>
                    <w:t>废滑油</w:t>
                  </w:r>
                </w:p>
              </w:tc>
              <w:tc>
                <w:tcPr>
                  <w:tcW w:w="993" w:type="dxa"/>
                  <w:vAlign w:val="center"/>
                </w:tcPr>
                <w:p w14:paraId="520ACCE5">
                  <w:pPr>
                    <w:jc w:val="center"/>
                    <w:rPr>
                      <w:bCs/>
                      <w:szCs w:val="21"/>
                      <w:highlight w:val="yellow"/>
                    </w:rPr>
                  </w:pPr>
                  <w:r>
                    <w:rPr>
                      <w:bCs/>
                      <w:szCs w:val="21"/>
                    </w:rPr>
                    <w:t>危险废物</w:t>
                  </w:r>
                </w:p>
              </w:tc>
              <w:tc>
                <w:tcPr>
                  <w:tcW w:w="1275" w:type="dxa"/>
                  <w:vAlign w:val="center"/>
                </w:tcPr>
                <w:p w14:paraId="520ACCE6">
                  <w:pPr>
                    <w:jc w:val="center"/>
                    <w:rPr>
                      <w:bCs/>
                      <w:szCs w:val="21"/>
                      <w:highlight w:val="yellow"/>
                    </w:rPr>
                  </w:pPr>
                  <w:r>
                    <w:rPr>
                      <w:rFonts w:hint="eastAsia"/>
                      <w:bCs/>
                      <w:szCs w:val="21"/>
                    </w:rPr>
                    <w:t>0.475</w:t>
                  </w:r>
                </w:p>
              </w:tc>
              <w:tc>
                <w:tcPr>
                  <w:tcW w:w="3712" w:type="dxa"/>
                  <w:vMerge w:val="continue"/>
                  <w:vAlign w:val="center"/>
                </w:tcPr>
                <w:p w14:paraId="520ACCE7">
                  <w:pPr>
                    <w:jc w:val="center"/>
                    <w:rPr>
                      <w:szCs w:val="21"/>
                      <w:highlight w:val="yellow"/>
                    </w:rPr>
                  </w:pPr>
                </w:p>
              </w:tc>
            </w:tr>
            <w:tr w14:paraId="520ACCE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63" w:type="dxa"/>
                  <w:vAlign w:val="center"/>
                </w:tcPr>
                <w:p w14:paraId="520ACCE9">
                  <w:pPr>
                    <w:pStyle w:val="41"/>
                    <w:rPr>
                      <w:bCs/>
                      <w:lang w:val="en-US"/>
                    </w:rPr>
                  </w:pPr>
                  <w:r>
                    <w:rPr>
                      <w:rFonts w:hint="eastAsia"/>
                      <w:bCs/>
                      <w:lang w:val="en-US"/>
                    </w:rPr>
                    <w:t>有机废气治理措施</w:t>
                  </w:r>
                </w:p>
              </w:tc>
              <w:tc>
                <w:tcPr>
                  <w:tcW w:w="992" w:type="dxa"/>
                  <w:vAlign w:val="center"/>
                </w:tcPr>
                <w:p w14:paraId="520ACCEA">
                  <w:pPr>
                    <w:pStyle w:val="41"/>
                    <w:rPr>
                      <w:bCs/>
                      <w:lang w:val="en-US"/>
                    </w:rPr>
                  </w:pPr>
                  <w:r>
                    <w:rPr>
                      <w:rFonts w:hint="eastAsia"/>
                      <w:bCs/>
                      <w:lang w:val="en-US"/>
                    </w:rPr>
                    <w:t>废活性炭</w:t>
                  </w:r>
                </w:p>
              </w:tc>
              <w:tc>
                <w:tcPr>
                  <w:tcW w:w="993" w:type="dxa"/>
                  <w:vAlign w:val="center"/>
                </w:tcPr>
                <w:p w14:paraId="520ACCEB">
                  <w:pPr>
                    <w:jc w:val="center"/>
                    <w:rPr>
                      <w:bCs/>
                      <w:szCs w:val="21"/>
                    </w:rPr>
                  </w:pPr>
                  <w:r>
                    <w:rPr>
                      <w:bCs/>
                      <w:szCs w:val="21"/>
                    </w:rPr>
                    <w:t>危险废物</w:t>
                  </w:r>
                </w:p>
              </w:tc>
              <w:tc>
                <w:tcPr>
                  <w:tcW w:w="1275" w:type="dxa"/>
                  <w:vAlign w:val="center"/>
                </w:tcPr>
                <w:p w14:paraId="520ACCEC">
                  <w:pPr>
                    <w:jc w:val="center"/>
                    <w:rPr>
                      <w:bCs/>
                      <w:szCs w:val="21"/>
                    </w:rPr>
                  </w:pPr>
                  <w:r>
                    <w:rPr>
                      <w:rFonts w:hint="eastAsia"/>
                      <w:bCs/>
                      <w:szCs w:val="21"/>
                    </w:rPr>
                    <w:t>0.</w:t>
                  </w:r>
                  <w:r>
                    <w:rPr>
                      <w:bCs/>
                      <w:szCs w:val="21"/>
                    </w:rPr>
                    <w:t>0</w:t>
                  </w:r>
                  <w:r>
                    <w:rPr>
                      <w:rFonts w:hint="eastAsia"/>
                      <w:bCs/>
                      <w:szCs w:val="21"/>
                    </w:rPr>
                    <w:t>161</w:t>
                  </w:r>
                </w:p>
              </w:tc>
              <w:tc>
                <w:tcPr>
                  <w:tcW w:w="3712" w:type="dxa"/>
                  <w:vAlign w:val="center"/>
                </w:tcPr>
                <w:p w14:paraId="520ACCED">
                  <w:pPr>
                    <w:pStyle w:val="41"/>
                    <w:rPr>
                      <w:lang w:val="en-US"/>
                    </w:rPr>
                  </w:pPr>
                  <w:r>
                    <w:t>密闭</w:t>
                  </w:r>
                  <w:r>
                    <w:rPr>
                      <w:rFonts w:hint="eastAsia"/>
                    </w:rPr>
                    <w:t>容器</w:t>
                  </w:r>
                  <w:r>
                    <w:t>收集</w:t>
                  </w:r>
                  <w:r>
                    <w:rPr>
                      <w:rFonts w:hint="eastAsia"/>
                    </w:rPr>
                    <w:t>并依托建设路厂区现有工程危废贮存间WF-003</w:t>
                  </w:r>
                  <w:r>
                    <w:t>暂存，</w:t>
                  </w:r>
                  <w:r>
                    <w:rPr>
                      <w:rFonts w:hint="eastAsia"/>
                    </w:rPr>
                    <w:t>定期委托有相应危废处理资质单位安全处置</w:t>
                  </w:r>
                </w:p>
              </w:tc>
            </w:tr>
            <w:tr w14:paraId="520ACCF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135" w:type="dxa"/>
                  <w:gridSpan w:val="5"/>
                  <w:vAlign w:val="center"/>
                </w:tcPr>
                <w:p w14:paraId="520ACCEF">
                  <w:pPr>
                    <w:pStyle w:val="41"/>
                    <w:rPr>
                      <w:b/>
                      <w:bCs/>
                    </w:rPr>
                  </w:pPr>
                  <w:r>
                    <w:rPr>
                      <w:rFonts w:hint="eastAsia"/>
                      <w:b/>
                      <w:bCs/>
                    </w:rPr>
                    <w:t>解放路厂区</w:t>
                  </w:r>
                </w:p>
              </w:tc>
            </w:tr>
            <w:tr w14:paraId="520ACCF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63" w:type="dxa"/>
                  <w:vAlign w:val="center"/>
                </w:tcPr>
                <w:p w14:paraId="520ACCF1">
                  <w:pPr>
                    <w:pStyle w:val="41"/>
                    <w:rPr>
                      <w:bCs/>
                      <w:lang w:val="en-US"/>
                    </w:rPr>
                  </w:pPr>
                  <w:r>
                    <w:rPr>
                      <w:rFonts w:hint="eastAsia"/>
                      <w:bCs/>
                      <w:lang w:val="en-US"/>
                    </w:rPr>
                    <w:t>高温硫化机液压系统</w:t>
                  </w:r>
                </w:p>
              </w:tc>
              <w:tc>
                <w:tcPr>
                  <w:tcW w:w="992" w:type="dxa"/>
                  <w:vAlign w:val="center"/>
                </w:tcPr>
                <w:p w14:paraId="520ACCF2">
                  <w:pPr>
                    <w:pStyle w:val="41"/>
                    <w:rPr>
                      <w:bCs/>
                      <w:lang w:val="en-US"/>
                    </w:rPr>
                  </w:pPr>
                  <w:r>
                    <w:rPr>
                      <w:rFonts w:hint="eastAsia"/>
                      <w:bCs/>
                    </w:rPr>
                    <w:t>废液压油</w:t>
                  </w:r>
                </w:p>
              </w:tc>
              <w:tc>
                <w:tcPr>
                  <w:tcW w:w="993" w:type="dxa"/>
                  <w:vAlign w:val="center"/>
                </w:tcPr>
                <w:p w14:paraId="520ACCF3">
                  <w:pPr>
                    <w:jc w:val="center"/>
                    <w:rPr>
                      <w:bCs/>
                      <w:szCs w:val="21"/>
                    </w:rPr>
                  </w:pPr>
                  <w:r>
                    <w:rPr>
                      <w:bCs/>
                      <w:szCs w:val="21"/>
                    </w:rPr>
                    <w:t>危险废物</w:t>
                  </w:r>
                </w:p>
              </w:tc>
              <w:tc>
                <w:tcPr>
                  <w:tcW w:w="1275" w:type="dxa"/>
                  <w:vAlign w:val="center"/>
                </w:tcPr>
                <w:p w14:paraId="520ACCF4">
                  <w:pPr>
                    <w:jc w:val="center"/>
                    <w:rPr>
                      <w:bCs/>
                      <w:szCs w:val="21"/>
                    </w:rPr>
                  </w:pPr>
                  <w:r>
                    <w:rPr>
                      <w:rFonts w:hint="eastAsia"/>
                      <w:bCs/>
                      <w:szCs w:val="21"/>
                    </w:rPr>
                    <w:t>0.085</w:t>
                  </w:r>
                </w:p>
              </w:tc>
              <w:tc>
                <w:tcPr>
                  <w:tcW w:w="3712" w:type="dxa"/>
                  <w:vAlign w:val="center"/>
                </w:tcPr>
                <w:p w14:paraId="520ACCF5">
                  <w:pPr>
                    <w:pStyle w:val="41"/>
                  </w:pPr>
                  <w:r>
                    <w:t>密闭</w:t>
                  </w:r>
                  <w:r>
                    <w:rPr>
                      <w:rFonts w:hint="eastAsia"/>
                    </w:rPr>
                    <w:t>容器</w:t>
                  </w:r>
                  <w:r>
                    <w:t>收集</w:t>
                  </w:r>
                  <w:r>
                    <w:rPr>
                      <w:rFonts w:hint="eastAsia"/>
                    </w:rPr>
                    <w:t>并依托解放路厂区现有工程危废贮存间</w:t>
                  </w:r>
                  <w:r>
                    <w:t>暂存，</w:t>
                  </w:r>
                  <w:r>
                    <w:rPr>
                      <w:rFonts w:hint="eastAsia"/>
                    </w:rPr>
                    <w:t>定期委托有相应危废处理资质单位安全处置</w:t>
                  </w:r>
                </w:p>
              </w:tc>
            </w:tr>
          </w:tbl>
          <w:p w14:paraId="520ACCF7">
            <w:pPr>
              <w:spacing w:line="460" w:lineRule="exact"/>
              <w:ind w:firstLine="480" w:firstLineChars="200"/>
              <w:rPr>
                <w:rFonts w:eastAsia="黑体"/>
                <w:sz w:val="24"/>
              </w:rPr>
            </w:pPr>
            <w:r>
              <w:rPr>
                <w:rFonts w:eastAsia="黑体"/>
                <w:sz w:val="24"/>
              </w:rPr>
              <w:t>表</w:t>
            </w:r>
            <w:r>
              <w:rPr>
                <w:rFonts w:hint="eastAsia" w:eastAsia="黑体"/>
                <w:sz w:val="24"/>
              </w:rPr>
              <w:t>77</w:t>
            </w:r>
            <w:r>
              <w:rPr>
                <w:rFonts w:eastAsia="黑体"/>
                <w:sz w:val="24"/>
              </w:rPr>
              <w:t xml:space="preserve">                 危险废物汇总表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18"/>
              <w:gridCol w:w="580"/>
              <w:gridCol w:w="1262"/>
              <w:gridCol w:w="567"/>
              <w:gridCol w:w="709"/>
              <w:gridCol w:w="709"/>
              <w:gridCol w:w="425"/>
              <w:gridCol w:w="567"/>
              <w:gridCol w:w="567"/>
              <w:gridCol w:w="567"/>
              <w:gridCol w:w="567"/>
              <w:gridCol w:w="1297"/>
            </w:tblGrid>
            <w:tr w14:paraId="520ACD0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8" w:type="dxa"/>
                  <w:tcBorders>
                    <w:top w:val="single" w:color="auto" w:sz="8" w:space="0"/>
                    <w:left w:val="nil"/>
                  </w:tcBorders>
                  <w:vAlign w:val="center"/>
                </w:tcPr>
                <w:p w14:paraId="520ACCF8">
                  <w:pPr>
                    <w:topLinePunct/>
                    <w:adjustRightInd w:val="0"/>
                    <w:snapToGrid w:val="0"/>
                    <w:jc w:val="center"/>
                    <w:rPr>
                      <w:b/>
                      <w:szCs w:val="21"/>
                    </w:rPr>
                  </w:pPr>
                  <w:r>
                    <w:rPr>
                      <w:b/>
                      <w:szCs w:val="21"/>
                    </w:rPr>
                    <w:t>序号</w:t>
                  </w:r>
                </w:p>
              </w:tc>
              <w:tc>
                <w:tcPr>
                  <w:tcW w:w="580" w:type="dxa"/>
                  <w:tcBorders>
                    <w:top w:val="single" w:color="auto" w:sz="8" w:space="0"/>
                  </w:tcBorders>
                  <w:vAlign w:val="center"/>
                </w:tcPr>
                <w:p w14:paraId="520ACCF9">
                  <w:pPr>
                    <w:topLinePunct/>
                    <w:adjustRightInd w:val="0"/>
                    <w:snapToGrid w:val="0"/>
                    <w:jc w:val="center"/>
                    <w:rPr>
                      <w:b/>
                      <w:szCs w:val="21"/>
                    </w:rPr>
                  </w:pPr>
                  <w:r>
                    <w:rPr>
                      <w:b/>
                      <w:szCs w:val="21"/>
                    </w:rPr>
                    <w:t>危险废物名称</w:t>
                  </w:r>
                </w:p>
              </w:tc>
              <w:tc>
                <w:tcPr>
                  <w:tcW w:w="1262" w:type="dxa"/>
                  <w:tcBorders>
                    <w:top w:val="single" w:color="auto" w:sz="8" w:space="0"/>
                  </w:tcBorders>
                  <w:vAlign w:val="center"/>
                </w:tcPr>
                <w:p w14:paraId="520ACCFA">
                  <w:pPr>
                    <w:topLinePunct/>
                    <w:adjustRightInd w:val="0"/>
                    <w:snapToGrid w:val="0"/>
                    <w:jc w:val="center"/>
                    <w:rPr>
                      <w:b/>
                      <w:szCs w:val="21"/>
                    </w:rPr>
                  </w:pPr>
                  <w:r>
                    <w:rPr>
                      <w:b/>
                      <w:szCs w:val="21"/>
                    </w:rPr>
                    <w:t>危险废物类别</w:t>
                  </w:r>
                </w:p>
              </w:tc>
              <w:tc>
                <w:tcPr>
                  <w:tcW w:w="567" w:type="dxa"/>
                  <w:tcBorders>
                    <w:top w:val="single" w:color="auto" w:sz="8" w:space="0"/>
                  </w:tcBorders>
                  <w:vAlign w:val="center"/>
                </w:tcPr>
                <w:p w14:paraId="520ACCFB">
                  <w:pPr>
                    <w:topLinePunct/>
                    <w:adjustRightInd w:val="0"/>
                    <w:snapToGrid w:val="0"/>
                    <w:jc w:val="center"/>
                    <w:rPr>
                      <w:b/>
                      <w:szCs w:val="21"/>
                    </w:rPr>
                  </w:pPr>
                  <w:r>
                    <w:rPr>
                      <w:b/>
                      <w:szCs w:val="21"/>
                    </w:rPr>
                    <w:t>危险废物代码</w:t>
                  </w:r>
                </w:p>
              </w:tc>
              <w:tc>
                <w:tcPr>
                  <w:tcW w:w="709" w:type="dxa"/>
                  <w:tcBorders>
                    <w:top w:val="single" w:color="auto" w:sz="8" w:space="0"/>
                  </w:tcBorders>
                  <w:vAlign w:val="center"/>
                </w:tcPr>
                <w:p w14:paraId="520ACCFC">
                  <w:pPr>
                    <w:topLinePunct/>
                    <w:adjustRightInd w:val="0"/>
                    <w:snapToGrid w:val="0"/>
                    <w:jc w:val="center"/>
                    <w:rPr>
                      <w:b/>
                      <w:szCs w:val="21"/>
                    </w:rPr>
                  </w:pPr>
                  <w:r>
                    <w:rPr>
                      <w:b/>
                      <w:szCs w:val="21"/>
                    </w:rPr>
                    <w:t>产生量</w:t>
                  </w:r>
                  <w:r>
                    <w:rPr>
                      <w:rFonts w:hint="eastAsia"/>
                      <w:b/>
                      <w:szCs w:val="21"/>
                    </w:rPr>
                    <w:t>(</w:t>
                  </w:r>
                  <w:r>
                    <w:rPr>
                      <w:b/>
                      <w:szCs w:val="21"/>
                    </w:rPr>
                    <w:t>t/a</w:t>
                  </w:r>
                  <w:r>
                    <w:rPr>
                      <w:rFonts w:hint="eastAsia"/>
                      <w:b/>
                      <w:szCs w:val="21"/>
                    </w:rPr>
                    <w:t>)</w:t>
                  </w:r>
                </w:p>
              </w:tc>
              <w:tc>
                <w:tcPr>
                  <w:tcW w:w="709" w:type="dxa"/>
                  <w:tcBorders>
                    <w:top w:val="single" w:color="auto" w:sz="8" w:space="0"/>
                  </w:tcBorders>
                  <w:vAlign w:val="center"/>
                </w:tcPr>
                <w:p w14:paraId="520ACCFD">
                  <w:pPr>
                    <w:topLinePunct/>
                    <w:adjustRightInd w:val="0"/>
                    <w:snapToGrid w:val="0"/>
                    <w:jc w:val="center"/>
                    <w:rPr>
                      <w:b/>
                      <w:szCs w:val="21"/>
                    </w:rPr>
                  </w:pPr>
                  <w:r>
                    <w:rPr>
                      <w:b/>
                      <w:szCs w:val="21"/>
                    </w:rPr>
                    <w:t>产生工序及装置</w:t>
                  </w:r>
                </w:p>
              </w:tc>
              <w:tc>
                <w:tcPr>
                  <w:tcW w:w="425" w:type="dxa"/>
                  <w:tcBorders>
                    <w:top w:val="single" w:color="auto" w:sz="8" w:space="0"/>
                  </w:tcBorders>
                  <w:vAlign w:val="center"/>
                </w:tcPr>
                <w:p w14:paraId="520ACCFE">
                  <w:pPr>
                    <w:topLinePunct/>
                    <w:adjustRightInd w:val="0"/>
                    <w:snapToGrid w:val="0"/>
                    <w:jc w:val="center"/>
                    <w:rPr>
                      <w:b/>
                      <w:szCs w:val="21"/>
                    </w:rPr>
                  </w:pPr>
                  <w:r>
                    <w:rPr>
                      <w:b/>
                      <w:szCs w:val="21"/>
                    </w:rPr>
                    <w:t>形态</w:t>
                  </w:r>
                </w:p>
              </w:tc>
              <w:tc>
                <w:tcPr>
                  <w:tcW w:w="567" w:type="dxa"/>
                  <w:tcBorders>
                    <w:top w:val="single" w:color="auto" w:sz="8" w:space="0"/>
                  </w:tcBorders>
                  <w:vAlign w:val="center"/>
                </w:tcPr>
                <w:p w14:paraId="520ACCFF">
                  <w:pPr>
                    <w:topLinePunct/>
                    <w:adjustRightInd w:val="0"/>
                    <w:snapToGrid w:val="0"/>
                    <w:jc w:val="center"/>
                    <w:rPr>
                      <w:b/>
                      <w:szCs w:val="21"/>
                    </w:rPr>
                  </w:pPr>
                  <w:r>
                    <w:rPr>
                      <w:b/>
                      <w:szCs w:val="21"/>
                    </w:rPr>
                    <w:t>主要成分</w:t>
                  </w:r>
                </w:p>
              </w:tc>
              <w:tc>
                <w:tcPr>
                  <w:tcW w:w="567" w:type="dxa"/>
                  <w:tcBorders>
                    <w:top w:val="single" w:color="auto" w:sz="8" w:space="0"/>
                  </w:tcBorders>
                  <w:vAlign w:val="center"/>
                </w:tcPr>
                <w:p w14:paraId="520ACD00">
                  <w:pPr>
                    <w:topLinePunct/>
                    <w:adjustRightInd w:val="0"/>
                    <w:snapToGrid w:val="0"/>
                    <w:jc w:val="center"/>
                    <w:rPr>
                      <w:b/>
                      <w:szCs w:val="21"/>
                    </w:rPr>
                  </w:pPr>
                  <w:r>
                    <w:rPr>
                      <w:b/>
                      <w:szCs w:val="21"/>
                    </w:rPr>
                    <w:t>有害成分</w:t>
                  </w:r>
                </w:p>
              </w:tc>
              <w:tc>
                <w:tcPr>
                  <w:tcW w:w="567" w:type="dxa"/>
                  <w:tcBorders>
                    <w:top w:val="single" w:color="auto" w:sz="8" w:space="0"/>
                  </w:tcBorders>
                  <w:vAlign w:val="center"/>
                </w:tcPr>
                <w:p w14:paraId="520ACD01">
                  <w:pPr>
                    <w:topLinePunct/>
                    <w:adjustRightInd w:val="0"/>
                    <w:snapToGrid w:val="0"/>
                    <w:jc w:val="center"/>
                    <w:rPr>
                      <w:b/>
                      <w:szCs w:val="21"/>
                    </w:rPr>
                  </w:pPr>
                  <w:r>
                    <w:rPr>
                      <w:b/>
                      <w:szCs w:val="21"/>
                    </w:rPr>
                    <w:t>产废周期</w:t>
                  </w:r>
                </w:p>
              </w:tc>
              <w:tc>
                <w:tcPr>
                  <w:tcW w:w="567" w:type="dxa"/>
                  <w:tcBorders>
                    <w:top w:val="single" w:color="auto" w:sz="8" w:space="0"/>
                  </w:tcBorders>
                  <w:vAlign w:val="center"/>
                </w:tcPr>
                <w:p w14:paraId="520ACD02">
                  <w:pPr>
                    <w:topLinePunct/>
                    <w:adjustRightInd w:val="0"/>
                    <w:snapToGrid w:val="0"/>
                    <w:jc w:val="center"/>
                    <w:rPr>
                      <w:b/>
                      <w:szCs w:val="21"/>
                    </w:rPr>
                  </w:pPr>
                  <w:r>
                    <w:rPr>
                      <w:b/>
                      <w:szCs w:val="21"/>
                    </w:rPr>
                    <w:t>危险</w:t>
                  </w:r>
                </w:p>
                <w:p w14:paraId="520ACD03">
                  <w:pPr>
                    <w:topLinePunct/>
                    <w:adjustRightInd w:val="0"/>
                    <w:snapToGrid w:val="0"/>
                    <w:jc w:val="center"/>
                    <w:rPr>
                      <w:b/>
                      <w:szCs w:val="21"/>
                    </w:rPr>
                  </w:pPr>
                  <w:r>
                    <w:rPr>
                      <w:b/>
                      <w:szCs w:val="21"/>
                    </w:rPr>
                    <w:t>特性</w:t>
                  </w:r>
                </w:p>
              </w:tc>
              <w:tc>
                <w:tcPr>
                  <w:tcW w:w="1297" w:type="dxa"/>
                  <w:tcBorders>
                    <w:top w:val="single" w:color="auto" w:sz="8" w:space="0"/>
                    <w:right w:val="nil"/>
                  </w:tcBorders>
                  <w:vAlign w:val="center"/>
                </w:tcPr>
                <w:p w14:paraId="520ACD04">
                  <w:pPr>
                    <w:topLinePunct/>
                    <w:adjustRightInd w:val="0"/>
                    <w:snapToGrid w:val="0"/>
                    <w:jc w:val="center"/>
                    <w:rPr>
                      <w:b/>
                      <w:szCs w:val="21"/>
                    </w:rPr>
                  </w:pPr>
                  <w:r>
                    <w:rPr>
                      <w:b/>
                      <w:szCs w:val="21"/>
                    </w:rPr>
                    <w:t>处置措施</w:t>
                  </w:r>
                </w:p>
              </w:tc>
            </w:tr>
            <w:tr w14:paraId="520ACD0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8135" w:type="dxa"/>
                  <w:gridSpan w:val="12"/>
                  <w:tcBorders>
                    <w:top w:val="single" w:color="auto" w:sz="8" w:space="0"/>
                    <w:left w:val="nil"/>
                  </w:tcBorders>
                  <w:vAlign w:val="center"/>
                </w:tcPr>
                <w:p w14:paraId="520ACD06">
                  <w:pPr>
                    <w:topLinePunct/>
                    <w:adjustRightInd w:val="0"/>
                    <w:snapToGrid w:val="0"/>
                    <w:jc w:val="center"/>
                    <w:rPr>
                      <w:b/>
                      <w:szCs w:val="21"/>
                    </w:rPr>
                  </w:pPr>
                  <w:r>
                    <w:rPr>
                      <w:rFonts w:hint="eastAsia"/>
                      <w:b/>
                      <w:szCs w:val="21"/>
                    </w:rPr>
                    <w:t>建设路厂区</w:t>
                  </w:r>
                </w:p>
              </w:tc>
            </w:tr>
            <w:tr w14:paraId="520ACD1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8" w:type="dxa"/>
                  <w:tcBorders>
                    <w:left w:val="nil"/>
                  </w:tcBorders>
                  <w:vAlign w:val="center"/>
                </w:tcPr>
                <w:p w14:paraId="520ACD08">
                  <w:pPr>
                    <w:topLinePunct/>
                    <w:adjustRightInd w:val="0"/>
                    <w:snapToGrid w:val="0"/>
                    <w:jc w:val="center"/>
                    <w:rPr>
                      <w:szCs w:val="21"/>
                    </w:rPr>
                  </w:pPr>
                  <w:r>
                    <w:rPr>
                      <w:rFonts w:hint="eastAsia"/>
                      <w:szCs w:val="21"/>
                    </w:rPr>
                    <w:t>1</w:t>
                  </w:r>
                </w:p>
              </w:tc>
              <w:tc>
                <w:tcPr>
                  <w:tcW w:w="580" w:type="dxa"/>
                  <w:vAlign w:val="center"/>
                </w:tcPr>
                <w:p w14:paraId="520ACD09">
                  <w:pPr>
                    <w:pStyle w:val="41"/>
                    <w:rPr>
                      <w:bCs/>
                    </w:rPr>
                  </w:pPr>
                  <w:r>
                    <w:rPr>
                      <w:rFonts w:hint="eastAsia"/>
                      <w:bCs/>
                      <w:lang w:val="en-US"/>
                    </w:rPr>
                    <w:t>废切削液</w:t>
                  </w:r>
                </w:p>
              </w:tc>
              <w:tc>
                <w:tcPr>
                  <w:tcW w:w="1262" w:type="dxa"/>
                  <w:vAlign w:val="center"/>
                </w:tcPr>
                <w:p w14:paraId="520ACD0A">
                  <w:pPr>
                    <w:topLinePunct/>
                    <w:autoSpaceDE w:val="0"/>
                    <w:autoSpaceDN w:val="0"/>
                    <w:adjustRightInd w:val="0"/>
                    <w:snapToGrid w:val="0"/>
                    <w:jc w:val="center"/>
                    <w:textAlignment w:val="baseline"/>
                    <w:rPr>
                      <w:szCs w:val="21"/>
                    </w:rPr>
                  </w:pPr>
                  <w:r>
                    <w:rPr>
                      <w:szCs w:val="21"/>
                    </w:rPr>
                    <w:t>HW09</w:t>
                  </w:r>
                  <w:r>
                    <w:rPr>
                      <w:rFonts w:hint="eastAsia"/>
                      <w:szCs w:val="21"/>
                    </w:rPr>
                    <w:t>油/水、烃/水混合物或乳化液</w:t>
                  </w:r>
                </w:p>
              </w:tc>
              <w:tc>
                <w:tcPr>
                  <w:tcW w:w="567" w:type="dxa"/>
                  <w:vAlign w:val="center"/>
                </w:tcPr>
                <w:p w14:paraId="520ACD0B">
                  <w:pPr>
                    <w:topLinePunct/>
                    <w:autoSpaceDE w:val="0"/>
                    <w:autoSpaceDN w:val="0"/>
                    <w:adjustRightInd w:val="0"/>
                    <w:snapToGrid w:val="0"/>
                    <w:jc w:val="center"/>
                    <w:textAlignment w:val="baseline"/>
                    <w:rPr>
                      <w:szCs w:val="21"/>
                    </w:rPr>
                  </w:pPr>
                  <w:r>
                    <w:rPr>
                      <w:rFonts w:hint="eastAsia"/>
                      <w:szCs w:val="21"/>
                    </w:rPr>
                    <w:t>900-006-09</w:t>
                  </w:r>
                </w:p>
              </w:tc>
              <w:tc>
                <w:tcPr>
                  <w:tcW w:w="709" w:type="dxa"/>
                  <w:vAlign w:val="center"/>
                </w:tcPr>
                <w:p w14:paraId="520ACD0C">
                  <w:pPr>
                    <w:jc w:val="center"/>
                    <w:rPr>
                      <w:bCs/>
                      <w:szCs w:val="21"/>
                    </w:rPr>
                  </w:pPr>
                  <w:r>
                    <w:rPr>
                      <w:rFonts w:hint="eastAsia"/>
                      <w:bCs/>
                      <w:szCs w:val="21"/>
                    </w:rPr>
                    <w:t>0.0146</w:t>
                  </w:r>
                </w:p>
              </w:tc>
              <w:tc>
                <w:tcPr>
                  <w:tcW w:w="709" w:type="dxa"/>
                  <w:vAlign w:val="center"/>
                </w:tcPr>
                <w:p w14:paraId="520ACD0D">
                  <w:pPr>
                    <w:topLinePunct/>
                    <w:autoSpaceDE w:val="0"/>
                    <w:autoSpaceDN w:val="0"/>
                    <w:adjustRightInd w:val="0"/>
                    <w:snapToGrid w:val="0"/>
                    <w:jc w:val="center"/>
                    <w:textAlignment w:val="baseline"/>
                    <w:rPr>
                      <w:bCs/>
                      <w:szCs w:val="21"/>
                    </w:rPr>
                  </w:pPr>
                  <w:r>
                    <w:rPr>
                      <w:rFonts w:hint="eastAsia"/>
                      <w:bCs/>
                    </w:rPr>
                    <w:t>机加工</w:t>
                  </w:r>
                </w:p>
              </w:tc>
              <w:tc>
                <w:tcPr>
                  <w:tcW w:w="425" w:type="dxa"/>
                  <w:vAlign w:val="center"/>
                </w:tcPr>
                <w:p w14:paraId="520ACD0E">
                  <w:pPr>
                    <w:topLinePunct/>
                    <w:autoSpaceDE w:val="0"/>
                    <w:autoSpaceDN w:val="0"/>
                    <w:adjustRightInd w:val="0"/>
                    <w:snapToGrid w:val="0"/>
                    <w:jc w:val="center"/>
                    <w:textAlignment w:val="baseline"/>
                    <w:rPr>
                      <w:szCs w:val="21"/>
                    </w:rPr>
                  </w:pPr>
                  <w:r>
                    <w:rPr>
                      <w:rFonts w:hint="eastAsia"/>
                      <w:szCs w:val="21"/>
                    </w:rPr>
                    <w:t>液体</w:t>
                  </w:r>
                </w:p>
              </w:tc>
              <w:tc>
                <w:tcPr>
                  <w:tcW w:w="567" w:type="dxa"/>
                  <w:vAlign w:val="center"/>
                </w:tcPr>
                <w:p w14:paraId="520ACD0F">
                  <w:pPr>
                    <w:topLinePunct/>
                    <w:autoSpaceDE w:val="0"/>
                    <w:autoSpaceDN w:val="0"/>
                    <w:adjustRightInd w:val="0"/>
                    <w:snapToGrid w:val="0"/>
                    <w:jc w:val="center"/>
                    <w:textAlignment w:val="baseline"/>
                  </w:pPr>
                  <w:r>
                    <w:rPr>
                      <w:rFonts w:hint="eastAsia"/>
                    </w:rPr>
                    <w:t>切削液</w:t>
                  </w:r>
                </w:p>
              </w:tc>
              <w:tc>
                <w:tcPr>
                  <w:tcW w:w="567" w:type="dxa"/>
                  <w:vAlign w:val="center"/>
                </w:tcPr>
                <w:p w14:paraId="520ACD10">
                  <w:pPr>
                    <w:topLinePunct/>
                    <w:autoSpaceDE w:val="0"/>
                    <w:autoSpaceDN w:val="0"/>
                    <w:adjustRightInd w:val="0"/>
                    <w:snapToGrid w:val="0"/>
                    <w:jc w:val="center"/>
                    <w:textAlignment w:val="baseline"/>
                  </w:pPr>
                  <w:r>
                    <w:rPr>
                      <w:rFonts w:hint="eastAsia"/>
                    </w:rPr>
                    <w:t>切削液</w:t>
                  </w:r>
                </w:p>
              </w:tc>
              <w:tc>
                <w:tcPr>
                  <w:tcW w:w="567" w:type="dxa"/>
                  <w:vAlign w:val="center"/>
                </w:tcPr>
                <w:p w14:paraId="520ACD11">
                  <w:pPr>
                    <w:topLinePunct/>
                    <w:autoSpaceDE w:val="0"/>
                    <w:autoSpaceDN w:val="0"/>
                    <w:adjustRightInd w:val="0"/>
                    <w:snapToGrid w:val="0"/>
                    <w:jc w:val="center"/>
                    <w:textAlignment w:val="baseline"/>
                    <w:rPr>
                      <w:szCs w:val="21"/>
                    </w:rPr>
                  </w:pPr>
                  <w:r>
                    <w:rPr>
                      <w:rFonts w:hint="eastAsia"/>
                      <w:szCs w:val="21"/>
                    </w:rPr>
                    <w:t>1年</w:t>
                  </w:r>
                </w:p>
              </w:tc>
              <w:tc>
                <w:tcPr>
                  <w:tcW w:w="567" w:type="dxa"/>
                  <w:vAlign w:val="center"/>
                </w:tcPr>
                <w:p w14:paraId="520ACD12">
                  <w:pPr>
                    <w:topLinePunct/>
                    <w:autoSpaceDE w:val="0"/>
                    <w:autoSpaceDN w:val="0"/>
                    <w:adjustRightInd w:val="0"/>
                    <w:snapToGrid w:val="0"/>
                    <w:jc w:val="center"/>
                    <w:textAlignment w:val="baseline"/>
                    <w:rPr>
                      <w:szCs w:val="21"/>
                    </w:rPr>
                  </w:pPr>
                  <w:r>
                    <w:rPr>
                      <w:rFonts w:hint="eastAsia"/>
                      <w:szCs w:val="21"/>
                    </w:rPr>
                    <w:t>T</w:t>
                  </w:r>
                </w:p>
              </w:tc>
              <w:tc>
                <w:tcPr>
                  <w:tcW w:w="1297" w:type="dxa"/>
                  <w:tcBorders>
                    <w:right w:val="nil"/>
                  </w:tcBorders>
                  <w:vAlign w:val="center"/>
                </w:tcPr>
                <w:p w14:paraId="520ACD13">
                  <w:pPr>
                    <w:jc w:val="center"/>
                    <w:rPr>
                      <w:szCs w:val="21"/>
                    </w:rPr>
                  </w:pPr>
                  <w:r>
                    <w:rPr>
                      <w:rFonts w:hint="eastAsia"/>
                      <w:szCs w:val="21"/>
                    </w:rPr>
                    <w:t>密闭容器收集并依托建设路厂区现有工程危废贮存间WF-004暂存，定期委托有相应危废处理资质单位安全处置</w:t>
                  </w:r>
                </w:p>
              </w:tc>
            </w:tr>
            <w:tr w14:paraId="520ACD2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8" w:type="dxa"/>
                  <w:tcBorders>
                    <w:left w:val="nil"/>
                  </w:tcBorders>
                  <w:vAlign w:val="center"/>
                </w:tcPr>
                <w:p w14:paraId="520ACD15">
                  <w:pPr>
                    <w:topLinePunct/>
                    <w:adjustRightInd w:val="0"/>
                    <w:snapToGrid w:val="0"/>
                    <w:jc w:val="center"/>
                    <w:rPr>
                      <w:szCs w:val="21"/>
                    </w:rPr>
                  </w:pPr>
                  <w:r>
                    <w:rPr>
                      <w:rFonts w:hint="eastAsia"/>
                      <w:szCs w:val="21"/>
                    </w:rPr>
                    <w:t>2</w:t>
                  </w:r>
                </w:p>
              </w:tc>
              <w:tc>
                <w:tcPr>
                  <w:tcW w:w="580" w:type="dxa"/>
                  <w:vAlign w:val="center"/>
                </w:tcPr>
                <w:p w14:paraId="520ACD16">
                  <w:pPr>
                    <w:pStyle w:val="41"/>
                    <w:rPr>
                      <w:bCs/>
                    </w:rPr>
                  </w:pPr>
                  <w:r>
                    <w:rPr>
                      <w:rFonts w:hint="eastAsia"/>
                      <w:bCs/>
                    </w:rPr>
                    <w:t>废液压油</w:t>
                  </w:r>
                </w:p>
              </w:tc>
              <w:tc>
                <w:tcPr>
                  <w:tcW w:w="1262" w:type="dxa"/>
                  <w:vMerge w:val="restart"/>
                  <w:vAlign w:val="center"/>
                </w:tcPr>
                <w:p w14:paraId="520ACD17">
                  <w:pPr>
                    <w:topLinePunct/>
                    <w:autoSpaceDE w:val="0"/>
                    <w:autoSpaceDN w:val="0"/>
                    <w:adjustRightInd w:val="0"/>
                    <w:snapToGrid w:val="0"/>
                    <w:jc w:val="center"/>
                    <w:textAlignment w:val="baseline"/>
                    <w:rPr>
                      <w:szCs w:val="21"/>
                    </w:rPr>
                  </w:pPr>
                  <w:r>
                    <w:rPr>
                      <w:rFonts w:hint="eastAsia"/>
                      <w:szCs w:val="21"/>
                    </w:rPr>
                    <w:t>HW08废矿物油与含矿物油废物</w:t>
                  </w:r>
                </w:p>
              </w:tc>
              <w:tc>
                <w:tcPr>
                  <w:tcW w:w="567" w:type="dxa"/>
                  <w:vMerge w:val="restart"/>
                  <w:vAlign w:val="center"/>
                </w:tcPr>
                <w:p w14:paraId="520ACD18">
                  <w:pPr>
                    <w:topLinePunct/>
                    <w:autoSpaceDE w:val="0"/>
                    <w:autoSpaceDN w:val="0"/>
                    <w:adjustRightInd w:val="0"/>
                    <w:snapToGrid w:val="0"/>
                    <w:jc w:val="center"/>
                    <w:textAlignment w:val="baseline"/>
                    <w:rPr>
                      <w:szCs w:val="21"/>
                    </w:rPr>
                  </w:pPr>
                  <w:r>
                    <w:rPr>
                      <w:szCs w:val="21"/>
                    </w:rPr>
                    <w:t>900-249-08</w:t>
                  </w:r>
                </w:p>
              </w:tc>
              <w:tc>
                <w:tcPr>
                  <w:tcW w:w="709" w:type="dxa"/>
                  <w:vAlign w:val="center"/>
                </w:tcPr>
                <w:p w14:paraId="520ACD19">
                  <w:pPr>
                    <w:jc w:val="center"/>
                    <w:rPr>
                      <w:bCs/>
                      <w:szCs w:val="21"/>
                      <w:highlight w:val="yellow"/>
                    </w:rPr>
                  </w:pPr>
                  <w:r>
                    <w:rPr>
                      <w:bCs/>
                      <w:szCs w:val="21"/>
                    </w:rPr>
                    <w:t>0.</w:t>
                  </w:r>
                  <w:r>
                    <w:rPr>
                      <w:rFonts w:hint="eastAsia"/>
                      <w:bCs/>
                      <w:szCs w:val="21"/>
                    </w:rPr>
                    <w:t>076</w:t>
                  </w:r>
                </w:p>
              </w:tc>
              <w:tc>
                <w:tcPr>
                  <w:tcW w:w="709" w:type="dxa"/>
                  <w:vMerge w:val="restart"/>
                  <w:vAlign w:val="center"/>
                </w:tcPr>
                <w:p w14:paraId="520ACD1A">
                  <w:pPr>
                    <w:topLinePunct/>
                    <w:autoSpaceDE w:val="0"/>
                    <w:autoSpaceDN w:val="0"/>
                    <w:adjustRightInd w:val="0"/>
                    <w:snapToGrid w:val="0"/>
                    <w:jc w:val="center"/>
                    <w:textAlignment w:val="baseline"/>
                    <w:rPr>
                      <w:bCs/>
                      <w:szCs w:val="21"/>
                    </w:rPr>
                  </w:pPr>
                  <w:r>
                    <w:rPr>
                      <w:rFonts w:hint="eastAsia"/>
                      <w:bCs/>
                      <w:szCs w:val="21"/>
                    </w:rPr>
                    <w:t>油类试验</w:t>
                  </w:r>
                </w:p>
              </w:tc>
              <w:tc>
                <w:tcPr>
                  <w:tcW w:w="425" w:type="dxa"/>
                  <w:vMerge w:val="restart"/>
                  <w:vAlign w:val="center"/>
                </w:tcPr>
                <w:p w14:paraId="520ACD1B">
                  <w:pPr>
                    <w:topLinePunct/>
                    <w:autoSpaceDE w:val="0"/>
                    <w:autoSpaceDN w:val="0"/>
                    <w:adjustRightInd w:val="0"/>
                    <w:snapToGrid w:val="0"/>
                    <w:jc w:val="center"/>
                    <w:textAlignment w:val="baseline"/>
                    <w:rPr>
                      <w:szCs w:val="21"/>
                    </w:rPr>
                  </w:pPr>
                  <w:r>
                    <w:rPr>
                      <w:rFonts w:hint="eastAsia"/>
                      <w:szCs w:val="21"/>
                    </w:rPr>
                    <w:t>液体</w:t>
                  </w:r>
                </w:p>
              </w:tc>
              <w:tc>
                <w:tcPr>
                  <w:tcW w:w="567" w:type="dxa"/>
                  <w:vAlign w:val="center"/>
                </w:tcPr>
                <w:p w14:paraId="520ACD1C">
                  <w:pPr>
                    <w:topLinePunct/>
                    <w:autoSpaceDE w:val="0"/>
                    <w:autoSpaceDN w:val="0"/>
                    <w:adjustRightInd w:val="0"/>
                    <w:snapToGrid w:val="0"/>
                    <w:jc w:val="center"/>
                    <w:textAlignment w:val="baseline"/>
                  </w:pPr>
                  <w:r>
                    <w:rPr>
                      <w:rFonts w:hint="eastAsia"/>
                    </w:rPr>
                    <w:t>液压油</w:t>
                  </w:r>
                </w:p>
              </w:tc>
              <w:tc>
                <w:tcPr>
                  <w:tcW w:w="567" w:type="dxa"/>
                  <w:vAlign w:val="center"/>
                </w:tcPr>
                <w:p w14:paraId="520ACD1D">
                  <w:pPr>
                    <w:topLinePunct/>
                    <w:autoSpaceDE w:val="0"/>
                    <w:autoSpaceDN w:val="0"/>
                    <w:adjustRightInd w:val="0"/>
                    <w:snapToGrid w:val="0"/>
                    <w:jc w:val="center"/>
                    <w:textAlignment w:val="baseline"/>
                  </w:pPr>
                  <w:r>
                    <w:rPr>
                      <w:rFonts w:hint="eastAsia"/>
                    </w:rPr>
                    <w:t>液压</w:t>
                  </w:r>
                  <w:r>
                    <w:t>油</w:t>
                  </w:r>
                </w:p>
              </w:tc>
              <w:tc>
                <w:tcPr>
                  <w:tcW w:w="567" w:type="dxa"/>
                  <w:vAlign w:val="center"/>
                </w:tcPr>
                <w:p w14:paraId="520ACD1E">
                  <w:pPr>
                    <w:topLinePunct/>
                    <w:autoSpaceDE w:val="0"/>
                    <w:autoSpaceDN w:val="0"/>
                    <w:adjustRightInd w:val="0"/>
                    <w:snapToGrid w:val="0"/>
                    <w:jc w:val="center"/>
                    <w:textAlignment w:val="baseline"/>
                    <w:rPr>
                      <w:szCs w:val="21"/>
                    </w:rPr>
                  </w:pPr>
                  <w:r>
                    <w:rPr>
                      <w:rFonts w:hint="eastAsia"/>
                      <w:szCs w:val="21"/>
                    </w:rPr>
                    <w:t>半年</w:t>
                  </w:r>
                </w:p>
              </w:tc>
              <w:tc>
                <w:tcPr>
                  <w:tcW w:w="567" w:type="dxa"/>
                  <w:vAlign w:val="center"/>
                </w:tcPr>
                <w:p w14:paraId="520ACD1F">
                  <w:pPr>
                    <w:topLinePunct/>
                    <w:autoSpaceDE w:val="0"/>
                    <w:autoSpaceDN w:val="0"/>
                    <w:adjustRightInd w:val="0"/>
                    <w:snapToGrid w:val="0"/>
                    <w:jc w:val="center"/>
                    <w:textAlignment w:val="baseline"/>
                    <w:rPr>
                      <w:szCs w:val="21"/>
                    </w:rPr>
                  </w:pPr>
                  <w:r>
                    <w:rPr>
                      <w:rFonts w:hint="eastAsia"/>
                      <w:szCs w:val="21"/>
                    </w:rPr>
                    <w:t>T，I</w:t>
                  </w:r>
                </w:p>
              </w:tc>
              <w:tc>
                <w:tcPr>
                  <w:tcW w:w="1297" w:type="dxa"/>
                  <w:vMerge w:val="restart"/>
                  <w:tcBorders>
                    <w:right w:val="nil"/>
                  </w:tcBorders>
                  <w:vAlign w:val="center"/>
                </w:tcPr>
                <w:p w14:paraId="520ACD20">
                  <w:pPr>
                    <w:jc w:val="center"/>
                    <w:rPr>
                      <w:szCs w:val="21"/>
                    </w:rPr>
                  </w:pPr>
                  <w:r>
                    <w:rPr>
                      <w:szCs w:val="21"/>
                    </w:rPr>
                    <w:t>密闭</w:t>
                  </w:r>
                  <w:r>
                    <w:rPr>
                      <w:rFonts w:hint="eastAsia"/>
                      <w:szCs w:val="21"/>
                    </w:rPr>
                    <w:t>容器</w:t>
                  </w:r>
                  <w:r>
                    <w:rPr>
                      <w:szCs w:val="21"/>
                    </w:rPr>
                    <w:t>收集</w:t>
                  </w:r>
                  <w:r>
                    <w:rPr>
                      <w:rFonts w:hint="eastAsia"/>
                      <w:szCs w:val="21"/>
                    </w:rPr>
                    <w:t>并依托建设路厂区现有工程危废贮存间WF-002</w:t>
                  </w:r>
                  <w:r>
                    <w:rPr>
                      <w:szCs w:val="21"/>
                    </w:rPr>
                    <w:t>暂存，</w:t>
                  </w:r>
                  <w:r>
                    <w:rPr>
                      <w:rFonts w:hint="eastAsia"/>
                      <w:szCs w:val="21"/>
                    </w:rPr>
                    <w:t>定期委托有相应危废处理资质单位安全处置</w:t>
                  </w:r>
                </w:p>
              </w:tc>
            </w:tr>
            <w:tr w14:paraId="520ACD2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8" w:type="dxa"/>
                  <w:tcBorders>
                    <w:left w:val="nil"/>
                  </w:tcBorders>
                  <w:vAlign w:val="center"/>
                </w:tcPr>
                <w:p w14:paraId="520ACD22">
                  <w:pPr>
                    <w:topLinePunct/>
                    <w:adjustRightInd w:val="0"/>
                    <w:snapToGrid w:val="0"/>
                    <w:jc w:val="center"/>
                    <w:rPr>
                      <w:szCs w:val="21"/>
                    </w:rPr>
                  </w:pPr>
                  <w:r>
                    <w:rPr>
                      <w:rFonts w:hint="eastAsia"/>
                      <w:szCs w:val="21"/>
                    </w:rPr>
                    <w:t>3</w:t>
                  </w:r>
                </w:p>
              </w:tc>
              <w:tc>
                <w:tcPr>
                  <w:tcW w:w="580" w:type="dxa"/>
                  <w:vAlign w:val="center"/>
                </w:tcPr>
                <w:p w14:paraId="520ACD23">
                  <w:pPr>
                    <w:pStyle w:val="41"/>
                    <w:rPr>
                      <w:lang w:val="en-US"/>
                    </w:rPr>
                  </w:pPr>
                  <w:r>
                    <w:rPr>
                      <w:rFonts w:hint="eastAsia"/>
                      <w:lang w:val="en-US"/>
                    </w:rPr>
                    <w:t>废滑油</w:t>
                  </w:r>
                </w:p>
              </w:tc>
              <w:tc>
                <w:tcPr>
                  <w:tcW w:w="1262" w:type="dxa"/>
                  <w:vMerge w:val="continue"/>
                  <w:vAlign w:val="center"/>
                </w:tcPr>
                <w:p w14:paraId="520ACD24">
                  <w:pPr>
                    <w:topLinePunct/>
                    <w:autoSpaceDE w:val="0"/>
                    <w:autoSpaceDN w:val="0"/>
                    <w:adjustRightInd w:val="0"/>
                    <w:snapToGrid w:val="0"/>
                    <w:jc w:val="center"/>
                    <w:textAlignment w:val="baseline"/>
                    <w:rPr>
                      <w:szCs w:val="21"/>
                    </w:rPr>
                  </w:pPr>
                </w:p>
              </w:tc>
              <w:tc>
                <w:tcPr>
                  <w:tcW w:w="567" w:type="dxa"/>
                  <w:vMerge w:val="continue"/>
                  <w:vAlign w:val="center"/>
                </w:tcPr>
                <w:p w14:paraId="520ACD25">
                  <w:pPr>
                    <w:topLinePunct/>
                    <w:autoSpaceDE w:val="0"/>
                    <w:autoSpaceDN w:val="0"/>
                    <w:adjustRightInd w:val="0"/>
                    <w:snapToGrid w:val="0"/>
                    <w:jc w:val="center"/>
                    <w:textAlignment w:val="baseline"/>
                    <w:rPr>
                      <w:szCs w:val="21"/>
                    </w:rPr>
                  </w:pPr>
                </w:p>
              </w:tc>
              <w:tc>
                <w:tcPr>
                  <w:tcW w:w="709" w:type="dxa"/>
                  <w:vAlign w:val="center"/>
                </w:tcPr>
                <w:p w14:paraId="520ACD26">
                  <w:pPr>
                    <w:jc w:val="center"/>
                    <w:rPr>
                      <w:szCs w:val="21"/>
                    </w:rPr>
                  </w:pPr>
                  <w:r>
                    <w:rPr>
                      <w:rFonts w:hint="eastAsia"/>
                      <w:bCs/>
                      <w:szCs w:val="21"/>
                    </w:rPr>
                    <w:t>0.475</w:t>
                  </w:r>
                </w:p>
              </w:tc>
              <w:tc>
                <w:tcPr>
                  <w:tcW w:w="709" w:type="dxa"/>
                  <w:vMerge w:val="continue"/>
                  <w:vAlign w:val="center"/>
                </w:tcPr>
                <w:p w14:paraId="520ACD27">
                  <w:pPr>
                    <w:topLinePunct/>
                    <w:autoSpaceDE w:val="0"/>
                    <w:autoSpaceDN w:val="0"/>
                    <w:adjustRightInd w:val="0"/>
                    <w:snapToGrid w:val="0"/>
                    <w:jc w:val="center"/>
                    <w:textAlignment w:val="baseline"/>
                    <w:rPr>
                      <w:szCs w:val="21"/>
                      <w:highlight w:val="yellow"/>
                    </w:rPr>
                  </w:pPr>
                </w:p>
              </w:tc>
              <w:tc>
                <w:tcPr>
                  <w:tcW w:w="425" w:type="dxa"/>
                  <w:vMerge w:val="continue"/>
                  <w:vAlign w:val="center"/>
                </w:tcPr>
                <w:p w14:paraId="520ACD28">
                  <w:pPr>
                    <w:topLinePunct/>
                    <w:autoSpaceDE w:val="0"/>
                    <w:autoSpaceDN w:val="0"/>
                    <w:adjustRightInd w:val="0"/>
                    <w:snapToGrid w:val="0"/>
                    <w:jc w:val="center"/>
                    <w:textAlignment w:val="baseline"/>
                    <w:rPr>
                      <w:szCs w:val="21"/>
                      <w:highlight w:val="yellow"/>
                    </w:rPr>
                  </w:pPr>
                </w:p>
              </w:tc>
              <w:tc>
                <w:tcPr>
                  <w:tcW w:w="567" w:type="dxa"/>
                  <w:vAlign w:val="center"/>
                </w:tcPr>
                <w:p w14:paraId="520ACD29">
                  <w:pPr>
                    <w:topLinePunct/>
                    <w:autoSpaceDE w:val="0"/>
                    <w:autoSpaceDN w:val="0"/>
                    <w:adjustRightInd w:val="0"/>
                    <w:snapToGrid w:val="0"/>
                    <w:jc w:val="center"/>
                    <w:textAlignment w:val="baseline"/>
                    <w:rPr>
                      <w:szCs w:val="21"/>
                    </w:rPr>
                  </w:pPr>
                  <w:r>
                    <w:rPr>
                      <w:rFonts w:hint="eastAsia"/>
                      <w:szCs w:val="21"/>
                    </w:rPr>
                    <w:t>滑油</w:t>
                  </w:r>
                </w:p>
              </w:tc>
              <w:tc>
                <w:tcPr>
                  <w:tcW w:w="567" w:type="dxa"/>
                  <w:vAlign w:val="center"/>
                </w:tcPr>
                <w:p w14:paraId="520ACD2A">
                  <w:pPr>
                    <w:topLinePunct/>
                    <w:autoSpaceDE w:val="0"/>
                    <w:autoSpaceDN w:val="0"/>
                    <w:adjustRightInd w:val="0"/>
                    <w:snapToGrid w:val="0"/>
                    <w:jc w:val="center"/>
                    <w:textAlignment w:val="baseline"/>
                    <w:rPr>
                      <w:szCs w:val="21"/>
                    </w:rPr>
                  </w:pPr>
                  <w:r>
                    <w:rPr>
                      <w:rFonts w:hint="eastAsia"/>
                      <w:szCs w:val="21"/>
                    </w:rPr>
                    <w:t>滑油</w:t>
                  </w:r>
                </w:p>
              </w:tc>
              <w:tc>
                <w:tcPr>
                  <w:tcW w:w="567" w:type="dxa"/>
                  <w:vAlign w:val="center"/>
                </w:tcPr>
                <w:p w14:paraId="520ACD2B">
                  <w:pPr>
                    <w:topLinePunct/>
                    <w:autoSpaceDE w:val="0"/>
                    <w:autoSpaceDN w:val="0"/>
                    <w:adjustRightInd w:val="0"/>
                    <w:snapToGrid w:val="0"/>
                    <w:jc w:val="center"/>
                    <w:textAlignment w:val="baseline"/>
                    <w:rPr>
                      <w:szCs w:val="21"/>
                    </w:rPr>
                  </w:pPr>
                  <w:r>
                    <w:rPr>
                      <w:rFonts w:hint="eastAsia"/>
                      <w:szCs w:val="21"/>
                    </w:rPr>
                    <w:t>3个月</w:t>
                  </w:r>
                </w:p>
              </w:tc>
              <w:tc>
                <w:tcPr>
                  <w:tcW w:w="567" w:type="dxa"/>
                  <w:vAlign w:val="center"/>
                </w:tcPr>
                <w:p w14:paraId="520ACD2C">
                  <w:pPr>
                    <w:topLinePunct/>
                    <w:autoSpaceDE w:val="0"/>
                    <w:autoSpaceDN w:val="0"/>
                    <w:adjustRightInd w:val="0"/>
                    <w:snapToGrid w:val="0"/>
                    <w:jc w:val="center"/>
                    <w:textAlignment w:val="baseline"/>
                    <w:rPr>
                      <w:szCs w:val="21"/>
                    </w:rPr>
                  </w:pPr>
                  <w:r>
                    <w:rPr>
                      <w:rFonts w:hint="eastAsia"/>
                      <w:szCs w:val="21"/>
                    </w:rPr>
                    <w:t>T，I</w:t>
                  </w:r>
                </w:p>
              </w:tc>
              <w:tc>
                <w:tcPr>
                  <w:tcW w:w="1297" w:type="dxa"/>
                  <w:vMerge w:val="continue"/>
                  <w:tcBorders>
                    <w:right w:val="nil"/>
                  </w:tcBorders>
                  <w:vAlign w:val="center"/>
                </w:tcPr>
                <w:p w14:paraId="520ACD2D">
                  <w:pPr>
                    <w:jc w:val="center"/>
                    <w:rPr>
                      <w:szCs w:val="21"/>
                      <w:highlight w:val="yellow"/>
                    </w:rPr>
                  </w:pPr>
                </w:p>
              </w:tc>
            </w:tr>
            <w:tr w14:paraId="520ACD3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8" w:type="dxa"/>
                  <w:tcBorders>
                    <w:left w:val="nil"/>
                  </w:tcBorders>
                  <w:vAlign w:val="center"/>
                </w:tcPr>
                <w:p w14:paraId="520ACD2F">
                  <w:pPr>
                    <w:topLinePunct/>
                    <w:adjustRightInd w:val="0"/>
                    <w:snapToGrid w:val="0"/>
                    <w:jc w:val="center"/>
                    <w:rPr>
                      <w:szCs w:val="21"/>
                    </w:rPr>
                  </w:pPr>
                  <w:r>
                    <w:rPr>
                      <w:rFonts w:hint="eastAsia"/>
                      <w:szCs w:val="21"/>
                    </w:rPr>
                    <w:t>4</w:t>
                  </w:r>
                </w:p>
              </w:tc>
              <w:tc>
                <w:tcPr>
                  <w:tcW w:w="580" w:type="dxa"/>
                  <w:vAlign w:val="center"/>
                </w:tcPr>
                <w:p w14:paraId="520ACD30">
                  <w:pPr>
                    <w:pStyle w:val="41"/>
                    <w:rPr>
                      <w:lang w:val="en-US"/>
                    </w:rPr>
                  </w:pPr>
                  <w:r>
                    <w:rPr>
                      <w:rFonts w:hint="eastAsia"/>
                      <w:bCs/>
                      <w:lang w:val="en-US"/>
                    </w:rPr>
                    <w:t>废活性炭</w:t>
                  </w:r>
                </w:p>
              </w:tc>
              <w:tc>
                <w:tcPr>
                  <w:tcW w:w="1262" w:type="dxa"/>
                  <w:vAlign w:val="center"/>
                </w:tcPr>
                <w:p w14:paraId="520ACD31">
                  <w:pPr>
                    <w:topLinePunct/>
                    <w:autoSpaceDE w:val="0"/>
                    <w:autoSpaceDN w:val="0"/>
                    <w:adjustRightInd w:val="0"/>
                    <w:snapToGrid w:val="0"/>
                    <w:jc w:val="center"/>
                    <w:textAlignment w:val="baseline"/>
                    <w:rPr>
                      <w:szCs w:val="21"/>
                    </w:rPr>
                  </w:pPr>
                  <w:r>
                    <w:rPr>
                      <w:rFonts w:hint="eastAsia"/>
                      <w:szCs w:val="21"/>
                    </w:rPr>
                    <w:t>HW49其它废物</w:t>
                  </w:r>
                </w:p>
              </w:tc>
              <w:tc>
                <w:tcPr>
                  <w:tcW w:w="567" w:type="dxa"/>
                  <w:vAlign w:val="center"/>
                </w:tcPr>
                <w:p w14:paraId="520ACD32">
                  <w:pPr>
                    <w:topLinePunct/>
                    <w:autoSpaceDE w:val="0"/>
                    <w:autoSpaceDN w:val="0"/>
                    <w:adjustRightInd w:val="0"/>
                    <w:snapToGrid w:val="0"/>
                    <w:jc w:val="center"/>
                    <w:textAlignment w:val="baseline"/>
                    <w:rPr>
                      <w:szCs w:val="21"/>
                    </w:rPr>
                  </w:pPr>
                  <w:r>
                    <w:rPr>
                      <w:szCs w:val="21"/>
                    </w:rPr>
                    <w:t>900-039-49</w:t>
                  </w:r>
                </w:p>
              </w:tc>
              <w:tc>
                <w:tcPr>
                  <w:tcW w:w="709" w:type="dxa"/>
                  <w:vAlign w:val="center"/>
                </w:tcPr>
                <w:p w14:paraId="520ACD33">
                  <w:pPr>
                    <w:jc w:val="center"/>
                    <w:rPr>
                      <w:szCs w:val="21"/>
                    </w:rPr>
                  </w:pPr>
                  <w:r>
                    <w:rPr>
                      <w:rFonts w:hint="eastAsia"/>
                      <w:bCs/>
                      <w:szCs w:val="21"/>
                    </w:rPr>
                    <w:t>0.</w:t>
                  </w:r>
                  <w:r>
                    <w:rPr>
                      <w:bCs/>
                      <w:szCs w:val="21"/>
                    </w:rPr>
                    <w:t>0</w:t>
                  </w:r>
                  <w:r>
                    <w:rPr>
                      <w:rFonts w:hint="eastAsia"/>
                      <w:bCs/>
                      <w:szCs w:val="21"/>
                    </w:rPr>
                    <w:t>161</w:t>
                  </w:r>
                </w:p>
              </w:tc>
              <w:tc>
                <w:tcPr>
                  <w:tcW w:w="709" w:type="dxa"/>
                  <w:vAlign w:val="center"/>
                </w:tcPr>
                <w:p w14:paraId="520ACD34">
                  <w:pPr>
                    <w:topLinePunct/>
                    <w:autoSpaceDE w:val="0"/>
                    <w:autoSpaceDN w:val="0"/>
                    <w:adjustRightInd w:val="0"/>
                    <w:snapToGrid w:val="0"/>
                    <w:jc w:val="center"/>
                    <w:textAlignment w:val="baseline"/>
                    <w:rPr>
                      <w:szCs w:val="21"/>
                    </w:rPr>
                  </w:pPr>
                  <w:r>
                    <w:rPr>
                      <w:rFonts w:hint="eastAsia"/>
                      <w:bCs/>
                    </w:rPr>
                    <w:t>有机废气治理措施</w:t>
                  </w:r>
                </w:p>
              </w:tc>
              <w:tc>
                <w:tcPr>
                  <w:tcW w:w="425" w:type="dxa"/>
                  <w:vAlign w:val="center"/>
                </w:tcPr>
                <w:p w14:paraId="520ACD35">
                  <w:pPr>
                    <w:topLinePunct/>
                    <w:autoSpaceDE w:val="0"/>
                    <w:autoSpaceDN w:val="0"/>
                    <w:adjustRightInd w:val="0"/>
                    <w:snapToGrid w:val="0"/>
                    <w:jc w:val="center"/>
                    <w:textAlignment w:val="baseline"/>
                    <w:rPr>
                      <w:szCs w:val="21"/>
                    </w:rPr>
                  </w:pPr>
                  <w:r>
                    <w:rPr>
                      <w:rFonts w:hint="eastAsia"/>
                      <w:szCs w:val="21"/>
                    </w:rPr>
                    <w:t>固态</w:t>
                  </w:r>
                </w:p>
              </w:tc>
              <w:tc>
                <w:tcPr>
                  <w:tcW w:w="567" w:type="dxa"/>
                  <w:vAlign w:val="center"/>
                </w:tcPr>
                <w:p w14:paraId="520ACD36">
                  <w:pPr>
                    <w:topLinePunct/>
                    <w:autoSpaceDE w:val="0"/>
                    <w:autoSpaceDN w:val="0"/>
                    <w:adjustRightInd w:val="0"/>
                    <w:snapToGrid w:val="0"/>
                    <w:jc w:val="center"/>
                    <w:textAlignment w:val="baseline"/>
                    <w:rPr>
                      <w:szCs w:val="21"/>
                    </w:rPr>
                  </w:pPr>
                  <w:r>
                    <w:rPr>
                      <w:rFonts w:hint="eastAsia"/>
                      <w:szCs w:val="21"/>
                    </w:rPr>
                    <w:t>活性炭</w:t>
                  </w:r>
                </w:p>
              </w:tc>
              <w:tc>
                <w:tcPr>
                  <w:tcW w:w="567" w:type="dxa"/>
                  <w:vAlign w:val="center"/>
                </w:tcPr>
                <w:p w14:paraId="520ACD37">
                  <w:pPr>
                    <w:topLinePunct/>
                    <w:autoSpaceDE w:val="0"/>
                    <w:autoSpaceDN w:val="0"/>
                    <w:adjustRightInd w:val="0"/>
                    <w:snapToGrid w:val="0"/>
                    <w:jc w:val="center"/>
                    <w:textAlignment w:val="baseline"/>
                    <w:rPr>
                      <w:szCs w:val="21"/>
                    </w:rPr>
                  </w:pPr>
                  <w:r>
                    <w:rPr>
                      <w:rFonts w:hint="eastAsia"/>
                      <w:szCs w:val="21"/>
                    </w:rPr>
                    <w:t>有机物</w:t>
                  </w:r>
                </w:p>
              </w:tc>
              <w:tc>
                <w:tcPr>
                  <w:tcW w:w="567" w:type="dxa"/>
                  <w:vAlign w:val="center"/>
                </w:tcPr>
                <w:p w14:paraId="520ACD38">
                  <w:pPr>
                    <w:topLinePunct/>
                    <w:autoSpaceDE w:val="0"/>
                    <w:autoSpaceDN w:val="0"/>
                    <w:adjustRightInd w:val="0"/>
                    <w:snapToGrid w:val="0"/>
                    <w:jc w:val="center"/>
                    <w:textAlignment w:val="baseline"/>
                    <w:rPr>
                      <w:szCs w:val="21"/>
                    </w:rPr>
                  </w:pPr>
                  <w:r>
                    <w:rPr>
                      <w:rFonts w:hint="eastAsia"/>
                      <w:szCs w:val="21"/>
                    </w:rPr>
                    <w:t>1.5年</w:t>
                  </w:r>
                </w:p>
              </w:tc>
              <w:tc>
                <w:tcPr>
                  <w:tcW w:w="567" w:type="dxa"/>
                  <w:vAlign w:val="center"/>
                </w:tcPr>
                <w:p w14:paraId="520ACD39">
                  <w:pPr>
                    <w:topLinePunct/>
                    <w:autoSpaceDE w:val="0"/>
                    <w:autoSpaceDN w:val="0"/>
                    <w:adjustRightInd w:val="0"/>
                    <w:snapToGrid w:val="0"/>
                    <w:jc w:val="center"/>
                    <w:textAlignment w:val="baseline"/>
                    <w:rPr>
                      <w:szCs w:val="21"/>
                    </w:rPr>
                  </w:pPr>
                  <w:r>
                    <w:rPr>
                      <w:szCs w:val="21"/>
                    </w:rPr>
                    <w:t>T</w:t>
                  </w:r>
                </w:p>
              </w:tc>
              <w:tc>
                <w:tcPr>
                  <w:tcW w:w="1297" w:type="dxa"/>
                  <w:tcBorders>
                    <w:right w:val="nil"/>
                  </w:tcBorders>
                  <w:vAlign w:val="center"/>
                </w:tcPr>
                <w:p w14:paraId="520ACD3A">
                  <w:pPr>
                    <w:jc w:val="center"/>
                    <w:rPr>
                      <w:szCs w:val="21"/>
                      <w:highlight w:val="yellow"/>
                    </w:rPr>
                  </w:pPr>
                  <w:r>
                    <w:rPr>
                      <w:szCs w:val="21"/>
                    </w:rPr>
                    <w:t>密闭</w:t>
                  </w:r>
                  <w:r>
                    <w:rPr>
                      <w:rFonts w:hint="eastAsia"/>
                      <w:szCs w:val="21"/>
                    </w:rPr>
                    <w:t>容器</w:t>
                  </w:r>
                  <w:r>
                    <w:rPr>
                      <w:szCs w:val="21"/>
                    </w:rPr>
                    <w:t>收集</w:t>
                  </w:r>
                  <w:r>
                    <w:rPr>
                      <w:rFonts w:hint="eastAsia"/>
                      <w:szCs w:val="21"/>
                    </w:rPr>
                    <w:t>并依托建设路厂区现有工程危废贮存间WF-00</w:t>
                  </w:r>
                  <w:r>
                    <w:rPr>
                      <w:rFonts w:hint="eastAsia"/>
                    </w:rPr>
                    <w:t>3</w:t>
                  </w:r>
                  <w:r>
                    <w:rPr>
                      <w:szCs w:val="21"/>
                    </w:rPr>
                    <w:t>暂存，</w:t>
                  </w:r>
                  <w:r>
                    <w:rPr>
                      <w:rFonts w:hint="eastAsia"/>
                      <w:szCs w:val="21"/>
                    </w:rPr>
                    <w:t>定期委托有相应危废处理资质单位安全处置</w:t>
                  </w:r>
                </w:p>
              </w:tc>
            </w:tr>
            <w:tr w14:paraId="520ACD3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8135" w:type="dxa"/>
                  <w:gridSpan w:val="12"/>
                  <w:tcBorders>
                    <w:left w:val="nil"/>
                  </w:tcBorders>
                  <w:vAlign w:val="center"/>
                </w:tcPr>
                <w:p w14:paraId="520ACD3C">
                  <w:pPr>
                    <w:jc w:val="center"/>
                    <w:rPr>
                      <w:szCs w:val="21"/>
                    </w:rPr>
                  </w:pPr>
                  <w:r>
                    <w:rPr>
                      <w:rFonts w:hint="eastAsia"/>
                      <w:szCs w:val="21"/>
                    </w:rPr>
                    <w:t>解放路厂区</w:t>
                  </w:r>
                </w:p>
              </w:tc>
            </w:tr>
            <w:tr w14:paraId="520ACD4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8" w:type="dxa"/>
                  <w:tcBorders>
                    <w:left w:val="nil"/>
                  </w:tcBorders>
                  <w:vAlign w:val="center"/>
                </w:tcPr>
                <w:p w14:paraId="520ACD3E">
                  <w:pPr>
                    <w:topLinePunct/>
                    <w:adjustRightInd w:val="0"/>
                    <w:snapToGrid w:val="0"/>
                    <w:jc w:val="center"/>
                    <w:rPr>
                      <w:szCs w:val="21"/>
                    </w:rPr>
                  </w:pPr>
                  <w:r>
                    <w:rPr>
                      <w:rFonts w:hint="eastAsia"/>
                      <w:szCs w:val="21"/>
                    </w:rPr>
                    <w:t>1</w:t>
                  </w:r>
                </w:p>
              </w:tc>
              <w:tc>
                <w:tcPr>
                  <w:tcW w:w="580" w:type="dxa"/>
                  <w:vAlign w:val="center"/>
                </w:tcPr>
                <w:p w14:paraId="520ACD3F">
                  <w:pPr>
                    <w:pStyle w:val="41"/>
                    <w:rPr>
                      <w:bCs/>
                      <w:lang w:val="en-US"/>
                    </w:rPr>
                  </w:pPr>
                  <w:r>
                    <w:rPr>
                      <w:rFonts w:hint="eastAsia"/>
                      <w:bCs/>
                      <w:lang w:val="en-US"/>
                    </w:rPr>
                    <w:t>废液压油</w:t>
                  </w:r>
                </w:p>
              </w:tc>
              <w:tc>
                <w:tcPr>
                  <w:tcW w:w="1262" w:type="dxa"/>
                  <w:vAlign w:val="center"/>
                </w:tcPr>
                <w:p w14:paraId="520ACD40">
                  <w:pPr>
                    <w:topLinePunct/>
                    <w:autoSpaceDE w:val="0"/>
                    <w:autoSpaceDN w:val="0"/>
                    <w:adjustRightInd w:val="0"/>
                    <w:snapToGrid w:val="0"/>
                    <w:jc w:val="center"/>
                    <w:textAlignment w:val="baseline"/>
                    <w:rPr>
                      <w:szCs w:val="21"/>
                    </w:rPr>
                  </w:pPr>
                  <w:r>
                    <w:rPr>
                      <w:rFonts w:hint="eastAsia"/>
                      <w:szCs w:val="21"/>
                    </w:rPr>
                    <w:t>HW08废矿物油与含矿物油废物</w:t>
                  </w:r>
                </w:p>
              </w:tc>
              <w:tc>
                <w:tcPr>
                  <w:tcW w:w="567" w:type="dxa"/>
                  <w:vAlign w:val="center"/>
                </w:tcPr>
                <w:p w14:paraId="520ACD41">
                  <w:pPr>
                    <w:topLinePunct/>
                    <w:autoSpaceDE w:val="0"/>
                    <w:autoSpaceDN w:val="0"/>
                    <w:adjustRightInd w:val="0"/>
                    <w:snapToGrid w:val="0"/>
                    <w:jc w:val="center"/>
                    <w:textAlignment w:val="baseline"/>
                    <w:rPr>
                      <w:szCs w:val="21"/>
                    </w:rPr>
                  </w:pPr>
                  <w:r>
                    <w:rPr>
                      <w:szCs w:val="21"/>
                    </w:rPr>
                    <w:t>900-249-08</w:t>
                  </w:r>
                </w:p>
              </w:tc>
              <w:tc>
                <w:tcPr>
                  <w:tcW w:w="709" w:type="dxa"/>
                  <w:vAlign w:val="center"/>
                </w:tcPr>
                <w:p w14:paraId="520ACD42">
                  <w:pPr>
                    <w:jc w:val="center"/>
                    <w:rPr>
                      <w:bCs/>
                      <w:szCs w:val="21"/>
                    </w:rPr>
                  </w:pPr>
                  <w:r>
                    <w:rPr>
                      <w:rFonts w:hint="eastAsia"/>
                      <w:bCs/>
                      <w:szCs w:val="21"/>
                    </w:rPr>
                    <w:t>0.085</w:t>
                  </w:r>
                </w:p>
              </w:tc>
              <w:tc>
                <w:tcPr>
                  <w:tcW w:w="709" w:type="dxa"/>
                  <w:vAlign w:val="center"/>
                </w:tcPr>
                <w:p w14:paraId="520ACD43">
                  <w:pPr>
                    <w:topLinePunct/>
                    <w:autoSpaceDE w:val="0"/>
                    <w:autoSpaceDN w:val="0"/>
                    <w:adjustRightInd w:val="0"/>
                    <w:snapToGrid w:val="0"/>
                    <w:jc w:val="center"/>
                    <w:textAlignment w:val="baseline"/>
                    <w:rPr>
                      <w:bCs/>
                    </w:rPr>
                  </w:pPr>
                  <w:r>
                    <w:rPr>
                      <w:rFonts w:hint="eastAsia"/>
                      <w:bCs/>
                    </w:rPr>
                    <w:t>高温硫化机液压系统</w:t>
                  </w:r>
                </w:p>
              </w:tc>
              <w:tc>
                <w:tcPr>
                  <w:tcW w:w="425" w:type="dxa"/>
                  <w:vAlign w:val="center"/>
                </w:tcPr>
                <w:p w14:paraId="520ACD44">
                  <w:pPr>
                    <w:topLinePunct/>
                    <w:autoSpaceDE w:val="0"/>
                    <w:autoSpaceDN w:val="0"/>
                    <w:adjustRightInd w:val="0"/>
                    <w:snapToGrid w:val="0"/>
                    <w:jc w:val="center"/>
                    <w:textAlignment w:val="baseline"/>
                    <w:rPr>
                      <w:szCs w:val="21"/>
                    </w:rPr>
                  </w:pPr>
                  <w:r>
                    <w:rPr>
                      <w:rFonts w:hint="eastAsia"/>
                      <w:szCs w:val="21"/>
                    </w:rPr>
                    <w:t>液体</w:t>
                  </w:r>
                </w:p>
              </w:tc>
              <w:tc>
                <w:tcPr>
                  <w:tcW w:w="567" w:type="dxa"/>
                  <w:vAlign w:val="center"/>
                </w:tcPr>
                <w:p w14:paraId="520ACD45">
                  <w:pPr>
                    <w:topLinePunct/>
                    <w:autoSpaceDE w:val="0"/>
                    <w:autoSpaceDN w:val="0"/>
                    <w:adjustRightInd w:val="0"/>
                    <w:snapToGrid w:val="0"/>
                    <w:jc w:val="center"/>
                    <w:textAlignment w:val="baseline"/>
                    <w:rPr>
                      <w:szCs w:val="21"/>
                    </w:rPr>
                  </w:pPr>
                  <w:r>
                    <w:rPr>
                      <w:rFonts w:hint="eastAsia"/>
                    </w:rPr>
                    <w:t>液压油</w:t>
                  </w:r>
                </w:p>
              </w:tc>
              <w:tc>
                <w:tcPr>
                  <w:tcW w:w="567" w:type="dxa"/>
                  <w:vAlign w:val="center"/>
                </w:tcPr>
                <w:p w14:paraId="520ACD46">
                  <w:pPr>
                    <w:topLinePunct/>
                    <w:autoSpaceDE w:val="0"/>
                    <w:autoSpaceDN w:val="0"/>
                    <w:adjustRightInd w:val="0"/>
                    <w:snapToGrid w:val="0"/>
                    <w:jc w:val="center"/>
                    <w:textAlignment w:val="baseline"/>
                    <w:rPr>
                      <w:szCs w:val="21"/>
                    </w:rPr>
                  </w:pPr>
                  <w:r>
                    <w:rPr>
                      <w:rFonts w:hint="eastAsia"/>
                    </w:rPr>
                    <w:t>液压</w:t>
                  </w:r>
                  <w:r>
                    <w:t>油</w:t>
                  </w:r>
                </w:p>
              </w:tc>
              <w:tc>
                <w:tcPr>
                  <w:tcW w:w="567" w:type="dxa"/>
                  <w:vAlign w:val="center"/>
                </w:tcPr>
                <w:p w14:paraId="520ACD47">
                  <w:pPr>
                    <w:topLinePunct/>
                    <w:autoSpaceDE w:val="0"/>
                    <w:autoSpaceDN w:val="0"/>
                    <w:adjustRightInd w:val="0"/>
                    <w:snapToGrid w:val="0"/>
                    <w:jc w:val="center"/>
                    <w:textAlignment w:val="baseline"/>
                    <w:rPr>
                      <w:szCs w:val="21"/>
                    </w:rPr>
                  </w:pPr>
                  <w:r>
                    <w:rPr>
                      <w:rFonts w:hint="eastAsia"/>
                      <w:szCs w:val="21"/>
                    </w:rPr>
                    <w:t>2年</w:t>
                  </w:r>
                </w:p>
              </w:tc>
              <w:tc>
                <w:tcPr>
                  <w:tcW w:w="567" w:type="dxa"/>
                  <w:vAlign w:val="center"/>
                </w:tcPr>
                <w:p w14:paraId="520ACD48">
                  <w:pPr>
                    <w:topLinePunct/>
                    <w:autoSpaceDE w:val="0"/>
                    <w:autoSpaceDN w:val="0"/>
                    <w:adjustRightInd w:val="0"/>
                    <w:snapToGrid w:val="0"/>
                    <w:jc w:val="center"/>
                    <w:textAlignment w:val="baseline"/>
                    <w:rPr>
                      <w:szCs w:val="21"/>
                    </w:rPr>
                  </w:pPr>
                  <w:r>
                    <w:rPr>
                      <w:rFonts w:hint="eastAsia"/>
                      <w:szCs w:val="21"/>
                    </w:rPr>
                    <w:t>T，I</w:t>
                  </w:r>
                </w:p>
              </w:tc>
              <w:tc>
                <w:tcPr>
                  <w:tcW w:w="1297" w:type="dxa"/>
                  <w:tcBorders>
                    <w:right w:val="nil"/>
                  </w:tcBorders>
                  <w:vAlign w:val="center"/>
                </w:tcPr>
                <w:p w14:paraId="520ACD49">
                  <w:pPr>
                    <w:jc w:val="center"/>
                    <w:rPr>
                      <w:szCs w:val="21"/>
                    </w:rPr>
                  </w:pPr>
                  <w:r>
                    <w:rPr>
                      <w:rFonts w:hint="eastAsia"/>
                      <w:szCs w:val="21"/>
                    </w:rPr>
                    <w:t>采用密闭容器收集后暂存于厂区危废贮存间，</w:t>
                  </w:r>
                  <w:r>
                    <w:rPr>
                      <w:bCs/>
                      <w:szCs w:val="21"/>
                    </w:rPr>
                    <w:t>定期委托有</w:t>
                  </w:r>
                  <w:r>
                    <w:rPr>
                      <w:rFonts w:hint="eastAsia"/>
                      <w:bCs/>
                      <w:szCs w:val="21"/>
                    </w:rPr>
                    <w:t>相应</w:t>
                  </w:r>
                  <w:r>
                    <w:rPr>
                      <w:bCs/>
                      <w:szCs w:val="21"/>
                    </w:rPr>
                    <w:t>危废处理资质单位安全处置</w:t>
                  </w:r>
                </w:p>
              </w:tc>
            </w:tr>
          </w:tbl>
          <w:p w14:paraId="48634C08">
            <w:pPr>
              <w:autoSpaceDE w:val="0"/>
              <w:autoSpaceDN w:val="0"/>
              <w:adjustRightInd w:val="0"/>
              <w:snapToGrid w:val="0"/>
              <w:spacing w:line="460" w:lineRule="exact"/>
              <w:ind w:firstLine="480" w:firstLineChars="200"/>
              <w:textAlignment w:val="baseline"/>
              <w:rPr>
                <w:rFonts w:eastAsia="黑体"/>
                <w:sz w:val="24"/>
              </w:rPr>
            </w:pPr>
          </w:p>
          <w:p w14:paraId="5CD6C7CD">
            <w:pPr>
              <w:autoSpaceDE w:val="0"/>
              <w:autoSpaceDN w:val="0"/>
              <w:adjustRightInd w:val="0"/>
              <w:snapToGrid w:val="0"/>
              <w:spacing w:line="460" w:lineRule="exact"/>
              <w:ind w:firstLine="480" w:firstLineChars="200"/>
              <w:textAlignment w:val="baseline"/>
              <w:rPr>
                <w:rFonts w:eastAsia="黑体"/>
                <w:sz w:val="24"/>
              </w:rPr>
            </w:pPr>
          </w:p>
          <w:p w14:paraId="520ACD4B">
            <w:pPr>
              <w:autoSpaceDE w:val="0"/>
              <w:autoSpaceDN w:val="0"/>
              <w:adjustRightInd w:val="0"/>
              <w:snapToGrid w:val="0"/>
              <w:spacing w:line="460" w:lineRule="exact"/>
              <w:ind w:firstLine="480" w:firstLineChars="200"/>
              <w:textAlignment w:val="baseline"/>
              <w:rPr>
                <w:sz w:val="24"/>
              </w:rPr>
            </w:pPr>
            <w:r>
              <w:rPr>
                <w:rFonts w:eastAsia="黑体"/>
                <w:sz w:val="24"/>
              </w:rPr>
              <w:t>表</w:t>
            </w:r>
            <w:r>
              <w:rPr>
                <w:rFonts w:hint="eastAsia" w:eastAsia="黑体"/>
                <w:sz w:val="24"/>
              </w:rPr>
              <w:t>78</w:t>
            </w:r>
            <w:r>
              <w:rPr>
                <w:rFonts w:eastAsia="黑体"/>
                <w:sz w:val="24"/>
              </w:rPr>
              <w:t xml:space="preserve">       建设项目危险废物贮存场所（设施）基本情况表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318"/>
              <w:gridCol w:w="992"/>
              <w:gridCol w:w="992"/>
              <w:gridCol w:w="2693"/>
              <w:gridCol w:w="709"/>
              <w:gridCol w:w="567"/>
              <w:gridCol w:w="709"/>
              <w:gridCol w:w="596"/>
              <w:gridCol w:w="559"/>
            </w:tblGrid>
            <w:tr w14:paraId="520ACD57">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Align w:val="center"/>
                </w:tcPr>
                <w:p w14:paraId="520ACD4C">
                  <w:pPr>
                    <w:topLinePunct/>
                    <w:autoSpaceDE w:val="0"/>
                    <w:autoSpaceDN w:val="0"/>
                    <w:adjustRightInd w:val="0"/>
                    <w:snapToGrid w:val="0"/>
                    <w:jc w:val="center"/>
                    <w:textAlignment w:val="baseline"/>
                    <w:rPr>
                      <w:b/>
                      <w:szCs w:val="21"/>
                      <w:lang w:eastAsia="en-US"/>
                    </w:rPr>
                  </w:pPr>
                  <w:r>
                    <w:rPr>
                      <w:b/>
                      <w:szCs w:val="21"/>
                    </w:rPr>
                    <w:t>序号</w:t>
                  </w:r>
                </w:p>
              </w:tc>
              <w:tc>
                <w:tcPr>
                  <w:tcW w:w="992" w:type="dxa"/>
                  <w:vAlign w:val="center"/>
                </w:tcPr>
                <w:p w14:paraId="520ACD4D">
                  <w:pPr>
                    <w:topLinePunct/>
                    <w:autoSpaceDE w:val="0"/>
                    <w:autoSpaceDN w:val="0"/>
                    <w:adjustRightInd w:val="0"/>
                    <w:snapToGrid w:val="0"/>
                    <w:jc w:val="center"/>
                    <w:textAlignment w:val="baseline"/>
                    <w:rPr>
                      <w:b/>
                      <w:szCs w:val="21"/>
                    </w:rPr>
                  </w:pPr>
                  <w:r>
                    <w:rPr>
                      <w:b/>
                      <w:szCs w:val="21"/>
                    </w:rPr>
                    <w:t>贮存场所</w:t>
                  </w:r>
                  <w:r>
                    <w:rPr>
                      <w:rFonts w:hint="eastAsia"/>
                      <w:b/>
                      <w:szCs w:val="21"/>
                    </w:rPr>
                    <w:t>(</w:t>
                  </w:r>
                  <w:r>
                    <w:rPr>
                      <w:b/>
                      <w:szCs w:val="21"/>
                    </w:rPr>
                    <w:t>设施</w:t>
                  </w:r>
                  <w:r>
                    <w:rPr>
                      <w:rFonts w:hint="eastAsia"/>
                      <w:b/>
                      <w:szCs w:val="21"/>
                    </w:rPr>
                    <w:t>)</w:t>
                  </w:r>
                  <w:r>
                    <w:rPr>
                      <w:b/>
                      <w:szCs w:val="21"/>
                    </w:rPr>
                    <w:t>名称</w:t>
                  </w:r>
                </w:p>
              </w:tc>
              <w:tc>
                <w:tcPr>
                  <w:tcW w:w="992" w:type="dxa"/>
                  <w:vAlign w:val="center"/>
                </w:tcPr>
                <w:p w14:paraId="520ACD4E">
                  <w:pPr>
                    <w:topLinePunct/>
                    <w:autoSpaceDE w:val="0"/>
                    <w:autoSpaceDN w:val="0"/>
                    <w:adjustRightInd w:val="0"/>
                    <w:snapToGrid w:val="0"/>
                    <w:jc w:val="center"/>
                    <w:textAlignment w:val="baseline"/>
                    <w:rPr>
                      <w:b/>
                      <w:szCs w:val="21"/>
                    </w:rPr>
                  </w:pPr>
                  <w:r>
                    <w:rPr>
                      <w:b/>
                      <w:szCs w:val="21"/>
                    </w:rPr>
                    <w:t>危险废物名称</w:t>
                  </w:r>
                </w:p>
              </w:tc>
              <w:tc>
                <w:tcPr>
                  <w:tcW w:w="2693" w:type="dxa"/>
                  <w:vAlign w:val="center"/>
                </w:tcPr>
                <w:p w14:paraId="520ACD4F">
                  <w:pPr>
                    <w:topLinePunct/>
                    <w:autoSpaceDE w:val="0"/>
                    <w:autoSpaceDN w:val="0"/>
                    <w:adjustRightInd w:val="0"/>
                    <w:snapToGrid w:val="0"/>
                    <w:jc w:val="center"/>
                    <w:textAlignment w:val="baseline"/>
                    <w:rPr>
                      <w:b/>
                      <w:szCs w:val="21"/>
                    </w:rPr>
                  </w:pPr>
                  <w:r>
                    <w:rPr>
                      <w:b/>
                      <w:szCs w:val="21"/>
                    </w:rPr>
                    <w:t>危险废物类别</w:t>
                  </w:r>
                </w:p>
              </w:tc>
              <w:tc>
                <w:tcPr>
                  <w:tcW w:w="709" w:type="dxa"/>
                  <w:vAlign w:val="center"/>
                </w:tcPr>
                <w:p w14:paraId="520ACD50">
                  <w:pPr>
                    <w:topLinePunct/>
                    <w:autoSpaceDE w:val="0"/>
                    <w:autoSpaceDN w:val="0"/>
                    <w:adjustRightInd w:val="0"/>
                    <w:snapToGrid w:val="0"/>
                    <w:jc w:val="center"/>
                    <w:textAlignment w:val="baseline"/>
                    <w:rPr>
                      <w:b/>
                      <w:szCs w:val="21"/>
                    </w:rPr>
                  </w:pPr>
                  <w:r>
                    <w:rPr>
                      <w:b/>
                      <w:szCs w:val="21"/>
                    </w:rPr>
                    <w:t>危险废物代码</w:t>
                  </w:r>
                </w:p>
              </w:tc>
              <w:tc>
                <w:tcPr>
                  <w:tcW w:w="567" w:type="dxa"/>
                  <w:vAlign w:val="center"/>
                </w:tcPr>
                <w:p w14:paraId="520ACD51">
                  <w:pPr>
                    <w:topLinePunct/>
                    <w:autoSpaceDE w:val="0"/>
                    <w:autoSpaceDN w:val="0"/>
                    <w:adjustRightInd w:val="0"/>
                    <w:snapToGrid w:val="0"/>
                    <w:jc w:val="center"/>
                    <w:textAlignment w:val="baseline"/>
                    <w:rPr>
                      <w:b/>
                      <w:szCs w:val="21"/>
                    </w:rPr>
                  </w:pPr>
                  <w:r>
                    <w:rPr>
                      <w:b/>
                      <w:szCs w:val="21"/>
                    </w:rPr>
                    <w:t>位置</w:t>
                  </w:r>
                </w:p>
              </w:tc>
              <w:tc>
                <w:tcPr>
                  <w:tcW w:w="709" w:type="dxa"/>
                  <w:vAlign w:val="center"/>
                </w:tcPr>
                <w:p w14:paraId="520ACD52">
                  <w:pPr>
                    <w:topLinePunct/>
                    <w:autoSpaceDE w:val="0"/>
                    <w:autoSpaceDN w:val="0"/>
                    <w:adjustRightInd w:val="0"/>
                    <w:snapToGrid w:val="0"/>
                    <w:jc w:val="center"/>
                    <w:textAlignment w:val="baseline"/>
                    <w:rPr>
                      <w:b/>
                      <w:szCs w:val="21"/>
                    </w:rPr>
                  </w:pPr>
                  <w:r>
                    <w:rPr>
                      <w:b/>
                      <w:szCs w:val="21"/>
                    </w:rPr>
                    <w:t>占地</w:t>
                  </w:r>
                </w:p>
                <w:p w14:paraId="520ACD53">
                  <w:pPr>
                    <w:topLinePunct/>
                    <w:autoSpaceDE w:val="0"/>
                    <w:autoSpaceDN w:val="0"/>
                    <w:adjustRightInd w:val="0"/>
                    <w:snapToGrid w:val="0"/>
                    <w:jc w:val="center"/>
                    <w:textAlignment w:val="baseline"/>
                    <w:rPr>
                      <w:b/>
                      <w:szCs w:val="21"/>
                    </w:rPr>
                  </w:pPr>
                  <w:r>
                    <w:rPr>
                      <w:b/>
                      <w:szCs w:val="21"/>
                    </w:rPr>
                    <w:t>面积</w:t>
                  </w:r>
                </w:p>
              </w:tc>
              <w:tc>
                <w:tcPr>
                  <w:tcW w:w="596" w:type="dxa"/>
                  <w:vAlign w:val="center"/>
                </w:tcPr>
                <w:p w14:paraId="520ACD54">
                  <w:pPr>
                    <w:topLinePunct/>
                    <w:autoSpaceDE w:val="0"/>
                    <w:autoSpaceDN w:val="0"/>
                    <w:adjustRightInd w:val="0"/>
                    <w:snapToGrid w:val="0"/>
                    <w:jc w:val="center"/>
                    <w:textAlignment w:val="baseline"/>
                    <w:rPr>
                      <w:b/>
                      <w:szCs w:val="21"/>
                    </w:rPr>
                  </w:pPr>
                  <w:r>
                    <w:rPr>
                      <w:b/>
                      <w:szCs w:val="21"/>
                    </w:rPr>
                    <w:t>贮存方式</w:t>
                  </w:r>
                </w:p>
              </w:tc>
              <w:tc>
                <w:tcPr>
                  <w:tcW w:w="559" w:type="dxa"/>
                  <w:vAlign w:val="center"/>
                </w:tcPr>
                <w:p w14:paraId="520ACD55">
                  <w:pPr>
                    <w:topLinePunct/>
                    <w:autoSpaceDE w:val="0"/>
                    <w:autoSpaceDN w:val="0"/>
                    <w:adjustRightInd w:val="0"/>
                    <w:snapToGrid w:val="0"/>
                    <w:jc w:val="center"/>
                    <w:textAlignment w:val="baseline"/>
                    <w:rPr>
                      <w:b/>
                      <w:szCs w:val="21"/>
                    </w:rPr>
                  </w:pPr>
                  <w:r>
                    <w:rPr>
                      <w:b/>
                      <w:szCs w:val="21"/>
                    </w:rPr>
                    <w:t>贮存</w:t>
                  </w:r>
                </w:p>
                <w:p w14:paraId="520ACD56">
                  <w:pPr>
                    <w:topLinePunct/>
                    <w:autoSpaceDE w:val="0"/>
                    <w:autoSpaceDN w:val="0"/>
                    <w:adjustRightInd w:val="0"/>
                    <w:snapToGrid w:val="0"/>
                    <w:jc w:val="center"/>
                    <w:textAlignment w:val="baseline"/>
                    <w:rPr>
                      <w:b/>
                      <w:szCs w:val="21"/>
                    </w:rPr>
                  </w:pPr>
                  <w:r>
                    <w:rPr>
                      <w:b/>
                      <w:szCs w:val="21"/>
                    </w:rPr>
                    <w:t>周期</w:t>
                  </w:r>
                </w:p>
              </w:tc>
            </w:tr>
            <w:tr w14:paraId="520ACD6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Align w:val="center"/>
                </w:tcPr>
                <w:p w14:paraId="520ACD58">
                  <w:pPr>
                    <w:topLinePunct/>
                    <w:autoSpaceDE w:val="0"/>
                    <w:autoSpaceDN w:val="0"/>
                    <w:adjustRightInd w:val="0"/>
                    <w:snapToGrid w:val="0"/>
                    <w:jc w:val="center"/>
                    <w:textAlignment w:val="baseline"/>
                    <w:rPr>
                      <w:szCs w:val="21"/>
                    </w:rPr>
                  </w:pPr>
                  <w:r>
                    <w:rPr>
                      <w:szCs w:val="21"/>
                    </w:rPr>
                    <w:t>1</w:t>
                  </w:r>
                </w:p>
              </w:tc>
              <w:tc>
                <w:tcPr>
                  <w:tcW w:w="992" w:type="dxa"/>
                  <w:vAlign w:val="center"/>
                </w:tcPr>
                <w:p w14:paraId="520ACD59">
                  <w:pPr>
                    <w:topLinePunct/>
                    <w:autoSpaceDE w:val="0"/>
                    <w:autoSpaceDN w:val="0"/>
                    <w:adjustRightInd w:val="0"/>
                    <w:snapToGrid w:val="0"/>
                    <w:jc w:val="center"/>
                    <w:textAlignment w:val="baseline"/>
                    <w:rPr>
                      <w:szCs w:val="21"/>
                    </w:rPr>
                  </w:pPr>
                  <w:r>
                    <w:rPr>
                      <w:szCs w:val="21"/>
                    </w:rPr>
                    <w:t>危废</w:t>
                  </w:r>
                  <w:r>
                    <w:rPr>
                      <w:rFonts w:hint="eastAsia"/>
                      <w:szCs w:val="21"/>
                    </w:rPr>
                    <w:t>贮存间WF-004</w:t>
                  </w:r>
                </w:p>
              </w:tc>
              <w:tc>
                <w:tcPr>
                  <w:tcW w:w="992" w:type="dxa"/>
                  <w:vAlign w:val="center"/>
                </w:tcPr>
                <w:p w14:paraId="520ACD5A">
                  <w:pPr>
                    <w:pStyle w:val="41"/>
                    <w:rPr>
                      <w:bCs/>
                    </w:rPr>
                  </w:pPr>
                  <w:r>
                    <w:rPr>
                      <w:rFonts w:hint="eastAsia"/>
                      <w:bCs/>
                      <w:lang w:val="en-US"/>
                    </w:rPr>
                    <w:t>废切削液</w:t>
                  </w:r>
                </w:p>
              </w:tc>
              <w:tc>
                <w:tcPr>
                  <w:tcW w:w="2693" w:type="dxa"/>
                  <w:vAlign w:val="center"/>
                </w:tcPr>
                <w:p w14:paraId="520ACD5B">
                  <w:pPr>
                    <w:topLinePunct/>
                    <w:autoSpaceDE w:val="0"/>
                    <w:autoSpaceDN w:val="0"/>
                    <w:adjustRightInd w:val="0"/>
                    <w:snapToGrid w:val="0"/>
                    <w:jc w:val="center"/>
                    <w:textAlignment w:val="baseline"/>
                    <w:rPr>
                      <w:szCs w:val="21"/>
                    </w:rPr>
                  </w:pPr>
                  <w:r>
                    <w:rPr>
                      <w:szCs w:val="21"/>
                    </w:rPr>
                    <w:t>HW09</w:t>
                  </w:r>
                  <w:r>
                    <w:rPr>
                      <w:rFonts w:hint="eastAsia"/>
                      <w:szCs w:val="21"/>
                    </w:rPr>
                    <w:t>油/水、烃/水混合物或乳化液</w:t>
                  </w:r>
                </w:p>
              </w:tc>
              <w:tc>
                <w:tcPr>
                  <w:tcW w:w="709" w:type="dxa"/>
                  <w:vAlign w:val="center"/>
                </w:tcPr>
                <w:p w14:paraId="520ACD5C">
                  <w:pPr>
                    <w:topLinePunct/>
                    <w:autoSpaceDE w:val="0"/>
                    <w:autoSpaceDN w:val="0"/>
                    <w:adjustRightInd w:val="0"/>
                    <w:snapToGrid w:val="0"/>
                    <w:jc w:val="center"/>
                    <w:textAlignment w:val="baseline"/>
                    <w:rPr>
                      <w:szCs w:val="21"/>
                    </w:rPr>
                  </w:pPr>
                  <w:r>
                    <w:rPr>
                      <w:rFonts w:hint="eastAsia"/>
                      <w:szCs w:val="21"/>
                    </w:rPr>
                    <w:t>900-006-09</w:t>
                  </w:r>
                </w:p>
              </w:tc>
              <w:tc>
                <w:tcPr>
                  <w:tcW w:w="567" w:type="dxa"/>
                  <w:vMerge w:val="restart"/>
                  <w:vAlign w:val="center"/>
                </w:tcPr>
                <w:p w14:paraId="520ACD5D">
                  <w:pPr>
                    <w:topLinePunct/>
                    <w:autoSpaceDE w:val="0"/>
                    <w:autoSpaceDN w:val="0"/>
                    <w:adjustRightInd w:val="0"/>
                    <w:snapToGrid w:val="0"/>
                    <w:jc w:val="center"/>
                    <w:textAlignment w:val="baseline"/>
                    <w:rPr>
                      <w:szCs w:val="21"/>
                    </w:rPr>
                  </w:pPr>
                  <w:r>
                    <w:rPr>
                      <w:rFonts w:hint="eastAsia"/>
                      <w:szCs w:val="21"/>
                    </w:rPr>
                    <w:t>建设路厂区内</w:t>
                  </w:r>
                </w:p>
              </w:tc>
              <w:tc>
                <w:tcPr>
                  <w:tcW w:w="709" w:type="dxa"/>
                  <w:vAlign w:val="center"/>
                </w:tcPr>
                <w:p w14:paraId="520ACD5E">
                  <w:pPr>
                    <w:topLinePunct/>
                    <w:autoSpaceDE w:val="0"/>
                    <w:autoSpaceDN w:val="0"/>
                    <w:adjustRightInd w:val="0"/>
                    <w:snapToGrid w:val="0"/>
                    <w:jc w:val="center"/>
                    <w:textAlignment w:val="baseline"/>
                    <w:rPr>
                      <w:szCs w:val="21"/>
                    </w:rPr>
                  </w:pPr>
                  <w:r>
                    <w:rPr>
                      <w:rFonts w:hint="eastAsia"/>
                      <w:szCs w:val="21"/>
                    </w:rPr>
                    <w:t>25m</w:t>
                  </w:r>
                  <w:r>
                    <w:rPr>
                      <w:rFonts w:hint="eastAsia"/>
                      <w:szCs w:val="21"/>
                      <w:vertAlign w:val="superscript"/>
                    </w:rPr>
                    <w:t>2</w:t>
                  </w:r>
                </w:p>
              </w:tc>
              <w:tc>
                <w:tcPr>
                  <w:tcW w:w="596" w:type="dxa"/>
                  <w:vAlign w:val="center"/>
                </w:tcPr>
                <w:p w14:paraId="520ACD5F">
                  <w:pPr>
                    <w:topLinePunct/>
                    <w:autoSpaceDE w:val="0"/>
                    <w:autoSpaceDN w:val="0"/>
                    <w:adjustRightInd w:val="0"/>
                    <w:snapToGrid w:val="0"/>
                    <w:jc w:val="center"/>
                    <w:textAlignment w:val="baseline"/>
                    <w:rPr>
                      <w:szCs w:val="21"/>
                    </w:rPr>
                  </w:pPr>
                  <w:r>
                    <w:rPr>
                      <w:szCs w:val="21"/>
                    </w:rPr>
                    <w:t>桶装</w:t>
                  </w:r>
                </w:p>
              </w:tc>
              <w:tc>
                <w:tcPr>
                  <w:tcW w:w="559" w:type="dxa"/>
                  <w:vMerge w:val="restart"/>
                  <w:vAlign w:val="center"/>
                </w:tcPr>
                <w:p w14:paraId="520ACD60">
                  <w:pPr>
                    <w:topLinePunct/>
                    <w:autoSpaceDE w:val="0"/>
                    <w:autoSpaceDN w:val="0"/>
                    <w:adjustRightInd w:val="0"/>
                    <w:snapToGrid w:val="0"/>
                    <w:jc w:val="center"/>
                    <w:textAlignment w:val="baseline"/>
                    <w:rPr>
                      <w:szCs w:val="21"/>
                    </w:rPr>
                  </w:pPr>
                  <w:r>
                    <w:rPr>
                      <w:rFonts w:hint="eastAsia"/>
                      <w:szCs w:val="21"/>
                    </w:rPr>
                    <w:t>3个月</w:t>
                  </w:r>
                </w:p>
              </w:tc>
            </w:tr>
            <w:tr w14:paraId="520ACD6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Merge w:val="restart"/>
                  <w:vAlign w:val="center"/>
                </w:tcPr>
                <w:p w14:paraId="520ACD62">
                  <w:pPr>
                    <w:topLinePunct/>
                    <w:autoSpaceDE w:val="0"/>
                    <w:autoSpaceDN w:val="0"/>
                    <w:adjustRightInd w:val="0"/>
                    <w:snapToGrid w:val="0"/>
                    <w:jc w:val="center"/>
                    <w:textAlignment w:val="baseline"/>
                    <w:rPr>
                      <w:szCs w:val="21"/>
                    </w:rPr>
                  </w:pPr>
                  <w:r>
                    <w:rPr>
                      <w:rFonts w:hint="eastAsia"/>
                      <w:szCs w:val="21"/>
                    </w:rPr>
                    <w:t>2</w:t>
                  </w:r>
                </w:p>
              </w:tc>
              <w:tc>
                <w:tcPr>
                  <w:tcW w:w="992" w:type="dxa"/>
                  <w:vMerge w:val="restart"/>
                  <w:vAlign w:val="center"/>
                </w:tcPr>
                <w:p w14:paraId="520ACD63">
                  <w:pPr>
                    <w:topLinePunct/>
                    <w:autoSpaceDE w:val="0"/>
                    <w:autoSpaceDN w:val="0"/>
                    <w:adjustRightInd w:val="0"/>
                    <w:snapToGrid w:val="0"/>
                    <w:jc w:val="center"/>
                    <w:textAlignment w:val="baseline"/>
                    <w:rPr>
                      <w:szCs w:val="21"/>
                    </w:rPr>
                  </w:pPr>
                  <w:r>
                    <w:rPr>
                      <w:szCs w:val="21"/>
                    </w:rPr>
                    <w:t>危废</w:t>
                  </w:r>
                  <w:r>
                    <w:rPr>
                      <w:rFonts w:hint="eastAsia"/>
                      <w:szCs w:val="21"/>
                    </w:rPr>
                    <w:t>贮存间WF-002</w:t>
                  </w:r>
                </w:p>
              </w:tc>
              <w:tc>
                <w:tcPr>
                  <w:tcW w:w="992" w:type="dxa"/>
                  <w:vAlign w:val="center"/>
                </w:tcPr>
                <w:p w14:paraId="520ACD64">
                  <w:pPr>
                    <w:pStyle w:val="41"/>
                    <w:rPr>
                      <w:lang w:val="en-US"/>
                    </w:rPr>
                  </w:pPr>
                  <w:r>
                    <w:rPr>
                      <w:rFonts w:hint="eastAsia"/>
                      <w:bCs/>
                    </w:rPr>
                    <w:t>废液压油</w:t>
                  </w:r>
                </w:p>
              </w:tc>
              <w:tc>
                <w:tcPr>
                  <w:tcW w:w="2693" w:type="dxa"/>
                  <w:vMerge w:val="restart"/>
                  <w:vAlign w:val="center"/>
                </w:tcPr>
                <w:p w14:paraId="520ACD65">
                  <w:pPr>
                    <w:topLinePunct/>
                    <w:autoSpaceDE w:val="0"/>
                    <w:autoSpaceDN w:val="0"/>
                    <w:adjustRightInd w:val="0"/>
                    <w:snapToGrid w:val="0"/>
                    <w:jc w:val="center"/>
                    <w:textAlignment w:val="baseline"/>
                    <w:rPr>
                      <w:szCs w:val="21"/>
                    </w:rPr>
                  </w:pPr>
                  <w:r>
                    <w:rPr>
                      <w:rFonts w:hint="eastAsia"/>
                      <w:szCs w:val="21"/>
                    </w:rPr>
                    <w:t>HW08废矿物油与含矿物油废物</w:t>
                  </w:r>
                </w:p>
              </w:tc>
              <w:tc>
                <w:tcPr>
                  <w:tcW w:w="709" w:type="dxa"/>
                  <w:vMerge w:val="restart"/>
                  <w:vAlign w:val="center"/>
                </w:tcPr>
                <w:p w14:paraId="520ACD66">
                  <w:pPr>
                    <w:topLinePunct/>
                    <w:autoSpaceDE w:val="0"/>
                    <w:autoSpaceDN w:val="0"/>
                    <w:adjustRightInd w:val="0"/>
                    <w:snapToGrid w:val="0"/>
                    <w:jc w:val="center"/>
                    <w:textAlignment w:val="baseline"/>
                    <w:rPr>
                      <w:szCs w:val="21"/>
                    </w:rPr>
                  </w:pPr>
                  <w:r>
                    <w:rPr>
                      <w:szCs w:val="21"/>
                    </w:rPr>
                    <w:t>900-249-08</w:t>
                  </w:r>
                </w:p>
              </w:tc>
              <w:tc>
                <w:tcPr>
                  <w:tcW w:w="567" w:type="dxa"/>
                  <w:vMerge w:val="continue"/>
                  <w:vAlign w:val="center"/>
                </w:tcPr>
                <w:p w14:paraId="520ACD67">
                  <w:pPr>
                    <w:topLinePunct/>
                    <w:autoSpaceDE w:val="0"/>
                    <w:autoSpaceDN w:val="0"/>
                    <w:adjustRightInd w:val="0"/>
                    <w:snapToGrid w:val="0"/>
                    <w:jc w:val="center"/>
                    <w:textAlignment w:val="baseline"/>
                    <w:rPr>
                      <w:szCs w:val="21"/>
                    </w:rPr>
                  </w:pPr>
                </w:p>
              </w:tc>
              <w:tc>
                <w:tcPr>
                  <w:tcW w:w="709" w:type="dxa"/>
                  <w:vMerge w:val="restart"/>
                  <w:vAlign w:val="center"/>
                </w:tcPr>
                <w:p w14:paraId="520ACD68">
                  <w:pPr>
                    <w:topLinePunct/>
                    <w:autoSpaceDE w:val="0"/>
                    <w:autoSpaceDN w:val="0"/>
                    <w:adjustRightInd w:val="0"/>
                    <w:snapToGrid w:val="0"/>
                    <w:jc w:val="center"/>
                    <w:textAlignment w:val="baseline"/>
                    <w:rPr>
                      <w:szCs w:val="21"/>
                    </w:rPr>
                  </w:pPr>
                  <w:r>
                    <w:rPr>
                      <w:rFonts w:hint="eastAsia"/>
                      <w:szCs w:val="21"/>
                    </w:rPr>
                    <w:t>25m</w:t>
                  </w:r>
                  <w:r>
                    <w:rPr>
                      <w:rFonts w:hint="eastAsia"/>
                      <w:szCs w:val="21"/>
                      <w:vertAlign w:val="superscript"/>
                    </w:rPr>
                    <w:t>2</w:t>
                  </w:r>
                </w:p>
              </w:tc>
              <w:tc>
                <w:tcPr>
                  <w:tcW w:w="596" w:type="dxa"/>
                  <w:vAlign w:val="center"/>
                </w:tcPr>
                <w:p w14:paraId="520ACD69">
                  <w:pPr>
                    <w:topLinePunct/>
                    <w:autoSpaceDE w:val="0"/>
                    <w:autoSpaceDN w:val="0"/>
                    <w:adjustRightInd w:val="0"/>
                    <w:snapToGrid w:val="0"/>
                    <w:jc w:val="center"/>
                    <w:textAlignment w:val="baseline"/>
                    <w:rPr>
                      <w:szCs w:val="21"/>
                    </w:rPr>
                  </w:pPr>
                  <w:r>
                    <w:rPr>
                      <w:szCs w:val="21"/>
                    </w:rPr>
                    <w:t>桶装</w:t>
                  </w:r>
                </w:p>
              </w:tc>
              <w:tc>
                <w:tcPr>
                  <w:tcW w:w="559" w:type="dxa"/>
                  <w:vMerge w:val="continue"/>
                  <w:vAlign w:val="center"/>
                </w:tcPr>
                <w:p w14:paraId="520ACD6A">
                  <w:pPr>
                    <w:topLinePunct/>
                    <w:autoSpaceDE w:val="0"/>
                    <w:autoSpaceDN w:val="0"/>
                    <w:adjustRightInd w:val="0"/>
                    <w:snapToGrid w:val="0"/>
                    <w:jc w:val="center"/>
                    <w:textAlignment w:val="baseline"/>
                    <w:rPr>
                      <w:szCs w:val="21"/>
                    </w:rPr>
                  </w:pPr>
                </w:p>
              </w:tc>
            </w:tr>
            <w:tr w14:paraId="520ACD7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Merge w:val="continue"/>
                  <w:vAlign w:val="center"/>
                </w:tcPr>
                <w:p w14:paraId="520ACD6C">
                  <w:pPr>
                    <w:topLinePunct/>
                    <w:autoSpaceDE w:val="0"/>
                    <w:autoSpaceDN w:val="0"/>
                    <w:adjustRightInd w:val="0"/>
                    <w:snapToGrid w:val="0"/>
                    <w:jc w:val="center"/>
                    <w:textAlignment w:val="baseline"/>
                    <w:rPr>
                      <w:szCs w:val="21"/>
                    </w:rPr>
                  </w:pPr>
                </w:p>
              </w:tc>
              <w:tc>
                <w:tcPr>
                  <w:tcW w:w="992" w:type="dxa"/>
                  <w:vMerge w:val="continue"/>
                  <w:vAlign w:val="center"/>
                </w:tcPr>
                <w:p w14:paraId="520ACD6D">
                  <w:pPr>
                    <w:topLinePunct/>
                    <w:autoSpaceDE w:val="0"/>
                    <w:autoSpaceDN w:val="0"/>
                    <w:adjustRightInd w:val="0"/>
                    <w:snapToGrid w:val="0"/>
                    <w:jc w:val="center"/>
                    <w:textAlignment w:val="baseline"/>
                    <w:rPr>
                      <w:szCs w:val="21"/>
                    </w:rPr>
                  </w:pPr>
                </w:p>
              </w:tc>
              <w:tc>
                <w:tcPr>
                  <w:tcW w:w="992" w:type="dxa"/>
                  <w:vAlign w:val="center"/>
                </w:tcPr>
                <w:p w14:paraId="520ACD6E">
                  <w:pPr>
                    <w:pStyle w:val="41"/>
                    <w:rPr>
                      <w:bCs/>
                      <w:lang w:val="en-US"/>
                    </w:rPr>
                  </w:pPr>
                  <w:r>
                    <w:rPr>
                      <w:rFonts w:hint="eastAsia"/>
                      <w:bCs/>
                      <w:lang w:val="en-US"/>
                    </w:rPr>
                    <w:t>废滑油</w:t>
                  </w:r>
                </w:p>
              </w:tc>
              <w:tc>
                <w:tcPr>
                  <w:tcW w:w="2693" w:type="dxa"/>
                  <w:vMerge w:val="continue"/>
                  <w:vAlign w:val="center"/>
                </w:tcPr>
                <w:p w14:paraId="520ACD6F">
                  <w:pPr>
                    <w:topLinePunct/>
                    <w:autoSpaceDE w:val="0"/>
                    <w:autoSpaceDN w:val="0"/>
                    <w:adjustRightInd w:val="0"/>
                    <w:snapToGrid w:val="0"/>
                    <w:jc w:val="center"/>
                    <w:textAlignment w:val="baseline"/>
                    <w:rPr>
                      <w:szCs w:val="21"/>
                    </w:rPr>
                  </w:pPr>
                </w:p>
              </w:tc>
              <w:tc>
                <w:tcPr>
                  <w:tcW w:w="709" w:type="dxa"/>
                  <w:vMerge w:val="continue"/>
                  <w:vAlign w:val="center"/>
                </w:tcPr>
                <w:p w14:paraId="520ACD70">
                  <w:pPr>
                    <w:topLinePunct/>
                    <w:autoSpaceDE w:val="0"/>
                    <w:autoSpaceDN w:val="0"/>
                    <w:adjustRightInd w:val="0"/>
                    <w:snapToGrid w:val="0"/>
                    <w:jc w:val="center"/>
                    <w:textAlignment w:val="baseline"/>
                    <w:rPr>
                      <w:szCs w:val="21"/>
                    </w:rPr>
                  </w:pPr>
                </w:p>
              </w:tc>
              <w:tc>
                <w:tcPr>
                  <w:tcW w:w="567" w:type="dxa"/>
                  <w:vMerge w:val="continue"/>
                  <w:vAlign w:val="center"/>
                </w:tcPr>
                <w:p w14:paraId="520ACD71">
                  <w:pPr>
                    <w:topLinePunct/>
                    <w:autoSpaceDE w:val="0"/>
                    <w:autoSpaceDN w:val="0"/>
                    <w:adjustRightInd w:val="0"/>
                    <w:snapToGrid w:val="0"/>
                    <w:jc w:val="center"/>
                    <w:textAlignment w:val="baseline"/>
                    <w:rPr>
                      <w:szCs w:val="21"/>
                    </w:rPr>
                  </w:pPr>
                </w:p>
              </w:tc>
              <w:tc>
                <w:tcPr>
                  <w:tcW w:w="709" w:type="dxa"/>
                  <w:vMerge w:val="continue"/>
                  <w:vAlign w:val="center"/>
                </w:tcPr>
                <w:p w14:paraId="520ACD72">
                  <w:pPr>
                    <w:topLinePunct/>
                    <w:autoSpaceDE w:val="0"/>
                    <w:autoSpaceDN w:val="0"/>
                    <w:adjustRightInd w:val="0"/>
                    <w:snapToGrid w:val="0"/>
                    <w:jc w:val="center"/>
                    <w:textAlignment w:val="baseline"/>
                    <w:rPr>
                      <w:szCs w:val="21"/>
                    </w:rPr>
                  </w:pPr>
                </w:p>
              </w:tc>
              <w:tc>
                <w:tcPr>
                  <w:tcW w:w="596" w:type="dxa"/>
                  <w:vAlign w:val="center"/>
                </w:tcPr>
                <w:p w14:paraId="520ACD73">
                  <w:pPr>
                    <w:topLinePunct/>
                    <w:autoSpaceDE w:val="0"/>
                    <w:autoSpaceDN w:val="0"/>
                    <w:adjustRightInd w:val="0"/>
                    <w:snapToGrid w:val="0"/>
                    <w:jc w:val="center"/>
                    <w:textAlignment w:val="baseline"/>
                    <w:rPr>
                      <w:szCs w:val="21"/>
                    </w:rPr>
                  </w:pPr>
                  <w:r>
                    <w:rPr>
                      <w:szCs w:val="21"/>
                    </w:rPr>
                    <w:t>桶装</w:t>
                  </w:r>
                </w:p>
              </w:tc>
              <w:tc>
                <w:tcPr>
                  <w:tcW w:w="559" w:type="dxa"/>
                  <w:vMerge w:val="continue"/>
                  <w:vAlign w:val="center"/>
                </w:tcPr>
                <w:p w14:paraId="520ACD74">
                  <w:pPr>
                    <w:topLinePunct/>
                    <w:autoSpaceDE w:val="0"/>
                    <w:autoSpaceDN w:val="0"/>
                    <w:adjustRightInd w:val="0"/>
                    <w:snapToGrid w:val="0"/>
                    <w:jc w:val="center"/>
                    <w:textAlignment w:val="baseline"/>
                    <w:rPr>
                      <w:szCs w:val="21"/>
                    </w:rPr>
                  </w:pPr>
                </w:p>
              </w:tc>
            </w:tr>
            <w:tr w14:paraId="520ACD7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Align w:val="center"/>
                </w:tcPr>
                <w:p w14:paraId="520ACD76">
                  <w:pPr>
                    <w:topLinePunct/>
                    <w:autoSpaceDE w:val="0"/>
                    <w:autoSpaceDN w:val="0"/>
                    <w:adjustRightInd w:val="0"/>
                    <w:snapToGrid w:val="0"/>
                    <w:jc w:val="center"/>
                    <w:textAlignment w:val="baseline"/>
                    <w:rPr>
                      <w:szCs w:val="21"/>
                    </w:rPr>
                  </w:pPr>
                  <w:r>
                    <w:rPr>
                      <w:rFonts w:hint="eastAsia"/>
                      <w:szCs w:val="21"/>
                    </w:rPr>
                    <w:t>3</w:t>
                  </w:r>
                </w:p>
              </w:tc>
              <w:tc>
                <w:tcPr>
                  <w:tcW w:w="992" w:type="dxa"/>
                  <w:vAlign w:val="center"/>
                </w:tcPr>
                <w:p w14:paraId="520ACD77">
                  <w:pPr>
                    <w:topLinePunct/>
                    <w:autoSpaceDE w:val="0"/>
                    <w:autoSpaceDN w:val="0"/>
                    <w:adjustRightInd w:val="0"/>
                    <w:snapToGrid w:val="0"/>
                    <w:jc w:val="center"/>
                    <w:textAlignment w:val="baseline"/>
                    <w:rPr>
                      <w:szCs w:val="21"/>
                    </w:rPr>
                  </w:pPr>
                  <w:r>
                    <w:rPr>
                      <w:szCs w:val="21"/>
                    </w:rPr>
                    <w:t>危废</w:t>
                  </w:r>
                  <w:r>
                    <w:rPr>
                      <w:rFonts w:hint="eastAsia"/>
                      <w:szCs w:val="21"/>
                    </w:rPr>
                    <w:t>贮存间WF-003</w:t>
                  </w:r>
                </w:p>
              </w:tc>
              <w:tc>
                <w:tcPr>
                  <w:tcW w:w="992" w:type="dxa"/>
                  <w:vAlign w:val="center"/>
                </w:tcPr>
                <w:p w14:paraId="520ACD78">
                  <w:pPr>
                    <w:pStyle w:val="41"/>
                    <w:rPr>
                      <w:bCs/>
                      <w:lang w:val="en-US"/>
                    </w:rPr>
                  </w:pPr>
                  <w:r>
                    <w:rPr>
                      <w:rFonts w:hint="eastAsia"/>
                      <w:bCs/>
                      <w:lang w:val="en-US"/>
                    </w:rPr>
                    <w:t>废活性炭</w:t>
                  </w:r>
                </w:p>
              </w:tc>
              <w:tc>
                <w:tcPr>
                  <w:tcW w:w="2693" w:type="dxa"/>
                  <w:vAlign w:val="center"/>
                </w:tcPr>
                <w:p w14:paraId="520ACD79">
                  <w:pPr>
                    <w:topLinePunct/>
                    <w:autoSpaceDE w:val="0"/>
                    <w:autoSpaceDN w:val="0"/>
                    <w:adjustRightInd w:val="0"/>
                    <w:snapToGrid w:val="0"/>
                    <w:jc w:val="center"/>
                    <w:textAlignment w:val="baseline"/>
                    <w:rPr>
                      <w:szCs w:val="21"/>
                    </w:rPr>
                  </w:pPr>
                  <w:r>
                    <w:rPr>
                      <w:rFonts w:hint="eastAsia"/>
                      <w:szCs w:val="21"/>
                    </w:rPr>
                    <w:t>HW49其它废物</w:t>
                  </w:r>
                </w:p>
              </w:tc>
              <w:tc>
                <w:tcPr>
                  <w:tcW w:w="709" w:type="dxa"/>
                  <w:vAlign w:val="center"/>
                </w:tcPr>
                <w:p w14:paraId="520ACD7A">
                  <w:pPr>
                    <w:topLinePunct/>
                    <w:autoSpaceDE w:val="0"/>
                    <w:autoSpaceDN w:val="0"/>
                    <w:adjustRightInd w:val="0"/>
                    <w:snapToGrid w:val="0"/>
                    <w:jc w:val="center"/>
                    <w:textAlignment w:val="baseline"/>
                    <w:rPr>
                      <w:szCs w:val="21"/>
                    </w:rPr>
                  </w:pPr>
                  <w:r>
                    <w:rPr>
                      <w:szCs w:val="21"/>
                    </w:rPr>
                    <w:t>900-039-49</w:t>
                  </w:r>
                </w:p>
              </w:tc>
              <w:tc>
                <w:tcPr>
                  <w:tcW w:w="567" w:type="dxa"/>
                  <w:vMerge w:val="continue"/>
                  <w:vAlign w:val="center"/>
                </w:tcPr>
                <w:p w14:paraId="520ACD7B">
                  <w:pPr>
                    <w:topLinePunct/>
                    <w:autoSpaceDE w:val="0"/>
                    <w:autoSpaceDN w:val="0"/>
                    <w:adjustRightInd w:val="0"/>
                    <w:snapToGrid w:val="0"/>
                    <w:jc w:val="center"/>
                    <w:textAlignment w:val="baseline"/>
                    <w:rPr>
                      <w:szCs w:val="21"/>
                    </w:rPr>
                  </w:pPr>
                </w:p>
              </w:tc>
              <w:tc>
                <w:tcPr>
                  <w:tcW w:w="709" w:type="dxa"/>
                  <w:vAlign w:val="center"/>
                </w:tcPr>
                <w:p w14:paraId="520ACD7C">
                  <w:pPr>
                    <w:topLinePunct/>
                    <w:autoSpaceDE w:val="0"/>
                    <w:autoSpaceDN w:val="0"/>
                    <w:adjustRightInd w:val="0"/>
                    <w:snapToGrid w:val="0"/>
                    <w:jc w:val="center"/>
                    <w:textAlignment w:val="baseline"/>
                    <w:rPr>
                      <w:b/>
                      <w:bCs/>
                      <w:szCs w:val="21"/>
                      <w:u w:val="single"/>
                    </w:rPr>
                  </w:pPr>
                  <w:r>
                    <w:rPr>
                      <w:rFonts w:hint="eastAsia"/>
                      <w:szCs w:val="21"/>
                    </w:rPr>
                    <w:t>25m</w:t>
                  </w:r>
                  <w:r>
                    <w:rPr>
                      <w:rFonts w:hint="eastAsia"/>
                      <w:szCs w:val="21"/>
                      <w:vertAlign w:val="superscript"/>
                    </w:rPr>
                    <w:t>2</w:t>
                  </w:r>
                </w:p>
              </w:tc>
              <w:tc>
                <w:tcPr>
                  <w:tcW w:w="596" w:type="dxa"/>
                  <w:vAlign w:val="center"/>
                </w:tcPr>
                <w:p w14:paraId="520ACD7D">
                  <w:pPr>
                    <w:topLinePunct/>
                    <w:autoSpaceDE w:val="0"/>
                    <w:autoSpaceDN w:val="0"/>
                    <w:adjustRightInd w:val="0"/>
                    <w:snapToGrid w:val="0"/>
                    <w:jc w:val="center"/>
                    <w:textAlignment w:val="baseline"/>
                    <w:rPr>
                      <w:szCs w:val="21"/>
                    </w:rPr>
                  </w:pPr>
                  <w:r>
                    <w:rPr>
                      <w:rFonts w:hint="eastAsia"/>
                      <w:szCs w:val="21"/>
                    </w:rPr>
                    <w:t>袋装</w:t>
                  </w:r>
                </w:p>
              </w:tc>
              <w:tc>
                <w:tcPr>
                  <w:tcW w:w="559" w:type="dxa"/>
                  <w:vMerge w:val="continue"/>
                  <w:vAlign w:val="center"/>
                </w:tcPr>
                <w:p w14:paraId="520ACD7E">
                  <w:pPr>
                    <w:topLinePunct/>
                    <w:autoSpaceDE w:val="0"/>
                    <w:autoSpaceDN w:val="0"/>
                    <w:adjustRightInd w:val="0"/>
                    <w:snapToGrid w:val="0"/>
                    <w:jc w:val="center"/>
                    <w:textAlignment w:val="baseline"/>
                    <w:rPr>
                      <w:szCs w:val="21"/>
                    </w:rPr>
                  </w:pPr>
                </w:p>
              </w:tc>
            </w:tr>
            <w:tr w14:paraId="520ACD8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8" w:type="dxa"/>
                  <w:vAlign w:val="center"/>
                </w:tcPr>
                <w:p w14:paraId="520ACD80">
                  <w:pPr>
                    <w:topLinePunct/>
                    <w:autoSpaceDE w:val="0"/>
                    <w:autoSpaceDN w:val="0"/>
                    <w:adjustRightInd w:val="0"/>
                    <w:snapToGrid w:val="0"/>
                    <w:jc w:val="center"/>
                    <w:textAlignment w:val="baseline"/>
                    <w:rPr>
                      <w:szCs w:val="21"/>
                    </w:rPr>
                  </w:pPr>
                  <w:r>
                    <w:rPr>
                      <w:rFonts w:hint="eastAsia"/>
                      <w:szCs w:val="21"/>
                    </w:rPr>
                    <w:t>4</w:t>
                  </w:r>
                </w:p>
              </w:tc>
              <w:tc>
                <w:tcPr>
                  <w:tcW w:w="992" w:type="dxa"/>
                  <w:vAlign w:val="center"/>
                </w:tcPr>
                <w:p w14:paraId="520ACD81">
                  <w:pPr>
                    <w:topLinePunct/>
                    <w:autoSpaceDE w:val="0"/>
                    <w:autoSpaceDN w:val="0"/>
                    <w:adjustRightInd w:val="0"/>
                    <w:snapToGrid w:val="0"/>
                    <w:jc w:val="center"/>
                    <w:textAlignment w:val="baseline"/>
                    <w:rPr>
                      <w:szCs w:val="21"/>
                    </w:rPr>
                  </w:pPr>
                  <w:r>
                    <w:rPr>
                      <w:rFonts w:hint="eastAsia"/>
                      <w:szCs w:val="21"/>
                    </w:rPr>
                    <w:t>危废贮存库</w:t>
                  </w:r>
                </w:p>
              </w:tc>
              <w:tc>
                <w:tcPr>
                  <w:tcW w:w="992" w:type="dxa"/>
                  <w:vAlign w:val="center"/>
                </w:tcPr>
                <w:p w14:paraId="520ACD82">
                  <w:pPr>
                    <w:pStyle w:val="41"/>
                    <w:rPr>
                      <w:bCs/>
                      <w:lang w:val="en-US"/>
                    </w:rPr>
                  </w:pPr>
                  <w:r>
                    <w:rPr>
                      <w:rFonts w:hint="eastAsia"/>
                      <w:bCs/>
                    </w:rPr>
                    <w:t>废液压油</w:t>
                  </w:r>
                </w:p>
              </w:tc>
              <w:tc>
                <w:tcPr>
                  <w:tcW w:w="2693" w:type="dxa"/>
                  <w:vAlign w:val="center"/>
                </w:tcPr>
                <w:p w14:paraId="520ACD83">
                  <w:pPr>
                    <w:topLinePunct/>
                    <w:autoSpaceDE w:val="0"/>
                    <w:autoSpaceDN w:val="0"/>
                    <w:adjustRightInd w:val="0"/>
                    <w:snapToGrid w:val="0"/>
                    <w:jc w:val="center"/>
                    <w:textAlignment w:val="baseline"/>
                    <w:rPr>
                      <w:szCs w:val="21"/>
                    </w:rPr>
                  </w:pPr>
                  <w:r>
                    <w:rPr>
                      <w:rFonts w:hint="eastAsia"/>
                      <w:szCs w:val="21"/>
                    </w:rPr>
                    <w:t>HW08废矿物油与含矿物油废物</w:t>
                  </w:r>
                </w:p>
              </w:tc>
              <w:tc>
                <w:tcPr>
                  <w:tcW w:w="709" w:type="dxa"/>
                  <w:vAlign w:val="center"/>
                </w:tcPr>
                <w:p w14:paraId="520ACD84">
                  <w:pPr>
                    <w:topLinePunct/>
                    <w:autoSpaceDE w:val="0"/>
                    <w:autoSpaceDN w:val="0"/>
                    <w:adjustRightInd w:val="0"/>
                    <w:snapToGrid w:val="0"/>
                    <w:jc w:val="center"/>
                    <w:textAlignment w:val="baseline"/>
                    <w:rPr>
                      <w:szCs w:val="21"/>
                    </w:rPr>
                  </w:pPr>
                  <w:r>
                    <w:rPr>
                      <w:szCs w:val="21"/>
                    </w:rPr>
                    <w:t>900-249-08</w:t>
                  </w:r>
                </w:p>
              </w:tc>
              <w:tc>
                <w:tcPr>
                  <w:tcW w:w="567" w:type="dxa"/>
                  <w:vAlign w:val="center"/>
                </w:tcPr>
                <w:p w14:paraId="520ACD85">
                  <w:pPr>
                    <w:topLinePunct/>
                    <w:autoSpaceDE w:val="0"/>
                    <w:autoSpaceDN w:val="0"/>
                    <w:adjustRightInd w:val="0"/>
                    <w:snapToGrid w:val="0"/>
                    <w:jc w:val="center"/>
                    <w:textAlignment w:val="baseline"/>
                    <w:rPr>
                      <w:szCs w:val="21"/>
                    </w:rPr>
                  </w:pPr>
                  <w:r>
                    <w:rPr>
                      <w:rFonts w:hint="eastAsia"/>
                      <w:szCs w:val="21"/>
                    </w:rPr>
                    <w:t>解放路厂区内</w:t>
                  </w:r>
                </w:p>
              </w:tc>
              <w:tc>
                <w:tcPr>
                  <w:tcW w:w="709" w:type="dxa"/>
                  <w:vAlign w:val="center"/>
                </w:tcPr>
                <w:p w14:paraId="520ACD86">
                  <w:pPr>
                    <w:topLinePunct/>
                    <w:autoSpaceDE w:val="0"/>
                    <w:autoSpaceDN w:val="0"/>
                    <w:adjustRightInd w:val="0"/>
                    <w:snapToGrid w:val="0"/>
                    <w:jc w:val="center"/>
                    <w:textAlignment w:val="baseline"/>
                    <w:rPr>
                      <w:szCs w:val="21"/>
                    </w:rPr>
                  </w:pPr>
                  <w:r>
                    <w:rPr>
                      <w:rFonts w:hint="eastAsia"/>
                      <w:szCs w:val="21"/>
                    </w:rPr>
                    <w:t>216m</w:t>
                  </w:r>
                  <w:r>
                    <w:rPr>
                      <w:rFonts w:hint="eastAsia"/>
                      <w:szCs w:val="21"/>
                      <w:vertAlign w:val="superscript"/>
                    </w:rPr>
                    <w:t>2</w:t>
                  </w:r>
                </w:p>
              </w:tc>
              <w:tc>
                <w:tcPr>
                  <w:tcW w:w="596" w:type="dxa"/>
                  <w:vAlign w:val="center"/>
                </w:tcPr>
                <w:p w14:paraId="520ACD87">
                  <w:pPr>
                    <w:topLinePunct/>
                    <w:autoSpaceDE w:val="0"/>
                    <w:autoSpaceDN w:val="0"/>
                    <w:adjustRightInd w:val="0"/>
                    <w:snapToGrid w:val="0"/>
                    <w:jc w:val="center"/>
                    <w:textAlignment w:val="baseline"/>
                    <w:rPr>
                      <w:szCs w:val="21"/>
                    </w:rPr>
                  </w:pPr>
                  <w:r>
                    <w:rPr>
                      <w:szCs w:val="21"/>
                    </w:rPr>
                    <w:t>桶装</w:t>
                  </w:r>
                </w:p>
              </w:tc>
              <w:tc>
                <w:tcPr>
                  <w:tcW w:w="559" w:type="dxa"/>
                  <w:vAlign w:val="center"/>
                </w:tcPr>
                <w:p w14:paraId="520ACD88">
                  <w:pPr>
                    <w:topLinePunct/>
                    <w:autoSpaceDE w:val="0"/>
                    <w:autoSpaceDN w:val="0"/>
                    <w:adjustRightInd w:val="0"/>
                    <w:snapToGrid w:val="0"/>
                    <w:jc w:val="center"/>
                    <w:textAlignment w:val="baseline"/>
                    <w:rPr>
                      <w:szCs w:val="21"/>
                    </w:rPr>
                  </w:pPr>
                  <w:r>
                    <w:rPr>
                      <w:rFonts w:hint="eastAsia"/>
                      <w:szCs w:val="21"/>
                    </w:rPr>
                    <w:t>3个月</w:t>
                  </w:r>
                </w:p>
              </w:tc>
            </w:tr>
          </w:tbl>
          <w:p w14:paraId="520ACD8A">
            <w:pPr>
              <w:autoSpaceDE w:val="0"/>
              <w:autoSpaceDN w:val="0"/>
              <w:adjustRightInd w:val="0"/>
              <w:snapToGrid w:val="0"/>
              <w:spacing w:line="460" w:lineRule="exact"/>
              <w:ind w:firstLine="482" w:firstLineChars="200"/>
              <w:textAlignment w:val="baseline"/>
              <w:rPr>
                <w:b/>
                <w:sz w:val="24"/>
              </w:rPr>
            </w:pPr>
            <w:r>
              <w:rPr>
                <w:rFonts w:hint="eastAsia"/>
                <w:b/>
                <w:sz w:val="24"/>
              </w:rPr>
              <w:t>2、固废处理措施</w:t>
            </w:r>
          </w:p>
          <w:p w14:paraId="520ACD8B">
            <w:pPr>
              <w:autoSpaceDE w:val="0"/>
              <w:autoSpaceDN w:val="0"/>
              <w:adjustRightInd w:val="0"/>
              <w:snapToGrid w:val="0"/>
              <w:spacing w:line="460" w:lineRule="exact"/>
              <w:ind w:firstLine="480" w:firstLineChars="200"/>
              <w:textAlignment w:val="baseline"/>
              <w:rPr>
                <w:kern w:val="0"/>
                <w:sz w:val="24"/>
              </w:rPr>
            </w:pPr>
            <w:r>
              <w:rPr>
                <w:rFonts w:hint="eastAsia"/>
                <w:kern w:val="0"/>
                <w:sz w:val="24"/>
              </w:rPr>
              <w:t>根据现场踏勘，建设路厂区现有工程</w:t>
            </w:r>
            <w:r>
              <w:rPr>
                <w:rFonts w:hint="eastAsia"/>
                <w:sz w:val="24"/>
              </w:rPr>
              <w:t>已设置危废贮存间WF-004（25m</w:t>
            </w:r>
            <w:r>
              <w:rPr>
                <w:rFonts w:hint="eastAsia"/>
                <w:sz w:val="24"/>
                <w:vertAlign w:val="superscript"/>
              </w:rPr>
              <w:t>2</w:t>
            </w:r>
            <w:r>
              <w:rPr>
                <w:rFonts w:hint="eastAsia"/>
                <w:sz w:val="24"/>
              </w:rPr>
              <w:t>）暂存废切削液、</w:t>
            </w:r>
            <w:r>
              <w:rPr>
                <w:rFonts w:hint="eastAsia"/>
                <w:kern w:val="0"/>
                <w:sz w:val="24"/>
              </w:rPr>
              <w:t>危废贮存间WF-002（25</w:t>
            </w:r>
            <w:r>
              <w:rPr>
                <w:kern w:val="0"/>
                <w:sz w:val="24"/>
              </w:rPr>
              <w:t>m</w:t>
            </w:r>
            <w:r>
              <w:rPr>
                <w:kern w:val="0"/>
                <w:sz w:val="24"/>
                <w:vertAlign w:val="superscript"/>
              </w:rPr>
              <w:t>2</w:t>
            </w:r>
            <w:r>
              <w:rPr>
                <w:rFonts w:hint="eastAsia"/>
                <w:kern w:val="0"/>
                <w:sz w:val="24"/>
              </w:rPr>
              <w:t>）暂存废液压油和废滑油、危废贮存间WF-003（25</w:t>
            </w:r>
            <w:r>
              <w:rPr>
                <w:kern w:val="0"/>
                <w:sz w:val="24"/>
              </w:rPr>
              <w:t>m</w:t>
            </w:r>
            <w:r>
              <w:rPr>
                <w:kern w:val="0"/>
                <w:sz w:val="24"/>
                <w:vertAlign w:val="superscript"/>
              </w:rPr>
              <w:t>2</w:t>
            </w:r>
            <w:r>
              <w:rPr>
                <w:rFonts w:hint="eastAsia"/>
                <w:kern w:val="0"/>
                <w:sz w:val="24"/>
              </w:rPr>
              <w:t>）暂存废活性炭，解放路厂区现有工程已设置</w:t>
            </w:r>
            <w:r>
              <w:rPr>
                <w:rFonts w:hint="eastAsia"/>
                <w:sz w:val="24"/>
              </w:rPr>
              <w:t>危废贮存间216m</w:t>
            </w:r>
            <w:r>
              <w:rPr>
                <w:rFonts w:hint="eastAsia"/>
                <w:sz w:val="24"/>
                <w:vertAlign w:val="superscript"/>
              </w:rPr>
              <w:t>2</w:t>
            </w:r>
            <w:r>
              <w:rPr>
                <w:rFonts w:hint="eastAsia"/>
                <w:sz w:val="24"/>
              </w:rPr>
              <w:t>，</w:t>
            </w:r>
            <w:r>
              <w:rPr>
                <w:rFonts w:hint="eastAsia"/>
                <w:kern w:val="0"/>
                <w:sz w:val="24"/>
              </w:rPr>
              <w:t>且危废贮存间均</w:t>
            </w:r>
            <w:r>
              <w:rPr>
                <w:rFonts w:hint="eastAsia"/>
                <w:sz w:val="24"/>
              </w:rPr>
              <w:t>已采取防风、防晒、防雨淋、防扬散、防流失、防渗漏措施，</w:t>
            </w:r>
            <w:r>
              <w:rPr>
                <w:rFonts w:hint="eastAsia"/>
                <w:kern w:val="0"/>
                <w:sz w:val="24"/>
              </w:rPr>
              <w:t>符合《危险废物贮存污染控制标准》（GB18597-2023）的要求，为避免本项目的固废在储存过程中产生二次污染问题，本项目建设路厂区依托现有危废贮存间</w:t>
            </w:r>
            <w:r>
              <w:rPr>
                <w:rFonts w:hint="eastAsia"/>
                <w:sz w:val="24"/>
              </w:rPr>
              <w:t>WF-004、</w:t>
            </w:r>
            <w:r>
              <w:rPr>
                <w:rFonts w:hint="eastAsia"/>
                <w:kern w:val="0"/>
                <w:sz w:val="24"/>
              </w:rPr>
              <w:t>WF-002、WF-003暂存</w:t>
            </w:r>
            <w:r>
              <w:rPr>
                <w:rFonts w:hint="eastAsia"/>
                <w:sz w:val="24"/>
              </w:rPr>
              <w:t>废切削液、</w:t>
            </w:r>
            <w:r>
              <w:rPr>
                <w:rFonts w:hint="eastAsia"/>
                <w:kern w:val="0"/>
                <w:sz w:val="24"/>
              </w:rPr>
              <w:t>废液压油、废滑油、废活性炭，解放路厂区依托现有危废贮存间暂存废液压油。建设路厂区和解放路厂区危险废物产生与贮存均在厂区内，生产车间地面、运输线路和危废贮存间均采取硬化和防腐防渗措施，危险废物从产生工艺环节运输到贮存场所的过程中一旦产生散落、泄漏，可以将其用铜铲铲起，倒入专用桶或池内，存于危废贮存间，可以将影响控制在厂区内，不会对周围环境产生不利影响。</w:t>
            </w:r>
          </w:p>
          <w:p w14:paraId="520ACD8C">
            <w:pPr>
              <w:autoSpaceDE w:val="0"/>
              <w:autoSpaceDN w:val="0"/>
              <w:adjustRightInd w:val="0"/>
              <w:snapToGrid w:val="0"/>
              <w:spacing w:line="460" w:lineRule="exact"/>
              <w:ind w:firstLine="480" w:firstLineChars="200"/>
              <w:textAlignment w:val="baseline"/>
              <w:rPr>
                <w:kern w:val="0"/>
                <w:sz w:val="24"/>
                <w:highlight w:val="yellow"/>
              </w:rPr>
            </w:pPr>
            <w:r>
              <w:rPr>
                <w:rFonts w:hint="eastAsia"/>
                <w:kern w:val="0"/>
                <w:sz w:val="24"/>
              </w:rPr>
              <w:t>本次建设路厂区危险废物产生量为废切削液0.0146t/a、废液压油0.076t/a、废滑油0.475t/a、废活性炭0.475t/a，现有危废贮存间</w:t>
            </w:r>
            <w:r>
              <w:rPr>
                <w:kern w:val="0"/>
                <w:sz w:val="24"/>
              </w:rPr>
              <w:t>WF-004</w:t>
            </w:r>
            <w:r>
              <w:rPr>
                <w:rFonts w:hint="eastAsia"/>
                <w:kern w:val="0"/>
                <w:sz w:val="24"/>
              </w:rPr>
              <w:t>、WF-002、WF-003容量能够满足本次改建项目完成后建设路厂区全厂该类危险废物的暂存，因此，本项目依托现有危废贮存间</w:t>
            </w:r>
            <w:r>
              <w:rPr>
                <w:kern w:val="0"/>
                <w:sz w:val="24"/>
              </w:rPr>
              <w:t>WF-004</w:t>
            </w:r>
            <w:r>
              <w:rPr>
                <w:rFonts w:hint="eastAsia"/>
                <w:kern w:val="0"/>
                <w:sz w:val="24"/>
              </w:rPr>
              <w:t>、WF-002、WF-003可行。解放路厂区危险废物产生量为废液压油0.085t/a，现有危废贮存间容量能够满足本次改建项目完成后解放路厂区全厂该类危险废物的暂存，因此，本项目依托现有危废贮存间可行。</w:t>
            </w:r>
          </w:p>
          <w:p w14:paraId="520ACD8D">
            <w:pPr>
              <w:autoSpaceDE w:val="0"/>
              <w:autoSpaceDN w:val="0"/>
              <w:adjustRightInd w:val="0"/>
              <w:snapToGrid w:val="0"/>
              <w:spacing w:line="460" w:lineRule="exact"/>
              <w:ind w:firstLine="482" w:firstLineChars="200"/>
              <w:textAlignment w:val="baseline"/>
              <w:rPr>
                <w:b/>
                <w:kern w:val="0"/>
                <w:sz w:val="24"/>
              </w:rPr>
            </w:pPr>
            <w:r>
              <w:rPr>
                <w:rFonts w:hint="eastAsia"/>
                <w:b/>
                <w:kern w:val="0"/>
                <w:sz w:val="24"/>
              </w:rPr>
              <w:t>3、环境管理要求</w:t>
            </w:r>
          </w:p>
          <w:p w14:paraId="520ACD8E">
            <w:pPr>
              <w:autoSpaceDE w:val="0"/>
              <w:autoSpaceDN w:val="0"/>
              <w:adjustRightInd w:val="0"/>
              <w:snapToGrid w:val="0"/>
              <w:spacing w:line="460" w:lineRule="exact"/>
              <w:ind w:firstLine="480" w:firstLineChars="200"/>
              <w:textAlignment w:val="baseline"/>
              <w:rPr>
                <w:kern w:val="0"/>
                <w:sz w:val="24"/>
              </w:rPr>
            </w:pPr>
            <w:r>
              <w:rPr>
                <w:rFonts w:hint="eastAsia"/>
                <w:kern w:val="0"/>
                <w:sz w:val="24"/>
              </w:rPr>
              <w:t>本次改</w:t>
            </w:r>
            <w:r>
              <w:rPr>
                <w:rFonts w:hint="eastAsia"/>
                <w:bCs/>
                <w:kern w:val="0"/>
                <w:sz w:val="24"/>
              </w:rPr>
              <w:t>建</w:t>
            </w:r>
            <w:r>
              <w:rPr>
                <w:rFonts w:hint="eastAsia"/>
                <w:kern w:val="0"/>
                <w:sz w:val="24"/>
              </w:rPr>
              <w:t>项目要求企业按照评价指南和《危险废物收集</w:t>
            </w:r>
            <w:r>
              <w:rPr>
                <w:kern w:val="0"/>
                <w:sz w:val="24"/>
              </w:rPr>
              <w:t xml:space="preserve"> </w:t>
            </w:r>
            <w:r>
              <w:rPr>
                <w:rFonts w:hint="eastAsia"/>
                <w:kern w:val="0"/>
                <w:sz w:val="24"/>
              </w:rPr>
              <w:t>贮存</w:t>
            </w:r>
            <w:r>
              <w:rPr>
                <w:kern w:val="0"/>
                <w:sz w:val="24"/>
              </w:rPr>
              <w:t xml:space="preserve"> </w:t>
            </w:r>
            <w:r>
              <w:rPr>
                <w:rFonts w:hint="eastAsia"/>
                <w:kern w:val="0"/>
                <w:sz w:val="24"/>
              </w:rPr>
              <w:t>运输技术规范》（</w:t>
            </w:r>
            <w:r>
              <w:rPr>
                <w:kern w:val="0"/>
                <w:sz w:val="24"/>
              </w:rPr>
              <w:t>HJ2025</w:t>
            </w:r>
            <w:r>
              <w:rPr>
                <w:rFonts w:hint="eastAsia"/>
                <w:kern w:val="0"/>
                <w:sz w:val="24"/>
              </w:rPr>
              <w:t>）</w:t>
            </w:r>
            <w:r>
              <w:rPr>
                <w:rFonts w:hint="eastAsia"/>
                <w:bCs/>
                <w:sz w:val="24"/>
              </w:rPr>
              <w:t>、《危险废物管理计划和管理台账制定技术导则》（H</w:t>
            </w:r>
            <w:r>
              <w:rPr>
                <w:bCs/>
                <w:sz w:val="24"/>
              </w:rPr>
              <w:t>J1259-2022</w:t>
            </w:r>
            <w:r>
              <w:rPr>
                <w:rFonts w:hint="eastAsia"/>
                <w:bCs/>
                <w:sz w:val="24"/>
              </w:rPr>
              <w:t>）</w:t>
            </w:r>
            <w:r>
              <w:rPr>
                <w:rFonts w:hint="eastAsia"/>
                <w:kern w:val="0"/>
                <w:sz w:val="24"/>
              </w:rPr>
              <w:t>要求，对危险废物内部转运应采取以下措施：</w:t>
            </w:r>
          </w:p>
          <w:p w14:paraId="520ACD8F">
            <w:pPr>
              <w:autoSpaceDE w:val="0"/>
              <w:autoSpaceDN w:val="0"/>
              <w:adjustRightInd w:val="0"/>
              <w:snapToGrid w:val="0"/>
              <w:spacing w:line="460" w:lineRule="exact"/>
              <w:ind w:firstLine="480" w:firstLineChars="200"/>
              <w:textAlignment w:val="baseline"/>
              <w:rPr>
                <w:kern w:val="0"/>
                <w:sz w:val="24"/>
              </w:rPr>
            </w:pPr>
            <w:r>
              <w:rPr>
                <w:rFonts w:hint="eastAsia" w:ascii="宋体" w:hAnsi="宋体"/>
                <w:kern w:val="0"/>
                <w:sz w:val="24"/>
              </w:rPr>
              <w:t>①</w:t>
            </w:r>
            <w:r>
              <w:rPr>
                <w:rFonts w:hint="eastAsia"/>
                <w:kern w:val="0"/>
                <w:sz w:val="24"/>
              </w:rPr>
              <w:t>危险废物从厂区内产生工艺环节运输到危废贮存库（间），应有专人负责，专用桶收集、转运，避免可能引起的散落。</w:t>
            </w:r>
          </w:p>
          <w:p w14:paraId="520ACD90">
            <w:pPr>
              <w:autoSpaceDE w:val="0"/>
              <w:autoSpaceDN w:val="0"/>
              <w:adjustRightInd w:val="0"/>
              <w:snapToGrid w:val="0"/>
              <w:spacing w:line="460" w:lineRule="exact"/>
              <w:ind w:firstLine="480" w:firstLineChars="200"/>
              <w:textAlignment w:val="baseline"/>
              <w:rPr>
                <w:kern w:val="0"/>
                <w:sz w:val="24"/>
              </w:rPr>
            </w:pPr>
            <w:r>
              <w:rPr>
                <w:rFonts w:hint="eastAsia"/>
                <w:kern w:val="0"/>
                <w:sz w:val="24"/>
              </w:rPr>
              <w:t>②危险废物内部转运作业应采用专用的工具，危险废物内部转运应填写《危险废物厂内转运记录表》，危险废物内部转运结束后，应对转运路线进行检查和清理，确保无危险废物遗失在转运路线上。</w:t>
            </w:r>
          </w:p>
          <w:p w14:paraId="520ACD91">
            <w:pPr>
              <w:adjustRightInd w:val="0"/>
              <w:snapToGrid w:val="0"/>
              <w:spacing w:line="460" w:lineRule="exact"/>
              <w:ind w:firstLine="480"/>
              <w:textAlignment w:val="baseline"/>
              <w:rPr>
                <w:bCs/>
                <w:sz w:val="24"/>
              </w:rPr>
            </w:pPr>
            <w:r>
              <w:rPr>
                <w:rFonts w:hint="eastAsia"/>
                <w:bCs/>
                <w:sz w:val="24"/>
              </w:rPr>
              <w:t>③企业应按照《危险废物管理计划和管理台账制定技术导则》（H</w:t>
            </w:r>
            <w:r>
              <w:rPr>
                <w:bCs/>
                <w:sz w:val="24"/>
              </w:rPr>
              <w:t>J1259-2022</w:t>
            </w:r>
            <w:r>
              <w:rPr>
                <w:rFonts w:hint="eastAsia"/>
                <w:bCs/>
                <w:sz w:val="24"/>
              </w:rPr>
              <w:t>）</w:t>
            </w:r>
            <w:r>
              <w:rPr>
                <w:bCs/>
                <w:sz w:val="24"/>
              </w:rPr>
              <w:t>要求</w:t>
            </w:r>
            <w:r>
              <w:rPr>
                <w:rFonts w:hint="eastAsia"/>
                <w:bCs/>
                <w:sz w:val="24"/>
              </w:rPr>
              <w:t>制定危险废物管理计划和管理台账，并按要求进行危险废物申报。</w:t>
            </w:r>
          </w:p>
          <w:p w14:paraId="520ACD92">
            <w:pPr>
              <w:autoSpaceDE w:val="0"/>
              <w:autoSpaceDN w:val="0"/>
              <w:adjustRightInd w:val="0"/>
              <w:snapToGrid w:val="0"/>
              <w:spacing w:line="460" w:lineRule="exact"/>
              <w:ind w:firstLine="480" w:firstLineChars="200"/>
              <w:textAlignment w:val="baseline"/>
              <w:rPr>
                <w:kern w:val="0"/>
                <w:sz w:val="24"/>
              </w:rPr>
            </w:pPr>
            <w:r>
              <w:rPr>
                <w:rFonts w:hint="eastAsia"/>
                <w:kern w:val="0"/>
                <w:sz w:val="24"/>
              </w:rPr>
              <w:t>企业现有的危废贮存库（间）需按照以下要求严格管理：</w:t>
            </w:r>
          </w:p>
          <w:p w14:paraId="520ACD93">
            <w:pPr>
              <w:autoSpaceDE w:val="0"/>
              <w:autoSpaceDN w:val="0"/>
              <w:adjustRightInd w:val="0"/>
              <w:snapToGrid w:val="0"/>
              <w:spacing w:line="460" w:lineRule="exact"/>
              <w:ind w:firstLine="480" w:firstLineChars="200"/>
              <w:textAlignment w:val="baseline"/>
              <w:rPr>
                <w:kern w:val="0"/>
                <w:sz w:val="24"/>
              </w:rPr>
            </w:pPr>
            <w:r>
              <w:rPr>
                <w:rFonts w:hint="eastAsia"/>
                <w:kern w:val="0"/>
                <w:sz w:val="24"/>
              </w:rPr>
              <w:t>①危险废物容器内应留一定空间。</w:t>
            </w:r>
          </w:p>
          <w:p w14:paraId="520ACD94">
            <w:pPr>
              <w:autoSpaceDE w:val="0"/>
              <w:autoSpaceDN w:val="0"/>
              <w:adjustRightInd w:val="0"/>
              <w:snapToGrid w:val="0"/>
              <w:spacing w:line="460" w:lineRule="exact"/>
              <w:ind w:firstLine="480" w:firstLineChars="200"/>
              <w:textAlignment w:val="baseline"/>
              <w:rPr>
                <w:kern w:val="0"/>
                <w:sz w:val="24"/>
              </w:rPr>
            </w:pPr>
            <w:r>
              <w:rPr>
                <w:rFonts w:hint="eastAsia"/>
                <w:kern w:val="0"/>
                <w:sz w:val="24"/>
              </w:rPr>
              <w:t>②各种盛装废物的容器必须完好无损，各个危险废物容器外侧须标明危险废物的名称，存入时间、重量、成分、特性以及发生泄漏、扩散污染事故时的应急措施和补救方法。</w:t>
            </w:r>
          </w:p>
          <w:p w14:paraId="520ACD95">
            <w:pPr>
              <w:autoSpaceDE w:val="0"/>
              <w:autoSpaceDN w:val="0"/>
              <w:adjustRightInd w:val="0"/>
              <w:snapToGrid w:val="0"/>
              <w:spacing w:line="460" w:lineRule="exact"/>
              <w:ind w:firstLine="480" w:firstLineChars="200"/>
              <w:textAlignment w:val="baseline"/>
              <w:rPr>
                <w:kern w:val="0"/>
                <w:sz w:val="24"/>
              </w:rPr>
            </w:pPr>
            <w:r>
              <w:rPr>
                <w:rFonts w:hint="eastAsia"/>
                <w:kern w:val="0"/>
                <w:sz w:val="24"/>
              </w:rPr>
              <w:t>③危险废物产生者须做好危险废物情况的记录，记录上须注明危险废物的名称、来源、数量、特性和包装容器的类别、入库日期、存放库位、废物出库日期及接收单位名称。危险废物的记录和货单在危险废物回取后应继续保留三年。</w:t>
            </w:r>
          </w:p>
          <w:p w14:paraId="520ACD96">
            <w:pPr>
              <w:autoSpaceDE w:val="0"/>
              <w:autoSpaceDN w:val="0"/>
              <w:adjustRightInd w:val="0"/>
              <w:snapToGrid w:val="0"/>
              <w:spacing w:line="460" w:lineRule="exact"/>
              <w:ind w:firstLine="480" w:firstLineChars="200"/>
              <w:textAlignment w:val="baseline"/>
              <w:rPr>
                <w:kern w:val="0"/>
                <w:sz w:val="24"/>
              </w:rPr>
            </w:pPr>
            <w:r>
              <w:rPr>
                <w:rFonts w:hint="eastAsia"/>
                <w:kern w:val="0"/>
                <w:sz w:val="24"/>
              </w:rPr>
              <w:t>④</w:t>
            </w:r>
            <w:r>
              <w:rPr>
                <w:kern w:val="0"/>
                <w:sz w:val="24"/>
              </w:rPr>
              <w:t>危废贮存库</w:t>
            </w:r>
            <w:r>
              <w:rPr>
                <w:rFonts w:hint="eastAsia"/>
                <w:kern w:val="0"/>
                <w:sz w:val="24"/>
              </w:rPr>
              <w:t>（间）</w:t>
            </w:r>
            <w:r>
              <w:rPr>
                <w:kern w:val="0"/>
                <w:sz w:val="24"/>
              </w:rPr>
              <w:t>应设立危险废物标志。形状：整体外形为矩形，标志牌整体外形尺寸为900mm×558mm，等边三角形警告标志外边长500mm，内边长375mm；颜色：背景为黄色，图形为黑色；字体应采用黑体字，其中危险废物设施类型应加粗放大并居中显示；材料应宜采用坚固耐用的材料（如1.5mm～2mm冷轧钢板），并做搪瓷处理或贴膜处理，如出现掉色、破损等情况应及时更换。</w:t>
            </w:r>
          </w:p>
          <w:p w14:paraId="520ACD97">
            <w:pPr>
              <w:autoSpaceDE w:val="0"/>
              <w:autoSpaceDN w:val="0"/>
              <w:adjustRightInd w:val="0"/>
              <w:snapToGrid w:val="0"/>
              <w:spacing w:line="460" w:lineRule="exact"/>
              <w:ind w:firstLine="480" w:firstLineChars="200"/>
              <w:textAlignment w:val="baseline"/>
              <w:rPr>
                <w:kern w:val="0"/>
                <w:sz w:val="24"/>
              </w:rPr>
            </w:pPr>
            <w:r>
              <w:rPr>
                <w:rFonts w:hint="eastAsia"/>
                <w:kern w:val="0"/>
                <w:sz w:val="24"/>
              </w:rPr>
              <w:t>⑤各危险废物定期送至有资质的危废处理单位安全处置；在危废的转移处置过程中，应严格按照《中华人民共和国固体废物污染环境防治法》和《危险废物转移管理办法》有关规定执行。</w:t>
            </w:r>
          </w:p>
          <w:p w14:paraId="520ACD98">
            <w:pPr>
              <w:spacing w:line="460" w:lineRule="exact"/>
              <w:ind w:firstLine="482" w:firstLineChars="200"/>
              <w:rPr>
                <w:b/>
                <w:sz w:val="24"/>
              </w:rPr>
            </w:pPr>
            <w:r>
              <w:rPr>
                <w:rFonts w:hint="eastAsia"/>
                <w:b/>
                <w:sz w:val="24"/>
              </w:rPr>
              <w:t>五、环境风险</w:t>
            </w:r>
          </w:p>
          <w:p w14:paraId="520ACD99">
            <w:pPr>
              <w:adjustRightInd w:val="0"/>
              <w:snapToGrid w:val="0"/>
              <w:spacing w:line="460" w:lineRule="exact"/>
              <w:ind w:firstLine="480" w:firstLineChars="200"/>
              <w:rPr>
                <w:sz w:val="24"/>
              </w:rPr>
            </w:pPr>
            <w:r>
              <w:rPr>
                <w:rFonts w:hint="eastAsia"/>
                <w:sz w:val="24"/>
              </w:rPr>
              <w:t>根据《建设项目环境风险评价技术导则》（</w:t>
            </w:r>
            <w:r>
              <w:rPr>
                <w:sz w:val="24"/>
              </w:rPr>
              <w:t>HJ169</w:t>
            </w:r>
            <w:r>
              <w:rPr>
                <w:rFonts w:hint="eastAsia"/>
                <w:sz w:val="24"/>
              </w:rPr>
              <w:t>-</w:t>
            </w:r>
            <w:r>
              <w:rPr>
                <w:sz w:val="24"/>
              </w:rPr>
              <w:t>2018</w:t>
            </w:r>
            <w:r>
              <w:rPr>
                <w:rFonts w:hint="eastAsia"/>
                <w:sz w:val="24"/>
              </w:rPr>
              <w:t>），环境风险评价应以突发性事故导致的危险物质环境急性损害防控为目标，对建设项目的环境风险进行分析、预测和评估，提出环境风险预防、控制、减缓措施，明确环境风险监控及应急建议要求，为建设项目环境风险防控提供科学依据。</w:t>
            </w:r>
          </w:p>
          <w:p w14:paraId="520ACD9A">
            <w:pPr>
              <w:autoSpaceDE w:val="0"/>
              <w:autoSpaceDN w:val="0"/>
              <w:adjustRightInd w:val="0"/>
              <w:snapToGrid w:val="0"/>
              <w:spacing w:line="460" w:lineRule="exact"/>
              <w:ind w:firstLine="482" w:firstLineChars="200"/>
              <w:textAlignment w:val="baseline"/>
              <w:rPr>
                <w:b/>
                <w:bCs/>
                <w:kern w:val="0"/>
                <w:sz w:val="24"/>
              </w:rPr>
            </w:pPr>
            <w:r>
              <w:rPr>
                <w:rFonts w:hint="eastAsia"/>
                <w:b/>
                <w:bCs/>
                <w:kern w:val="0"/>
                <w:sz w:val="24"/>
              </w:rPr>
              <w:t>1、评价依据</w:t>
            </w:r>
          </w:p>
          <w:p w14:paraId="520ACD9B">
            <w:pPr>
              <w:autoSpaceDE w:val="0"/>
              <w:autoSpaceDN w:val="0"/>
              <w:adjustRightInd w:val="0"/>
              <w:snapToGrid w:val="0"/>
              <w:spacing w:line="460" w:lineRule="exact"/>
              <w:ind w:firstLine="480" w:firstLineChars="200"/>
              <w:textAlignment w:val="baseline"/>
              <w:rPr>
                <w:kern w:val="0"/>
                <w:sz w:val="24"/>
              </w:rPr>
            </w:pPr>
            <w:r>
              <w:rPr>
                <w:rFonts w:hint="eastAsia"/>
                <w:kern w:val="0"/>
                <w:sz w:val="24"/>
              </w:rPr>
              <w:t>根据项目工程分析，项目原辅材料和危险废物中的风险物质均主要为油类物质。根据企业提供资料，本项目风险物质的总用量和储存情况如下。</w:t>
            </w:r>
          </w:p>
          <w:p w14:paraId="520ACD9C">
            <w:pPr>
              <w:spacing w:line="460" w:lineRule="exact"/>
              <w:ind w:firstLine="480" w:firstLineChars="200"/>
              <w:rPr>
                <w:rFonts w:eastAsia="黑体"/>
                <w:sz w:val="24"/>
                <w:highlight w:val="yellow"/>
              </w:rPr>
            </w:pPr>
            <w:r>
              <w:rPr>
                <w:rFonts w:eastAsia="黑体"/>
                <w:sz w:val="24"/>
              </w:rPr>
              <w:t>表</w:t>
            </w:r>
            <w:r>
              <w:rPr>
                <w:rFonts w:hint="eastAsia" w:eastAsia="黑体"/>
                <w:sz w:val="24"/>
              </w:rPr>
              <w:t>79</w:t>
            </w:r>
            <w:r>
              <w:rPr>
                <w:rFonts w:eastAsia="黑体"/>
                <w:sz w:val="24"/>
              </w:rPr>
              <w:t xml:space="preserve">    </w:t>
            </w:r>
            <w:r>
              <w:rPr>
                <w:rFonts w:hint="eastAsia" w:eastAsia="黑体"/>
                <w:sz w:val="24"/>
              </w:rPr>
              <w:t xml:space="preserve">    </w:t>
            </w:r>
            <w:r>
              <w:rPr>
                <w:rFonts w:eastAsia="黑体"/>
                <w:sz w:val="24"/>
              </w:rPr>
              <w:t xml:space="preserve">  </w:t>
            </w:r>
            <w:r>
              <w:rPr>
                <w:rFonts w:hint="eastAsia" w:eastAsia="黑体"/>
                <w:sz w:val="24"/>
              </w:rPr>
              <w:t>本项目</w:t>
            </w:r>
            <w:r>
              <w:rPr>
                <w:rFonts w:eastAsia="黑体"/>
                <w:sz w:val="24"/>
              </w:rPr>
              <w:t>风险物质年用量和最大库存量</w:t>
            </w:r>
          </w:p>
          <w:tbl>
            <w:tblPr>
              <w:tblStyle w:val="18"/>
              <w:tblpPr w:leftFromText="180" w:rightFromText="180" w:vertAnchor="text" w:tblpXSpec="center" w:tblpY="1"/>
              <w:tblOverlap w:val="never"/>
              <w:tblW w:w="5000" w:type="pct"/>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709"/>
              <w:gridCol w:w="1134"/>
              <w:gridCol w:w="1418"/>
              <w:gridCol w:w="2693"/>
              <w:gridCol w:w="2181"/>
            </w:tblGrid>
            <w:tr w14:paraId="520ACDA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09" w:type="dxa"/>
                  <w:tcBorders>
                    <w:tl2br w:val="nil"/>
                    <w:tr2bl w:val="nil"/>
                  </w:tcBorders>
                  <w:vAlign w:val="center"/>
                </w:tcPr>
                <w:p w14:paraId="520ACD9D">
                  <w:pPr>
                    <w:adjustRightInd w:val="0"/>
                    <w:snapToGrid w:val="0"/>
                    <w:jc w:val="center"/>
                    <w:rPr>
                      <w:b/>
                      <w:bCs/>
                      <w:szCs w:val="21"/>
                    </w:rPr>
                  </w:pPr>
                  <w:r>
                    <w:rPr>
                      <w:b/>
                      <w:bCs/>
                      <w:szCs w:val="21"/>
                    </w:rPr>
                    <w:t>序号</w:t>
                  </w:r>
                </w:p>
              </w:tc>
              <w:tc>
                <w:tcPr>
                  <w:tcW w:w="1134" w:type="dxa"/>
                  <w:tcBorders>
                    <w:tl2br w:val="nil"/>
                    <w:tr2bl w:val="nil"/>
                  </w:tcBorders>
                  <w:vAlign w:val="center"/>
                </w:tcPr>
                <w:p w14:paraId="520ACD9E">
                  <w:pPr>
                    <w:adjustRightInd w:val="0"/>
                    <w:snapToGrid w:val="0"/>
                    <w:jc w:val="center"/>
                    <w:rPr>
                      <w:b/>
                      <w:bCs/>
                      <w:szCs w:val="21"/>
                    </w:rPr>
                  </w:pPr>
                  <w:r>
                    <w:rPr>
                      <w:b/>
                      <w:bCs/>
                      <w:szCs w:val="21"/>
                    </w:rPr>
                    <w:t>物质名称</w:t>
                  </w:r>
                </w:p>
              </w:tc>
              <w:tc>
                <w:tcPr>
                  <w:tcW w:w="1418" w:type="dxa"/>
                  <w:tcBorders>
                    <w:tl2br w:val="nil"/>
                    <w:tr2bl w:val="nil"/>
                  </w:tcBorders>
                  <w:vAlign w:val="center"/>
                </w:tcPr>
                <w:p w14:paraId="520ACD9F">
                  <w:pPr>
                    <w:adjustRightInd w:val="0"/>
                    <w:snapToGrid w:val="0"/>
                    <w:jc w:val="center"/>
                    <w:rPr>
                      <w:b/>
                      <w:bCs/>
                      <w:szCs w:val="21"/>
                    </w:rPr>
                  </w:pPr>
                  <w:r>
                    <w:rPr>
                      <w:rFonts w:hint="eastAsia"/>
                      <w:b/>
                      <w:bCs/>
                      <w:szCs w:val="21"/>
                    </w:rPr>
                    <w:t>本项目最大暂存</w:t>
                  </w:r>
                  <w:r>
                    <w:rPr>
                      <w:b/>
                      <w:bCs/>
                      <w:szCs w:val="21"/>
                    </w:rPr>
                    <w:t>量</w:t>
                  </w:r>
                  <w:r>
                    <w:rPr>
                      <w:rFonts w:hint="eastAsia"/>
                      <w:b/>
                      <w:bCs/>
                      <w:szCs w:val="21"/>
                    </w:rPr>
                    <w:t>(</w:t>
                  </w:r>
                  <w:r>
                    <w:rPr>
                      <w:b/>
                      <w:bCs/>
                      <w:szCs w:val="21"/>
                    </w:rPr>
                    <w:t>t</w:t>
                  </w:r>
                  <w:r>
                    <w:rPr>
                      <w:rFonts w:hint="eastAsia"/>
                      <w:b/>
                      <w:bCs/>
                      <w:szCs w:val="21"/>
                    </w:rPr>
                    <w:t>)</w:t>
                  </w:r>
                </w:p>
              </w:tc>
              <w:tc>
                <w:tcPr>
                  <w:tcW w:w="2693" w:type="dxa"/>
                  <w:tcBorders>
                    <w:tl2br w:val="nil"/>
                    <w:tr2bl w:val="nil"/>
                  </w:tcBorders>
                  <w:vAlign w:val="center"/>
                </w:tcPr>
                <w:p w14:paraId="520ACDA0">
                  <w:pPr>
                    <w:adjustRightInd w:val="0"/>
                    <w:snapToGrid w:val="0"/>
                    <w:jc w:val="center"/>
                    <w:rPr>
                      <w:b/>
                      <w:bCs/>
                      <w:szCs w:val="21"/>
                    </w:rPr>
                  </w:pPr>
                  <w:r>
                    <w:rPr>
                      <w:rFonts w:hint="eastAsia"/>
                      <w:b/>
                      <w:bCs/>
                      <w:szCs w:val="21"/>
                    </w:rPr>
                    <w:t>目前全厂</w:t>
                  </w:r>
                  <w:r>
                    <w:rPr>
                      <w:b/>
                      <w:bCs/>
                      <w:szCs w:val="21"/>
                    </w:rPr>
                    <w:t>最大储存量</w:t>
                  </w:r>
                  <w:r>
                    <w:rPr>
                      <w:rFonts w:hint="eastAsia"/>
                      <w:b/>
                      <w:bCs/>
                      <w:szCs w:val="21"/>
                    </w:rPr>
                    <w:t>(</w:t>
                  </w:r>
                  <w:r>
                    <w:rPr>
                      <w:b/>
                      <w:bCs/>
                      <w:szCs w:val="21"/>
                    </w:rPr>
                    <w:t>t</w:t>
                  </w:r>
                  <w:r>
                    <w:rPr>
                      <w:rFonts w:hint="eastAsia"/>
                      <w:b/>
                      <w:bCs/>
                      <w:szCs w:val="21"/>
                    </w:rPr>
                    <w:t>)</w:t>
                  </w:r>
                </w:p>
              </w:tc>
              <w:tc>
                <w:tcPr>
                  <w:tcW w:w="2181" w:type="dxa"/>
                  <w:tcBorders>
                    <w:tl2br w:val="nil"/>
                    <w:tr2bl w:val="nil"/>
                  </w:tcBorders>
                  <w:vAlign w:val="center"/>
                </w:tcPr>
                <w:p w14:paraId="520ACDA1">
                  <w:pPr>
                    <w:adjustRightInd w:val="0"/>
                    <w:snapToGrid w:val="0"/>
                    <w:jc w:val="center"/>
                    <w:rPr>
                      <w:b/>
                      <w:bCs/>
                      <w:szCs w:val="21"/>
                    </w:rPr>
                  </w:pPr>
                  <w:r>
                    <w:rPr>
                      <w:rFonts w:hint="eastAsia"/>
                      <w:b/>
                      <w:bCs/>
                      <w:szCs w:val="21"/>
                    </w:rPr>
                    <w:t>本项目建成后全厂</w:t>
                  </w:r>
                  <w:r>
                    <w:rPr>
                      <w:b/>
                      <w:bCs/>
                      <w:szCs w:val="21"/>
                    </w:rPr>
                    <w:t>最大储存量</w:t>
                  </w:r>
                  <w:r>
                    <w:rPr>
                      <w:rFonts w:hint="eastAsia"/>
                      <w:b/>
                      <w:bCs/>
                      <w:szCs w:val="21"/>
                    </w:rPr>
                    <w:t>(</w:t>
                  </w:r>
                  <w:r>
                    <w:rPr>
                      <w:b/>
                      <w:bCs/>
                      <w:szCs w:val="21"/>
                    </w:rPr>
                    <w:t>t</w:t>
                  </w:r>
                  <w:r>
                    <w:rPr>
                      <w:rFonts w:hint="eastAsia"/>
                      <w:b/>
                      <w:bCs/>
                      <w:szCs w:val="21"/>
                    </w:rPr>
                    <w:t>)</w:t>
                  </w:r>
                </w:p>
              </w:tc>
            </w:tr>
            <w:tr w14:paraId="520ACDA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135" w:type="dxa"/>
                  <w:gridSpan w:val="5"/>
                  <w:tcBorders>
                    <w:tl2br w:val="nil"/>
                    <w:tr2bl w:val="nil"/>
                  </w:tcBorders>
                  <w:vAlign w:val="center"/>
                </w:tcPr>
                <w:p w14:paraId="520ACDA3">
                  <w:pPr>
                    <w:adjustRightInd w:val="0"/>
                    <w:snapToGrid w:val="0"/>
                    <w:jc w:val="center"/>
                    <w:rPr>
                      <w:b/>
                      <w:bCs/>
                      <w:szCs w:val="21"/>
                    </w:rPr>
                  </w:pPr>
                  <w:r>
                    <w:rPr>
                      <w:rFonts w:hint="eastAsia"/>
                      <w:b/>
                      <w:bCs/>
                      <w:szCs w:val="21"/>
                    </w:rPr>
                    <w:t>建设路厂区</w:t>
                  </w:r>
                </w:p>
              </w:tc>
            </w:tr>
            <w:tr w14:paraId="520ACDA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09" w:type="dxa"/>
                  <w:tcBorders>
                    <w:tl2br w:val="nil"/>
                    <w:tr2bl w:val="nil"/>
                  </w:tcBorders>
                  <w:vAlign w:val="center"/>
                </w:tcPr>
                <w:p w14:paraId="520ACDA5">
                  <w:pPr>
                    <w:adjustRightInd w:val="0"/>
                    <w:snapToGrid w:val="0"/>
                    <w:jc w:val="center"/>
                    <w:rPr>
                      <w:szCs w:val="21"/>
                    </w:rPr>
                  </w:pPr>
                  <w:r>
                    <w:rPr>
                      <w:szCs w:val="21"/>
                    </w:rPr>
                    <w:t>1</w:t>
                  </w:r>
                </w:p>
              </w:tc>
              <w:tc>
                <w:tcPr>
                  <w:tcW w:w="1134" w:type="dxa"/>
                  <w:tcBorders>
                    <w:tl2br w:val="nil"/>
                    <w:tr2bl w:val="nil"/>
                  </w:tcBorders>
                  <w:vAlign w:val="center"/>
                </w:tcPr>
                <w:p w14:paraId="520ACDA6">
                  <w:pPr>
                    <w:adjustRightInd w:val="0"/>
                    <w:snapToGrid w:val="0"/>
                    <w:jc w:val="center"/>
                    <w:rPr>
                      <w:szCs w:val="21"/>
                    </w:rPr>
                  </w:pPr>
                  <w:r>
                    <w:rPr>
                      <w:szCs w:val="21"/>
                    </w:rPr>
                    <w:t>油类物质</w:t>
                  </w:r>
                </w:p>
              </w:tc>
              <w:tc>
                <w:tcPr>
                  <w:tcW w:w="1418" w:type="dxa"/>
                  <w:tcBorders>
                    <w:tl2br w:val="nil"/>
                    <w:tr2bl w:val="nil"/>
                  </w:tcBorders>
                  <w:vAlign w:val="center"/>
                </w:tcPr>
                <w:p w14:paraId="520ACDA7">
                  <w:pPr>
                    <w:adjustRightInd w:val="0"/>
                    <w:snapToGrid w:val="0"/>
                    <w:jc w:val="center"/>
                    <w:rPr>
                      <w:szCs w:val="21"/>
                    </w:rPr>
                  </w:pPr>
                  <w:r>
                    <w:rPr>
                      <w:rFonts w:hint="eastAsia"/>
                      <w:szCs w:val="21"/>
                    </w:rPr>
                    <w:t>0.3926*</w:t>
                  </w:r>
                </w:p>
              </w:tc>
              <w:tc>
                <w:tcPr>
                  <w:tcW w:w="2693" w:type="dxa"/>
                  <w:tcBorders>
                    <w:tl2br w:val="nil"/>
                    <w:tr2bl w:val="nil"/>
                  </w:tcBorders>
                  <w:vAlign w:val="center"/>
                </w:tcPr>
                <w:p w14:paraId="520ACDA8">
                  <w:pPr>
                    <w:adjustRightInd w:val="0"/>
                    <w:snapToGrid w:val="0"/>
                    <w:jc w:val="center"/>
                    <w:rPr>
                      <w:szCs w:val="21"/>
                    </w:rPr>
                  </w:pPr>
                  <w:r>
                    <w:rPr>
                      <w:rFonts w:hint="eastAsia"/>
                      <w:szCs w:val="21"/>
                    </w:rPr>
                    <w:t>7.8</w:t>
                  </w:r>
                </w:p>
              </w:tc>
              <w:tc>
                <w:tcPr>
                  <w:tcW w:w="2181" w:type="dxa"/>
                  <w:tcBorders>
                    <w:tl2br w:val="nil"/>
                    <w:tr2bl w:val="nil"/>
                  </w:tcBorders>
                  <w:vAlign w:val="center"/>
                </w:tcPr>
                <w:p w14:paraId="520ACDA9">
                  <w:pPr>
                    <w:adjustRightInd w:val="0"/>
                    <w:snapToGrid w:val="0"/>
                    <w:jc w:val="center"/>
                    <w:rPr>
                      <w:szCs w:val="21"/>
                    </w:rPr>
                  </w:pPr>
                  <w:r>
                    <w:rPr>
                      <w:rFonts w:hint="eastAsia"/>
                      <w:szCs w:val="21"/>
                    </w:rPr>
                    <w:t>7.8*</w:t>
                  </w:r>
                </w:p>
              </w:tc>
            </w:tr>
            <w:tr w14:paraId="520ACDA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135" w:type="dxa"/>
                  <w:gridSpan w:val="5"/>
                  <w:tcBorders>
                    <w:tl2br w:val="nil"/>
                    <w:tr2bl w:val="nil"/>
                  </w:tcBorders>
                  <w:vAlign w:val="center"/>
                </w:tcPr>
                <w:p w14:paraId="520ACDAB">
                  <w:pPr>
                    <w:adjustRightInd w:val="0"/>
                    <w:snapToGrid w:val="0"/>
                    <w:jc w:val="center"/>
                    <w:rPr>
                      <w:b/>
                      <w:bCs/>
                      <w:szCs w:val="21"/>
                    </w:rPr>
                  </w:pPr>
                  <w:r>
                    <w:rPr>
                      <w:rFonts w:hint="eastAsia"/>
                      <w:b/>
                      <w:bCs/>
                      <w:szCs w:val="21"/>
                    </w:rPr>
                    <w:t>解放路厂区</w:t>
                  </w:r>
                </w:p>
              </w:tc>
            </w:tr>
            <w:tr w14:paraId="520ACDB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709" w:type="dxa"/>
                  <w:tcBorders>
                    <w:tl2br w:val="nil"/>
                    <w:tr2bl w:val="nil"/>
                  </w:tcBorders>
                  <w:vAlign w:val="center"/>
                </w:tcPr>
                <w:p w14:paraId="520ACDAD">
                  <w:pPr>
                    <w:adjustRightInd w:val="0"/>
                    <w:snapToGrid w:val="0"/>
                    <w:jc w:val="center"/>
                    <w:rPr>
                      <w:szCs w:val="21"/>
                    </w:rPr>
                  </w:pPr>
                  <w:r>
                    <w:rPr>
                      <w:rFonts w:hint="eastAsia"/>
                      <w:szCs w:val="21"/>
                    </w:rPr>
                    <w:t>1</w:t>
                  </w:r>
                </w:p>
              </w:tc>
              <w:tc>
                <w:tcPr>
                  <w:tcW w:w="1134" w:type="dxa"/>
                  <w:tcBorders>
                    <w:tl2br w:val="nil"/>
                    <w:tr2bl w:val="nil"/>
                  </w:tcBorders>
                  <w:vAlign w:val="center"/>
                </w:tcPr>
                <w:p w14:paraId="520ACDAE">
                  <w:pPr>
                    <w:adjustRightInd w:val="0"/>
                    <w:snapToGrid w:val="0"/>
                    <w:jc w:val="center"/>
                    <w:rPr>
                      <w:szCs w:val="21"/>
                    </w:rPr>
                  </w:pPr>
                  <w:r>
                    <w:rPr>
                      <w:rFonts w:hint="eastAsia"/>
                      <w:szCs w:val="21"/>
                    </w:rPr>
                    <w:t>油类物质</w:t>
                  </w:r>
                </w:p>
              </w:tc>
              <w:tc>
                <w:tcPr>
                  <w:tcW w:w="1418" w:type="dxa"/>
                  <w:tcBorders>
                    <w:tl2br w:val="nil"/>
                    <w:tr2bl w:val="nil"/>
                  </w:tcBorders>
                  <w:vAlign w:val="center"/>
                </w:tcPr>
                <w:p w14:paraId="520ACDAF">
                  <w:pPr>
                    <w:adjustRightInd w:val="0"/>
                    <w:snapToGrid w:val="0"/>
                    <w:jc w:val="center"/>
                    <w:rPr>
                      <w:szCs w:val="21"/>
                    </w:rPr>
                  </w:pPr>
                  <w:r>
                    <w:rPr>
                      <w:rFonts w:hint="eastAsia"/>
                      <w:szCs w:val="21"/>
                    </w:rPr>
                    <w:t>0.34*</w:t>
                  </w:r>
                </w:p>
              </w:tc>
              <w:tc>
                <w:tcPr>
                  <w:tcW w:w="2693" w:type="dxa"/>
                  <w:tcBorders>
                    <w:tl2br w:val="nil"/>
                    <w:tr2bl w:val="nil"/>
                  </w:tcBorders>
                  <w:vAlign w:val="center"/>
                </w:tcPr>
                <w:p w14:paraId="520ACDB0">
                  <w:pPr>
                    <w:adjustRightInd w:val="0"/>
                    <w:snapToGrid w:val="0"/>
                    <w:jc w:val="center"/>
                    <w:rPr>
                      <w:szCs w:val="21"/>
                    </w:rPr>
                  </w:pPr>
                  <w:r>
                    <w:rPr>
                      <w:rFonts w:hint="eastAsia"/>
                      <w:szCs w:val="21"/>
                    </w:rPr>
                    <w:t>4</w:t>
                  </w:r>
                </w:p>
              </w:tc>
              <w:tc>
                <w:tcPr>
                  <w:tcW w:w="2181" w:type="dxa"/>
                  <w:tcBorders>
                    <w:tl2br w:val="nil"/>
                    <w:tr2bl w:val="nil"/>
                  </w:tcBorders>
                  <w:vAlign w:val="center"/>
                </w:tcPr>
                <w:p w14:paraId="520ACDB1">
                  <w:pPr>
                    <w:adjustRightInd w:val="0"/>
                    <w:snapToGrid w:val="0"/>
                    <w:jc w:val="center"/>
                    <w:rPr>
                      <w:szCs w:val="21"/>
                    </w:rPr>
                  </w:pPr>
                  <w:r>
                    <w:rPr>
                      <w:rFonts w:hint="eastAsia"/>
                      <w:szCs w:val="21"/>
                    </w:rPr>
                    <w:t>4</w:t>
                  </w:r>
                </w:p>
              </w:tc>
            </w:tr>
            <w:tr w14:paraId="520ACDB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135" w:type="dxa"/>
                  <w:gridSpan w:val="5"/>
                  <w:tcBorders>
                    <w:tl2br w:val="nil"/>
                    <w:tr2bl w:val="nil"/>
                  </w:tcBorders>
                  <w:vAlign w:val="center"/>
                </w:tcPr>
                <w:p w14:paraId="520ACDB3">
                  <w:pPr>
                    <w:adjustRightInd w:val="0"/>
                    <w:snapToGrid w:val="0"/>
                    <w:rPr>
                      <w:rFonts w:eastAsia="黑体"/>
                      <w:szCs w:val="21"/>
                    </w:rPr>
                  </w:pPr>
                  <w:r>
                    <w:rPr>
                      <w:rFonts w:eastAsia="黑体"/>
                      <w:szCs w:val="21"/>
                    </w:rPr>
                    <w:t>注：</w:t>
                  </w:r>
                  <w:r>
                    <w:rPr>
                      <w:rFonts w:hint="eastAsia" w:eastAsia="黑体"/>
                      <w:szCs w:val="21"/>
                    </w:rPr>
                    <w:t>（1）本项目最大暂存量详细情况见下表。</w:t>
                  </w:r>
                </w:p>
                <w:p w14:paraId="520ACDB4">
                  <w:pPr>
                    <w:adjustRightInd w:val="0"/>
                    <w:snapToGrid w:val="0"/>
                    <w:rPr>
                      <w:rFonts w:eastAsia="黑体"/>
                      <w:szCs w:val="21"/>
                    </w:rPr>
                  </w:pPr>
                  <w:r>
                    <w:rPr>
                      <w:rFonts w:hint="eastAsia" w:eastAsia="黑体"/>
                      <w:szCs w:val="21"/>
                    </w:rPr>
                    <w:t>（2）</w:t>
                  </w:r>
                  <w:r>
                    <w:rPr>
                      <w:rFonts w:eastAsia="黑体"/>
                      <w:szCs w:val="21"/>
                    </w:rPr>
                    <w:t>现有工程风险物质种类包含本项目风险物质</w:t>
                  </w:r>
                  <w:r>
                    <w:rPr>
                      <w:rFonts w:hint="eastAsia" w:eastAsia="黑体"/>
                      <w:szCs w:val="21"/>
                    </w:rPr>
                    <w:t>，</w:t>
                  </w:r>
                  <w:r>
                    <w:rPr>
                      <w:rFonts w:eastAsia="黑体"/>
                      <w:szCs w:val="21"/>
                    </w:rPr>
                    <w:t>厂区内风险物质最大储存量不增加，因此本项目建成后厂区风险物质最大储存量即为现有工程风险物质最大储存量。</w:t>
                  </w:r>
                </w:p>
              </w:tc>
            </w:tr>
          </w:tbl>
          <w:p w14:paraId="520ACDB6">
            <w:pPr>
              <w:spacing w:line="460" w:lineRule="exact"/>
              <w:ind w:firstLine="480" w:firstLineChars="200"/>
              <w:rPr>
                <w:sz w:val="24"/>
              </w:rPr>
            </w:pPr>
            <w:r>
              <w:rPr>
                <w:rFonts w:eastAsia="黑体"/>
                <w:sz w:val="24"/>
              </w:rPr>
              <w:t>表</w:t>
            </w:r>
            <w:r>
              <w:rPr>
                <w:rFonts w:hint="eastAsia" w:eastAsia="黑体"/>
                <w:sz w:val="24"/>
              </w:rPr>
              <w:t>80</w:t>
            </w:r>
            <w:r>
              <w:rPr>
                <w:rFonts w:eastAsia="黑体"/>
                <w:sz w:val="24"/>
              </w:rPr>
              <w:t xml:space="preserve"> </w:t>
            </w:r>
            <w:r>
              <w:rPr>
                <w:rFonts w:hint="eastAsia" w:eastAsia="黑体"/>
                <w:sz w:val="24"/>
              </w:rPr>
              <w:t xml:space="preserve"> </w:t>
            </w:r>
            <w:r>
              <w:rPr>
                <w:rFonts w:eastAsia="黑体"/>
                <w:sz w:val="24"/>
              </w:rPr>
              <w:t xml:space="preserve">  </w:t>
            </w:r>
            <w:r>
              <w:rPr>
                <w:rFonts w:hint="eastAsia" w:eastAsia="黑体"/>
                <w:sz w:val="24"/>
              </w:rPr>
              <w:t>本项目</w:t>
            </w:r>
            <w:r>
              <w:rPr>
                <w:rFonts w:eastAsia="黑体"/>
                <w:sz w:val="24"/>
              </w:rPr>
              <w:t>风险物质</w:t>
            </w:r>
            <w:r>
              <w:rPr>
                <w:rFonts w:hint="eastAsia" w:eastAsia="黑体"/>
                <w:sz w:val="24"/>
              </w:rPr>
              <w:t>最大暂存量详情一览表</w:t>
            </w:r>
          </w:p>
          <w:tbl>
            <w:tblPr>
              <w:tblStyle w:val="18"/>
              <w:tblpPr w:leftFromText="180" w:rightFromText="180" w:vertAnchor="text" w:tblpXSpec="center" w:tblpY="1"/>
              <w:tblOverlap w:val="never"/>
              <w:tblW w:w="5000" w:type="pct"/>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709"/>
              <w:gridCol w:w="1134"/>
              <w:gridCol w:w="1134"/>
              <w:gridCol w:w="1418"/>
              <w:gridCol w:w="70"/>
              <w:gridCol w:w="1489"/>
              <w:gridCol w:w="2181"/>
            </w:tblGrid>
            <w:tr w14:paraId="520ACDB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8135" w:type="dxa"/>
                  <w:gridSpan w:val="7"/>
                  <w:tcBorders>
                    <w:tl2br w:val="nil"/>
                    <w:tr2bl w:val="nil"/>
                  </w:tcBorders>
                  <w:vAlign w:val="center"/>
                </w:tcPr>
                <w:p w14:paraId="520ACDB7">
                  <w:pPr>
                    <w:adjustRightInd w:val="0"/>
                    <w:snapToGrid w:val="0"/>
                    <w:jc w:val="center"/>
                    <w:rPr>
                      <w:b/>
                      <w:bCs/>
                      <w:szCs w:val="21"/>
                    </w:rPr>
                  </w:pPr>
                  <w:r>
                    <w:rPr>
                      <w:rFonts w:hint="eastAsia"/>
                      <w:b/>
                      <w:bCs/>
                      <w:szCs w:val="21"/>
                    </w:rPr>
                    <w:t>建设路厂区</w:t>
                  </w:r>
                </w:p>
              </w:tc>
            </w:tr>
            <w:tr w14:paraId="520ACDB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8135" w:type="dxa"/>
                  <w:gridSpan w:val="7"/>
                  <w:tcBorders>
                    <w:tl2br w:val="nil"/>
                    <w:tr2bl w:val="nil"/>
                  </w:tcBorders>
                  <w:vAlign w:val="center"/>
                </w:tcPr>
                <w:p w14:paraId="520ACDB9">
                  <w:pPr>
                    <w:adjustRightInd w:val="0"/>
                    <w:snapToGrid w:val="0"/>
                    <w:jc w:val="center"/>
                    <w:rPr>
                      <w:b/>
                      <w:bCs/>
                      <w:szCs w:val="21"/>
                    </w:rPr>
                  </w:pPr>
                  <w:r>
                    <w:rPr>
                      <w:rFonts w:hint="eastAsia"/>
                      <w:b/>
                      <w:bCs/>
                      <w:szCs w:val="21"/>
                    </w:rPr>
                    <w:t>原料</w:t>
                  </w:r>
                </w:p>
              </w:tc>
            </w:tr>
            <w:tr w14:paraId="520ACDC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DBB">
                  <w:pPr>
                    <w:adjustRightInd w:val="0"/>
                    <w:snapToGrid w:val="0"/>
                    <w:jc w:val="center"/>
                    <w:rPr>
                      <w:b/>
                      <w:bCs/>
                      <w:szCs w:val="21"/>
                    </w:rPr>
                  </w:pPr>
                  <w:r>
                    <w:rPr>
                      <w:b/>
                      <w:bCs/>
                      <w:szCs w:val="21"/>
                    </w:rPr>
                    <w:t>序号</w:t>
                  </w:r>
                </w:p>
              </w:tc>
              <w:tc>
                <w:tcPr>
                  <w:tcW w:w="1134" w:type="dxa"/>
                  <w:tcBorders>
                    <w:tl2br w:val="nil"/>
                    <w:tr2bl w:val="nil"/>
                  </w:tcBorders>
                  <w:vAlign w:val="center"/>
                </w:tcPr>
                <w:p w14:paraId="520ACDBC">
                  <w:pPr>
                    <w:adjustRightInd w:val="0"/>
                    <w:snapToGrid w:val="0"/>
                    <w:jc w:val="center"/>
                    <w:rPr>
                      <w:b/>
                      <w:bCs/>
                      <w:szCs w:val="21"/>
                    </w:rPr>
                  </w:pPr>
                  <w:r>
                    <w:rPr>
                      <w:b/>
                      <w:bCs/>
                      <w:szCs w:val="21"/>
                    </w:rPr>
                    <w:t>物质名称</w:t>
                  </w:r>
                </w:p>
              </w:tc>
              <w:tc>
                <w:tcPr>
                  <w:tcW w:w="1134" w:type="dxa"/>
                  <w:tcBorders>
                    <w:tl2br w:val="nil"/>
                    <w:tr2bl w:val="nil"/>
                  </w:tcBorders>
                  <w:vAlign w:val="center"/>
                </w:tcPr>
                <w:p w14:paraId="520ACDBD">
                  <w:pPr>
                    <w:adjustRightInd w:val="0"/>
                    <w:snapToGrid w:val="0"/>
                    <w:jc w:val="center"/>
                    <w:rPr>
                      <w:b/>
                      <w:bCs/>
                      <w:szCs w:val="21"/>
                    </w:rPr>
                  </w:pPr>
                  <w:r>
                    <w:rPr>
                      <w:rFonts w:hint="eastAsia" w:cs="宋体"/>
                      <w:b/>
                      <w:szCs w:val="20"/>
                    </w:rPr>
                    <w:t>用量t/a</w:t>
                  </w:r>
                </w:p>
              </w:tc>
              <w:tc>
                <w:tcPr>
                  <w:tcW w:w="2977" w:type="dxa"/>
                  <w:gridSpan w:val="3"/>
                  <w:tcBorders>
                    <w:tl2br w:val="nil"/>
                    <w:tr2bl w:val="nil"/>
                  </w:tcBorders>
                  <w:vAlign w:val="center"/>
                </w:tcPr>
                <w:p w14:paraId="520ACDBE">
                  <w:pPr>
                    <w:adjustRightInd w:val="0"/>
                    <w:snapToGrid w:val="0"/>
                    <w:jc w:val="center"/>
                    <w:rPr>
                      <w:b/>
                      <w:bCs/>
                      <w:szCs w:val="21"/>
                    </w:rPr>
                  </w:pPr>
                  <w:r>
                    <w:rPr>
                      <w:rFonts w:hint="eastAsia"/>
                      <w:b/>
                      <w:bCs/>
                      <w:szCs w:val="21"/>
                    </w:rPr>
                    <w:t>更换频次</w:t>
                  </w:r>
                </w:p>
              </w:tc>
              <w:tc>
                <w:tcPr>
                  <w:tcW w:w="2181" w:type="dxa"/>
                  <w:tcBorders>
                    <w:tl2br w:val="nil"/>
                    <w:tr2bl w:val="nil"/>
                  </w:tcBorders>
                  <w:vAlign w:val="center"/>
                </w:tcPr>
                <w:p w14:paraId="520ACDBF">
                  <w:pPr>
                    <w:adjustRightInd w:val="0"/>
                    <w:snapToGrid w:val="0"/>
                    <w:jc w:val="center"/>
                    <w:rPr>
                      <w:b/>
                      <w:bCs/>
                      <w:szCs w:val="21"/>
                    </w:rPr>
                  </w:pPr>
                  <w:r>
                    <w:rPr>
                      <w:rFonts w:hint="eastAsia"/>
                      <w:b/>
                      <w:bCs/>
                      <w:szCs w:val="21"/>
                    </w:rPr>
                    <w:t>在线量（t）</w:t>
                  </w:r>
                </w:p>
              </w:tc>
            </w:tr>
            <w:tr w14:paraId="520ACDC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DC1">
                  <w:pPr>
                    <w:adjustRightInd w:val="0"/>
                    <w:snapToGrid w:val="0"/>
                    <w:jc w:val="center"/>
                    <w:rPr>
                      <w:szCs w:val="21"/>
                    </w:rPr>
                  </w:pPr>
                  <w:r>
                    <w:rPr>
                      <w:szCs w:val="21"/>
                    </w:rPr>
                    <w:t>1</w:t>
                  </w:r>
                </w:p>
              </w:tc>
              <w:tc>
                <w:tcPr>
                  <w:tcW w:w="1134" w:type="dxa"/>
                  <w:tcBorders>
                    <w:tl2br w:val="nil"/>
                    <w:tr2bl w:val="nil"/>
                  </w:tcBorders>
                  <w:vAlign w:val="center"/>
                </w:tcPr>
                <w:p w14:paraId="520ACDC2">
                  <w:pPr>
                    <w:adjustRightInd w:val="0"/>
                    <w:snapToGrid w:val="0"/>
                    <w:jc w:val="center"/>
                    <w:rPr>
                      <w:szCs w:val="21"/>
                    </w:rPr>
                  </w:pPr>
                  <w:r>
                    <w:rPr>
                      <w:rFonts w:hint="eastAsia"/>
                      <w:szCs w:val="21"/>
                    </w:rPr>
                    <w:t>切削液</w:t>
                  </w:r>
                </w:p>
              </w:tc>
              <w:tc>
                <w:tcPr>
                  <w:tcW w:w="1134" w:type="dxa"/>
                  <w:tcBorders>
                    <w:tl2br w:val="nil"/>
                    <w:tr2bl w:val="nil"/>
                  </w:tcBorders>
                  <w:vAlign w:val="center"/>
                </w:tcPr>
                <w:p w14:paraId="520ACDC3">
                  <w:pPr>
                    <w:adjustRightInd w:val="0"/>
                    <w:snapToGrid w:val="0"/>
                    <w:jc w:val="center"/>
                    <w:rPr>
                      <w:szCs w:val="21"/>
                    </w:rPr>
                  </w:pPr>
                  <w:r>
                    <w:rPr>
                      <w:rFonts w:hint="eastAsia"/>
                      <w:szCs w:val="21"/>
                    </w:rPr>
                    <w:t>0.01455</w:t>
                  </w:r>
                </w:p>
              </w:tc>
              <w:tc>
                <w:tcPr>
                  <w:tcW w:w="2977" w:type="dxa"/>
                  <w:gridSpan w:val="3"/>
                  <w:tcBorders>
                    <w:tl2br w:val="nil"/>
                    <w:tr2bl w:val="nil"/>
                  </w:tcBorders>
                  <w:vAlign w:val="center"/>
                </w:tcPr>
                <w:p w14:paraId="520ACDC4">
                  <w:pPr>
                    <w:adjustRightInd w:val="0"/>
                    <w:snapToGrid w:val="0"/>
                    <w:jc w:val="center"/>
                    <w:rPr>
                      <w:szCs w:val="21"/>
                    </w:rPr>
                  </w:pPr>
                  <w:r>
                    <w:rPr>
                      <w:rFonts w:hint="eastAsia"/>
                      <w:szCs w:val="21"/>
                    </w:rPr>
                    <w:t>1年</w:t>
                  </w:r>
                </w:p>
              </w:tc>
              <w:tc>
                <w:tcPr>
                  <w:tcW w:w="2181" w:type="dxa"/>
                  <w:tcBorders>
                    <w:tl2br w:val="nil"/>
                    <w:tr2bl w:val="nil"/>
                  </w:tcBorders>
                  <w:vAlign w:val="center"/>
                </w:tcPr>
                <w:p w14:paraId="520ACDC5">
                  <w:pPr>
                    <w:adjustRightInd w:val="0"/>
                    <w:snapToGrid w:val="0"/>
                    <w:jc w:val="center"/>
                    <w:rPr>
                      <w:szCs w:val="21"/>
                    </w:rPr>
                  </w:pPr>
                  <w:r>
                    <w:rPr>
                      <w:rFonts w:hint="eastAsia"/>
                      <w:szCs w:val="21"/>
                    </w:rPr>
                    <w:t>0.01455</w:t>
                  </w:r>
                </w:p>
              </w:tc>
            </w:tr>
            <w:tr w14:paraId="520ACDC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DC7">
                  <w:pPr>
                    <w:adjustRightInd w:val="0"/>
                    <w:snapToGrid w:val="0"/>
                    <w:jc w:val="center"/>
                    <w:rPr>
                      <w:szCs w:val="21"/>
                    </w:rPr>
                  </w:pPr>
                  <w:r>
                    <w:rPr>
                      <w:rFonts w:hint="eastAsia"/>
                      <w:szCs w:val="21"/>
                    </w:rPr>
                    <w:t>2</w:t>
                  </w:r>
                </w:p>
              </w:tc>
              <w:tc>
                <w:tcPr>
                  <w:tcW w:w="1134" w:type="dxa"/>
                  <w:tcBorders>
                    <w:tl2br w:val="nil"/>
                    <w:tr2bl w:val="nil"/>
                  </w:tcBorders>
                  <w:vAlign w:val="center"/>
                </w:tcPr>
                <w:p w14:paraId="520ACDC8">
                  <w:pPr>
                    <w:adjustRightInd w:val="0"/>
                    <w:snapToGrid w:val="0"/>
                    <w:jc w:val="center"/>
                    <w:rPr>
                      <w:szCs w:val="21"/>
                    </w:rPr>
                  </w:pPr>
                  <w:r>
                    <w:rPr>
                      <w:rFonts w:hint="eastAsia"/>
                      <w:szCs w:val="21"/>
                    </w:rPr>
                    <w:t>15#航空液压油</w:t>
                  </w:r>
                </w:p>
              </w:tc>
              <w:tc>
                <w:tcPr>
                  <w:tcW w:w="1134" w:type="dxa"/>
                  <w:tcBorders>
                    <w:tl2br w:val="nil"/>
                    <w:tr2bl w:val="nil"/>
                  </w:tcBorders>
                  <w:vAlign w:val="center"/>
                </w:tcPr>
                <w:p w14:paraId="520ACDC9">
                  <w:pPr>
                    <w:adjustRightInd w:val="0"/>
                    <w:snapToGrid w:val="0"/>
                    <w:jc w:val="center"/>
                    <w:rPr>
                      <w:szCs w:val="21"/>
                    </w:rPr>
                  </w:pPr>
                  <w:r>
                    <w:rPr>
                      <w:rFonts w:hint="eastAsia"/>
                      <w:szCs w:val="21"/>
                    </w:rPr>
                    <w:t>0.08</w:t>
                  </w:r>
                </w:p>
              </w:tc>
              <w:tc>
                <w:tcPr>
                  <w:tcW w:w="2977" w:type="dxa"/>
                  <w:gridSpan w:val="3"/>
                  <w:tcBorders>
                    <w:tl2br w:val="nil"/>
                    <w:tr2bl w:val="nil"/>
                  </w:tcBorders>
                  <w:vAlign w:val="center"/>
                </w:tcPr>
                <w:p w14:paraId="520ACDCA">
                  <w:pPr>
                    <w:adjustRightInd w:val="0"/>
                    <w:snapToGrid w:val="0"/>
                    <w:jc w:val="center"/>
                    <w:rPr>
                      <w:szCs w:val="21"/>
                    </w:rPr>
                  </w:pPr>
                  <w:r>
                    <w:rPr>
                      <w:rFonts w:hint="eastAsia"/>
                      <w:szCs w:val="21"/>
                    </w:rPr>
                    <w:t>半年</w:t>
                  </w:r>
                </w:p>
              </w:tc>
              <w:tc>
                <w:tcPr>
                  <w:tcW w:w="2181" w:type="dxa"/>
                  <w:tcBorders>
                    <w:tl2br w:val="nil"/>
                    <w:tr2bl w:val="nil"/>
                  </w:tcBorders>
                  <w:vAlign w:val="center"/>
                </w:tcPr>
                <w:p w14:paraId="520ACDCB">
                  <w:pPr>
                    <w:adjustRightInd w:val="0"/>
                    <w:snapToGrid w:val="0"/>
                    <w:jc w:val="center"/>
                    <w:rPr>
                      <w:szCs w:val="21"/>
                    </w:rPr>
                  </w:pPr>
                  <w:r>
                    <w:rPr>
                      <w:rFonts w:hint="eastAsia"/>
                      <w:szCs w:val="21"/>
                    </w:rPr>
                    <w:t>0.04</w:t>
                  </w:r>
                </w:p>
              </w:tc>
            </w:tr>
            <w:tr w14:paraId="520ACDD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DCD">
                  <w:pPr>
                    <w:adjustRightInd w:val="0"/>
                    <w:snapToGrid w:val="0"/>
                    <w:jc w:val="center"/>
                    <w:rPr>
                      <w:szCs w:val="21"/>
                    </w:rPr>
                  </w:pPr>
                  <w:r>
                    <w:rPr>
                      <w:rFonts w:hint="eastAsia"/>
                      <w:szCs w:val="21"/>
                    </w:rPr>
                    <w:t>3</w:t>
                  </w:r>
                </w:p>
              </w:tc>
              <w:tc>
                <w:tcPr>
                  <w:tcW w:w="1134" w:type="dxa"/>
                  <w:tcBorders>
                    <w:tl2br w:val="nil"/>
                    <w:tr2bl w:val="nil"/>
                  </w:tcBorders>
                  <w:vAlign w:val="center"/>
                </w:tcPr>
                <w:p w14:paraId="520ACDCE">
                  <w:pPr>
                    <w:adjustRightInd w:val="0"/>
                    <w:snapToGrid w:val="0"/>
                    <w:jc w:val="center"/>
                    <w:rPr>
                      <w:szCs w:val="21"/>
                    </w:rPr>
                  </w:pPr>
                  <w:r>
                    <w:rPr>
                      <w:rFonts w:hint="eastAsia"/>
                      <w:szCs w:val="21"/>
                    </w:rPr>
                    <w:t>滑油</w:t>
                  </w:r>
                </w:p>
              </w:tc>
              <w:tc>
                <w:tcPr>
                  <w:tcW w:w="1134" w:type="dxa"/>
                  <w:tcBorders>
                    <w:tl2br w:val="nil"/>
                    <w:tr2bl w:val="nil"/>
                  </w:tcBorders>
                  <w:vAlign w:val="center"/>
                </w:tcPr>
                <w:p w14:paraId="520ACDCF">
                  <w:pPr>
                    <w:adjustRightInd w:val="0"/>
                    <w:snapToGrid w:val="0"/>
                    <w:jc w:val="center"/>
                    <w:rPr>
                      <w:szCs w:val="21"/>
                    </w:rPr>
                  </w:pPr>
                  <w:r>
                    <w:rPr>
                      <w:rFonts w:hint="eastAsia"/>
                      <w:szCs w:val="21"/>
                    </w:rPr>
                    <w:t>0.5</w:t>
                  </w:r>
                </w:p>
              </w:tc>
              <w:tc>
                <w:tcPr>
                  <w:tcW w:w="2977" w:type="dxa"/>
                  <w:gridSpan w:val="3"/>
                  <w:tcBorders>
                    <w:tl2br w:val="nil"/>
                    <w:tr2bl w:val="nil"/>
                  </w:tcBorders>
                  <w:vAlign w:val="center"/>
                </w:tcPr>
                <w:p w14:paraId="520ACDD0">
                  <w:pPr>
                    <w:adjustRightInd w:val="0"/>
                    <w:snapToGrid w:val="0"/>
                    <w:jc w:val="center"/>
                    <w:rPr>
                      <w:szCs w:val="21"/>
                    </w:rPr>
                  </w:pPr>
                  <w:r>
                    <w:rPr>
                      <w:rFonts w:hint="eastAsia"/>
                      <w:szCs w:val="21"/>
                    </w:rPr>
                    <w:t>3个月</w:t>
                  </w:r>
                </w:p>
              </w:tc>
              <w:tc>
                <w:tcPr>
                  <w:tcW w:w="2181" w:type="dxa"/>
                  <w:tcBorders>
                    <w:tl2br w:val="nil"/>
                    <w:tr2bl w:val="nil"/>
                  </w:tcBorders>
                  <w:vAlign w:val="center"/>
                </w:tcPr>
                <w:p w14:paraId="520ACDD1">
                  <w:pPr>
                    <w:adjustRightInd w:val="0"/>
                    <w:snapToGrid w:val="0"/>
                    <w:jc w:val="center"/>
                    <w:rPr>
                      <w:szCs w:val="21"/>
                    </w:rPr>
                  </w:pPr>
                  <w:r>
                    <w:rPr>
                      <w:rFonts w:hint="eastAsia"/>
                      <w:szCs w:val="21"/>
                    </w:rPr>
                    <w:t>0.1667</w:t>
                  </w:r>
                </w:p>
              </w:tc>
            </w:tr>
            <w:tr w14:paraId="520ACDD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DD3">
                  <w:pPr>
                    <w:adjustRightInd w:val="0"/>
                    <w:snapToGrid w:val="0"/>
                    <w:jc w:val="center"/>
                    <w:rPr>
                      <w:szCs w:val="21"/>
                    </w:rPr>
                  </w:pPr>
                  <w:r>
                    <w:rPr>
                      <w:rFonts w:hint="eastAsia"/>
                      <w:szCs w:val="21"/>
                    </w:rPr>
                    <w:t>合计</w:t>
                  </w:r>
                </w:p>
              </w:tc>
              <w:tc>
                <w:tcPr>
                  <w:tcW w:w="5245" w:type="dxa"/>
                  <w:gridSpan w:val="5"/>
                  <w:tcBorders>
                    <w:tl2br w:val="nil"/>
                    <w:tr2bl w:val="nil"/>
                  </w:tcBorders>
                  <w:vAlign w:val="center"/>
                </w:tcPr>
                <w:p w14:paraId="520ACDD4">
                  <w:pPr>
                    <w:adjustRightInd w:val="0"/>
                    <w:snapToGrid w:val="0"/>
                    <w:jc w:val="center"/>
                    <w:rPr>
                      <w:szCs w:val="21"/>
                    </w:rPr>
                  </w:pPr>
                  <w:r>
                    <w:rPr>
                      <w:rFonts w:hint="eastAsia"/>
                      <w:szCs w:val="21"/>
                    </w:rPr>
                    <w:t>/</w:t>
                  </w:r>
                </w:p>
              </w:tc>
              <w:tc>
                <w:tcPr>
                  <w:tcW w:w="2181" w:type="dxa"/>
                  <w:tcBorders>
                    <w:tl2br w:val="nil"/>
                    <w:tr2bl w:val="nil"/>
                  </w:tcBorders>
                  <w:vAlign w:val="center"/>
                </w:tcPr>
                <w:p w14:paraId="520ACDD5">
                  <w:pPr>
                    <w:adjustRightInd w:val="0"/>
                    <w:snapToGrid w:val="0"/>
                    <w:jc w:val="center"/>
                    <w:rPr>
                      <w:szCs w:val="21"/>
                    </w:rPr>
                  </w:pPr>
                  <w:r>
                    <w:rPr>
                      <w:rFonts w:hint="eastAsia"/>
                      <w:szCs w:val="21"/>
                    </w:rPr>
                    <w:t>0.22125</w:t>
                  </w:r>
                </w:p>
              </w:tc>
            </w:tr>
            <w:tr w14:paraId="520ACDD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8135" w:type="dxa"/>
                  <w:gridSpan w:val="7"/>
                  <w:tcBorders>
                    <w:tl2br w:val="nil"/>
                    <w:tr2bl w:val="nil"/>
                  </w:tcBorders>
                  <w:vAlign w:val="center"/>
                </w:tcPr>
                <w:p w14:paraId="520ACDD7">
                  <w:pPr>
                    <w:adjustRightInd w:val="0"/>
                    <w:snapToGrid w:val="0"/>
                    <w:jc w:val="center"/>
                    <w:rPr>
                      <w:b/>
                      <w:bCs/>
                      <w:szCs w:val="21"/>
                    </w:rPr>
                  </w:pPr>
                  <w:r>
                    <w:rPr>
                      <w:rFonts w:hint="eastAsia"/>
                      <w:b/>
                      <w:bCs/>
                      <w:szCs w:val="21"/>
                    </w:rPr>
                    <w:t>危险废物</w:t>
                  </w:r>
                </w:p>
              </w:tc>
            </w:tr>
            <w:tr w14:paraId="520ACDD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DD9">
                  <w:pPr>
                    <w:adjustRightInd w:val="0"/>
                    <w:snapToGrid w:val="0"/>
                    <w:jc w:val="center"/>
                    <w:rPr>
                      <w:b/>
                      <w:bCs/>
                      <w:szCs w:val="21"/>
                    </w:rPr>
                  </w:pPr>
                  <w:r>
                    <w:rPr>
                      <w:rFonts w:hint="eastAsia"/>
                      <w:b/>
                      <w:bCs/>
                      <w:szCs w:val="21"/>
                    </w:rPr>
                    <w:t>序号</w:t>
                  </w:r>
                </w:p>
              </w:tc>
              <w:tc>
                <w:tcPr>
                  <w:tcW w:w="1134" w:type="dxa"/>
                  <w:tcBorders>
                    <w:tl2br w:val="nil"/>
                    <w:tr2bl w:val="nil"/>
                  </w:tcBorders>
                  <w:vAlign w:val="center"/>
                </w:tcPr>
                <w:p w14:paraId="520ACDDA">
                  <w:pPr>
                    <w:adjustRightInd w:val="0"/>
                    <w:snapToGrid w:val="0"/>
                    <w:jc w:val="center"/>
                    <w:rPr>
                      <w:szCs w:val="21"/>
                    </w:rPr>
                  </w:pPr>
                  <w:r>
                    <w:rPr>
                      <w:b/>
                      <w:bCs/>
                      <w:szCs w:val="21"/>
                    </w:rPr>
                    <w:t>物质名称</w:t>
                  </w:r>
                </w:p>
              </w:tc>
              <w:tc>
                <w:tcPr>
                  <w:tcW w:w="1134" w:type="dxa"/>
                  <w:tcBorders>
                    <w:tl2br w:val="nil"/>
                    <w:tr2bl w:val="nil"/>
                  </w:tcBorders>
                  <w:vAlign w:val="center"/>
                </w:tcPr>
                <w:p w14:paraId="520ACDDB">
                  <w:pPr>
                    <w:adjustRightInd w:val="0"/>
                    <w:snapToGrid w:val="0"/>
                    <w:jc w:val="center"/>
                    <w:rPr>
                      <w:b/>
                      <w:bCs/>
                      <w:szCs w:val="21"/>
                    </w:rPr>
                  </w:pPr>
                  <w:r>
                    <w:rPr>
                      <w:rFonts w:hint="eastAsia"/>
                      <w:b/>
                      <w:bCs/>
                      <w:szCs w:val="21"/>
                    </w:rPr>
                    <w:t>产生量t/a</w:t>
                  </w:r>
                </w:p>
              </w:tc>
              <w:tc>
                <w:tcPr>
                  <w:tcW w:w="1418" w:type="dxa"/>
                  <w:tcBorders>
                    <w:tl2br w:val="nil"/>
                    <w:tr2bl w:val="nil"/>
                  </w:tcBorders>
                  <w:vAlign w:val="center"/>
                </w:tcPr>
                <w:p w14:paraId="520ACDDC">
                  <w:pPr>
                    <w:adjustRightInd w:val="0"/>
                    <w:snapToGrid w:val="0"/>
                    <w:jc w:val="center"/>
                    <w:rPr>
                      <w:b/>
                      <w:bCs/>
                      <w:szCs w:val="21"/>
                    </w:rPr>
                  </w:pPr>
                  <w:r>
                    <w:rPr>
                      <w:rFonts w:hint="eastAsia"/>
                      <w:b/>
                      <w:bCs/>
                      <w:szCs w:val="21"/>
                    </w:rPr>
                    <w:t>产废周期</w:t>
                  </w:r>
                </w:p>
              </w:tc>
              <w:tc>
                <w:tcPr>
                  <w:tcW w:w="1559" w:type="dxa"/>
                  <w:gridSpan w:val="2"/>
                  <w:tcBorders>
                    <w:tl2br w:val="nil"/>
                    <w:tr2bl w:val="nil"/>
                  </w:tcBorders>
                  <w:vAlign w:val="center"/>
                </w:tcPr>
                <w:p w14:paraId="520ACDDD">
                  <w:pPr>
                    <w:adjustRightInd w:val="0"/>
                    <w:snapToGrid w:val="0"/>
                    <w:jc w:val="center"/>
                    <w:rPr>
                      <w:b/>
                      <w:bCs/>
                      <w:szCs w:val="21"/>
                    </w:rPr>
                  </w:pPr>
                  <w:r>
                    <w:rPr>
                      <w:rFonts w:hint="eastAsia"/>
                      <w:b/>
                      <w:bCs/>
                      <w:szCs w:val="21"/>
                    </w:rPr>
                    <w:t>贮存周期</w:t>
                  </w:r>
                </w:p>
              </w:tc>
              <w:tc>
                <w:tcPr>
                  <w:tcW w:w="2181" w:type="dxa"/>
                  <w:tcBorders>
                    <w:tl2br w:val="nil"/>
                    <w:tr2bl w:val="nil"/>
                  </w:tcBorders>
                  <w:vAlign w:val="center"/>
                </w:tcPr>
                <w:p w14:paraId="520ACDDE">
                  <w:pPr>
                    <w:adjustRightInd w:val="0"/>
                    <w:snapToGrid w:val="0"/>
                    <w:jc w:val="center"/>
                    <w:rPr>
                      <w:b/>
                      <w:bCs/>
                      <w:szCs w:val="21"/>
                    </w:rPr>
                  </w:pPr>
                  <w:r>
                    <w:rPr>
                      <w:rFonts w:hint="eastAsia"/>
                      <w:b/>
                      <w:bCs/>
                      <w:szCs w:val="21"/>
                    </w:rPr>
                    <w:t>产废时存在量t</w:t>
                  </w:r>
                </w:p>
              </w:tc>
            </w:tr>
            <w:tr w14:paraId="520ACDE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DE0">
                  <w:pPr>
                    <w:adjustRightInd w:val="0"/>
                    <w:snapToGrid w:val="0"/>
                    <w:jc w:val="center"/>
                    <w:rPr>
                      <w:szCs w:val="21"/>
                    </w:rPr>
                  </w:pPr>
                  <w:r>
                    <w:rPr>
                      <w:rFonts w:hint="eastAsia"/>
                      <w:szCs w:val="21"/>
                    </w:rPr>
                    <w:t>1</w:t>
                  </w:r>
                </w:p>
              </w:tc>
              <w:tc>
                <w:tcPr>
                  <w:tcW w:w="1134" w:type="dxa"/>
                  <w:tcBorders>
                    <w:tl2br w:val="nil"/>
                    <w:tr2bl w:val="nil"/>
                  </w:tcBorders>
                  <w:vAlign w:val="center"/>
                </w:tcPr>
                <w:p w14:paraId="520ACDE1">
                  <w:pPr>
                    <w:adjustRightInd w:val="0"/>
                    <w:snapToGrid w:val="0"/>
                    <w:jc w:val="center"/>
                    <w:rPr>
                      <w:szCs w:val="21"/>
                    </w:rPr>
                  </w:pPr>
                  <w:r>
                    <w:rPr>
                      <w:rFonts w:hint="eastAsia"/>
                      <w:szCs w:val="21"/>
                    </w:rPr>
                    <w:t>废切削液</w:t>
                  </w:r>
                </w:p>
              </w:tc>
              <w:tc>
                <w:tcPr>
                  <w:tcW w:w="1134" w:type="dxa"/>
                  <w:tcBorders>
                    <w:tl2br w:val="nil"/>
                    <w:tr2bl w:val="nil"/>
                  </w:tcBorders>
                  <w:vAlign w:val="center"/>
                </w:tcPr>
                <w:p w14:paraId="520ACDE2">
                  <w:pPr>
                    <w:adjustRightInd w:val="0"/>
                    <w:snapToGrid w:val="0"/>
                    <w:jc w:val="center"/>
                    <w:rPr>
                      <w:szCs w:val="21"/>
                    </w:rPr>
                  </w:pPr>
                  <w:r>
                    <w:rPr>
                      <w:rFonts w:hint="eastAsia"/>
                      <w:szCs w:val="21"/>
                    </w:rPr>
                    <w:t>0.0146</w:t>
                  </w:r>
                </w:p>
              </w:tc>
              <w:tc>
                <w:tcPr>
                  <w:tcW w:w="1418" w:type="dxa"/>
                  <w:tcBorders>
                    <w:tl2br w:val="nil"/>
                    <w:tr2bl w:val="nil"/>
                  </w:tcBorders>
                  <w:vAlign w:val="center"/>
                </w:tcPr>
                <w:p w14:paraId="520ACDE3">
                  <w:pPr>
                    <w:adjustRightInd w:val="0"/>
                    <w:snapToGrid w:val="0"/>
                    <w:jc w:val="center"/>
                    <w:rPr>
                      <w:szCs w:val="21"/>
                    </w:rPr>
                  </w:pPr>
                  <w:r>
                    <w:rPr>
                      <w:rFonts w:hint="eastAsia"/>
                      <w:szCs w:val="21"/>
                    </w:rPr>
                    <w:t>1年</w:t>
                  </w:r>
                </w:p>
              </w:tc>
              <w:tc>
                <w:tcPr>
                  <w:tcW w:w="1559" w:type="dxa"/>
                  <w:gridSpan w:val="2"/>
                  <w:vMerge w:val="restart"/>
                  <w:tcBorders>
                    <w:tl2br w:val="nil"/>
                    <w:tr2bl w:val="nil"/>
                  </w:tcBorders>
                  <w:vAlign w:val="center"/>
                </w:tcPr>
                <w:p w14:paraId="520ACDE4">
                  <w:pPr>
                    <w:adjustRightInd w:val="0"/>
                    <w:snapToGrid w:val="0"/>
                    <w:jc w:val="center"/>
                    <w:rPr>
                      <w:szCs w:val="21"/>
                    </w:rPr>
                  </w:pPr>
                  <w:r>
                    <w:rPr>
                      <w:rFonts w:hint="eastAsia"/>
                      <w:szCs w:val="21"/>
                    </w:rPr>
                    <w:t>3个月</w:t>
                  </w:r>
                </w:p>
              </w:tc>
              <w:tc>
                <w:tcPr>
                  <w:tcW w:w="2181" w:type="dxa"/>
                  <w:tcBorders>
                    <w:tl2br w:val="nil"/>
                    <w:tr2bl w:val="nil"/>
                  </w:tcBorders>
                  <w:vAlign w:val="center"/>
                </w:tcPr>
                <w:p w14:paraId="520ACDE5">
                  <w:pPr>
                    <w:adjustRightInd w:val="0"/>
                    <w:snapToGrid w:val="0"/>
                    <w:jc w:val="center"/>
                    <w:rPr>
                      <w:szCs w:val="21"/>
                    </w:rPr>
                  </w:pPr>
                  <w:r>
                    <w:rPr>
                      <w:rFonts w:hint="eastAsia"/>
                      <w:szCs w:val="21"/>
                    </w:rPr>
                    <w:t>0.0146</w:t>
                  </w:r>
                </w:p>
              </w:tc>
            </w:tr>
            <w:tr w14:paraId="520ACDE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DE7">
                  <w:pPr>
                    <w:adjustRightInd w:val="0"/>
                    <w:snapToGrid w:val="0"/>
                    <w:jc w:val="center"/>
                    <w:rPr>
                      <w:szCs w:val="21"/>
                    </w:rPr>
                  </w:pPr>
                  <w:r>
                    <w:rPr>
                      <w:rFonts w:hint="eastAsia"/>
                      <w:szCs w:val="21"/>
                    </w:rPr>
                    <w:t>2</w:t>
                  </w:r>
                </w:p>
              </w:tc>
              <w:tc>
                <w:tcPr>
                  <w:tcW w:w="1134" w:type="dxa"/>
                  <w:tcBorders>
                    <w:tl2br w:val="nil"/>
                    <w:tr2bl w:val="nil"/>
                  </w:tcBorders>
                  <w:vAlign w:val="center"/>
                </w:tcPr>
                <w:p w14:paraId="520ACDE8">
                  <w:pPr>
                    <w:adjustRightInd w:val="0"/>
                    <w:snapToGrid w:val="0"/>
                    <w:jc w:val="center"/>
                    <w:rPr>
                      <w:szCs w:val="21"/>
                    </w:rPr>
                  </w:pPr>
                  <w:r>
                    <w:rPr>
                      <w:rFonts w:hint="eastAsia"/>
                      <w:szCs w:val="21"/>
                    </w:rPr>
                    <w:t>废液压油</w:t>
                  </w:r>
                </w:p>
              </w:tc>
              <w:tc>
                <w:tcPr>
                  <w:tcW w:w="1134" w:type="dxa"/>
                  <w:tcBorders>
                    <w:tl2br w:val="nil"/>
                    <w:tr2bl w:val="nil"/>
                  </w:tcBorders>
                  <w:vAlign w:val="center"/>
                </w:tcPr>
                <w:p w14:paraId="520ACDE9">
                  <w:pPr>
                    <w:adjustRightInd w:val="0"/>
                    <w:snapToGrid w:val="0"/>
                    <w:jc w:val="center"/>
                    <w:rPr>
                      <w:szCs w:val="21"/>
                    </w:rPr>
                  </w:pPr>
                  <w:r>
                    <w:rPr>
                      <w:rFonts w:hint="eastAsia"/>
                      <w:szCs w:val="21"/>
                    </w:rPr>
                    <w:t>0.076</w:t>
                  </w:r>
                </w:p>
              </w:tc>
              <w:tc>
                <w:tcPr>
                  <w:tcW w:w="1418" w:type="dxa"/>
                  <w:tcBorders>
                    <w:tl2br w:val="nil"/>
                    <w:tr2bl w:val="nil"/>
                  </w:tcBorders>
                  <w:vAlign w:val="center"/>
                </w:tcPr>
                <w:p w14:paraId="520ACDEA">
                  <w:pPr>
                    <w:adjustRightInd w:val="0"/>
                    <w:snapToGrid w:val="0"/>
                    <w:jc w:val="center"/>
                    <w:rPr>
                      <w:szCs w:val="21"/>
                    </w:rPr>
                  </w:pPr>
                  <w:r>
                    <w:rPr>
                      <w:rFonts w:hint="eastAsia"/>
                      <w:szCs w:val="21"/>
                    </w:rPr>
                    <w:t>半年</w:t>
                  </w:r>
                </w:p>
              </w:tc>
              <w:tc>
                <w:tcPr>
                  <w:tcW w:w="1559" w:type="dxa"/>
                  <w:gridSpan w:val="2"/>
                  <w:vMerge w:val="continue"/>
                  <w:tcBorders>
                    <w:tl2br w:val="nil"/>
                    <w:tr2bl w:val="nil"/>
                  </w:tcBorders>
                  <w:vAlign w:val="center"/>
                </w:tcPr>
                <w:p w14:paraId="520ACDEB">
                  <w:pPr>
                    <w:adjustRightInd w:val="0"/>
                    <w:snapToGrid w:val="0"/>
                    <w:jc w:val="center"/>
                    <w:rPr>
                      <w:szCs w:val="21"/>
                    </w:rPr>
                  </w:pPr>
                </w:p>
              </w:tc>
              <w:tc>
                <w:tcPr>
                  <w:tcW w:w="2181" w:type="dxa"/>
                  <w:tcBorders>
                    <w:tl2br w:val="nil"/>
                    <w:tr2bl w:val="nil"/>
                  </w:tcBorders>
                  <w:vAlign w:val="center"/>
                </w:tcPr>
                <w:p w14:paraId="520ACDEC">
                  <w:pPr>
                    <w:adjustRightInd w:val="0"/>
                    <w:snapToGrid w:val="0"/>
                    <w:jc w:val="center"/>
                    <w:rPr>
                      <w:szCs w:val="21"/>
                    </w:rPr>
                  </w:pPr>
                  <w:r>
                    <w:rPr>
                      <w:rFonts w:hint="eastAsia"/>
                      <w:szCs w:val="21"/>
                    </w:rPr>
                    <w:t>0.038</w:t>
                  </w:r>
                </w:p>
              </w:tc>
            </w:tr>
            <w:tr w14:paraId="520ACDF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DEE">
                  <w:pPr>
                    <w:adjustRightInd w:val="0"/>
                    <w:snapToGrid w:val="0"/>
                    <w:jc w:val="center"/>
                    <w:rPr>
                      <w:szCs w:val="21"/>
                    </w:rPr>
                  </w:pPr>
                  <w:r>
                    <w:rPr>
                      <w:rFonts w:hint="eastAsia"/>
                      <w:szCs w:val="21"/>
                    </w:rPr>
                    <w:t>3</w:t>
                  </w:r>
                </w:p>
              </w:tc>
              <w:tc>
                <w:tcPr>
                  <w:tcW w:w="1134" w:type="dxa"/>
                  <w:tcBorders>
                    <w:tl2br w:val="nil"/>
                    <w:tr2bl w:val="nil"/>
                  </w:tcBorders>
                  <w:vAlign w:val="center"/>
                </w:tcPr>
                <w:p w14:paraId="520ACDEF">
                  <w:pPr>
                    <w:adjustRightInd w:val="0"/>
                    <w:snapToGrid w:val="0"/>
                    <w:jc w:val="center"/>
                    <w:rPr>
                      <w:szCs w:val="21"/>
                    </w:rPr>
                  </w:pPr>
                  <w:r>
                    <w:rPr>
                      <w:rFonts w:hint="eastAsia"/>
                      <w:szCs w:val="21"/>
                    </w:rPr>
                    <w:t>废滑油</w:t>
                  </w:r>
                </w:p>
              </w:tc>
              <w:tc>
                <w:tcPr>
                  <w:tcW w:w="1134" w:type="dxa"/>
                  <w:tcBorders>
                    <w:tl2br w:val="nil"/>
                    <w:tr2bl w:val="nil"/>
                  </w:tcBorders>
                  <w:vAlign w:val="center"/>
                </w:tcPr>
                <w:p w14:paraId="520ACDF0">
                  <w:pPr>
                    <w:adjustRightInd w:val="0"/>
                    <w:snapToGrid w:val="0"/>
                    <w:jc w:val="center"/>
                    <w:rPr>
                      <w:szCs w:val="21"/>
                    </w:rPr>
                  </w:pPr>
                  <w:r>
                    <w:rPr>
                      <w:rFonts w:hint="eastAsia"/>
                      <w:szCs w:val="21"/>
                    </w:rPr>
                    <w:t>0.475</w:t>
                  </w:r>
                </w:p>
              </w:tc>
              <w:tc>
                <w:tcPr>
                  <w:tcW w:w="1418" w:type="dxa"/>
                  <w:tcBorders>
                    <w:tl2br w:val="nil"/>
                    <w:tr2bl w:val="nil"/>
                  </w:tcBorders>
                  <w:vAlign w:val="center"/>
                </w:tcPr>
                <w:p w14:paraId="520ACDF1">
                  <w:pPr>
                    <w:adjustRightInd w:val="0"/>
                    <w:snapToGrid w:val="0"/>
                    <w:jc w:val="center"/>
                    <w:rPr>
                      <w:szCs w:val="21"/>
                    </w:rPr>
                  </w:pPr>
                  <w:r>
                    <w:rPr>
                      <w:rFonts w:hint="eastAsia"/>
                      <w:szCs w:val="21"/>
                    </w:rPr>
                    <w:t>3个月</w:t>
                  </w:r>
                </w:p>
              </w:tc>
              <w:tc>
                <w:tcPr>
                  <w:tcW w:w="1559" w:type="dxa"/>
                  <w:gridSpan w:val="2"/>
                  <w:vMerge w:val="continue"/>
                  <w:tcBorders>
                    <w:tl2br w:val="nil"/>
                    <w:tr2bl w:val="nil"/>
                  </w:tcBorders>
                  <w:vAlign w:val="center"/>
                </w:tcPr>
                <w:p w14:paraId="520ACDF2">
                  <w:pPr>
                    <w:adjustRightInd w:val="0"/>
                    <w:snapToGrid w:val="0"/>
                    <w:jc w:val="center"/>
                    <w:rPr>
                      <w:szCs w:val="21"/>
                    </w:rPr>
                  </w:pPr>
                </w:p>
              </w:tc>
              <w:tc>
                <w:tcPr>
                  <w:tcW w:w="2181" w:type="dxa"/>
                  <w:tcBorders>
                    <w:tl2br w:val="nil"/>
                    <w:tr2bl w:val="nil"/>
                  </w:tcBorders>
                  <w:vAlign w:val="center"/>
                </w:tcPr>
                <w:p w14:paraId="520ACDF3">
                  <w:pPr>
                    <w:adjustRightInd w:val="0"/>
                    <w:snapToGrid w:val="0"/>
                    <w:jc w:val="center"/>
                    <w:rPr>
                      <w:szCs w:val="21"/>
                    </w:rPr>
                  </w:pPr>
                  <w:r>
                    <w:rPr>
                      <w:rFonts w:hint="eastAsia"/>
                      <w:szCs w:val="21"/>
                    </w:rPr>
                    <w:t>0.11875</w:t>
                  </w:r>
                </w:p>
              </w:tc>
            </w:tr>
            <w:tr w14:paraId="520ACDF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DF5">
                  <w:pPr>
                    <w:adjustRightInd w:val="0"/>
                    <w:snapToGrid w:val="0"/>
                    <w:jc w:val="center"/>
                    <w:rPr>
                      <w:szCs w:val="21"/>
                    </w:rPr>
                  </w:pPr>
                  <w:r>
                    <w:rPr>
                      <w:rFonts w:hint="eastAsia"/>
                      <w:szCs w:val="21"/>
                    </w:rPr>
                    <w:t>合计</w:t>
                  </w:r>
                </w:p>
              </w:tc>
              <w:tc>
                <w:tcPr>
                  <w:tcW w:w="5245" w:type="dxa"/>
                  <w:gridSpan w:val="5"/>
                  <w:tcBorders>
                    <w:tl2br w:val="nil"/>
                    <w:tr2bl w:val="nil"/>
                  </w:tcBorders>
                  <w:vAlign w:val="center"/>
                </w:tcPr>
                <w:p w14:paraId="520ACDF6">
                  <w:pPr>
                    <w:adjustRightInd w:val="0"/>
                    <w:snapToGrid w:val="0"/>
                    <w:jc w:val="center"/>
                    <w:rPr>
                      <w:szCs w:val="21"/>
                    </w:rPr>
                  </w:pPr>
                  <w:r>
                    <w:rPr>
                      <w:rFonts w:hint="eastAsia"/>
                      <w:szCs w:val="21"/>
                    </w:rPr>
                    <w:t>/</w:t>
                  </w:r>
                </w:p>
              </w:tc>
              <w:tc>
                <w:tcPr>
                  <w:tcW w:w="2181" w:type="dxa"/>
                  <w:tcBorders>
                    <w:tl2br w:val="nil"/>
                    <w:tr2bl w:val="nil"/>
                  </w:tcBorders>
                  <w:vAlign w:val="center"/>
                </w:tcPr>
                <w:p w14:paraId="520ACDF7">
                  <w:pPr>
                    <w:adjustRightInd w:val="0"/>
                    <w:snapToGrid w:val="0"/>
                    <w:jc w:val="center"/>
                    <w:rPr>
                      <w:szCs w:val="21"/>
                    </w:rPr>
                  </w:pPr>
                  <w:r>
                    <w:rPr>
                      <w:rFonts w:hint="eastAsia"/>
                      <w:szCs w:val="21"/>
                    </w:rPr>
                    <w:t>0.17135</w:t>
                  </w:r>
                </w:p>
              </w:tc>
            </w:tr>
            <w:tr w14:paraId="520ACDF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DF9">
                  <w:pPr>
                    <w:adjustRightInd w:val="0"/>
                    <w:snapToGrid w:val="0"/>
                    <w:jc w:val="center"/>
                    <w:rPr>
                      <w:szCs w:val="21"/>
                    </w:rPr>
                  </w:pPr>
                  <w:r>
                    <w:rPr>
                      <w:rFonts w:hint="eastAsia"/>
                      <w:szCs w:val="21"/>
                    </w:rPr>
                    <w:t>合计</w:t>
                  </w:r>
                </w:p>
              </w:tc>
              <w:tc>
                <w:tcPr>
                  <w:tcW w:w="5245" w:type="dxa"/>
                  <w:gridSpan w:val="5"/>
                  <w:tcBorders>
                    <w:tl2br w:val="nil"/>
                    <w:tr2bl w:val="nil"/>
                  </w:tcBorders>
                  <w:vAlign w:val="center"/>
                </w:tcPr>
                <w:p w14:paraId="520ACDFA">
                  <w:pPr>
                    <w:adjustRightInd w:val="0"/>
                    <w:snapToGrid w:val="0"/>
                    <w:jc w:val="center"/>
                    <w:rPr>
                      <w:szCs w:val="21"/>
                    </w:rPr>
                  </w:pPr>
                  <w:r>
                    <w:rPr>
                      <w:rFonts w:hint="eastAsia"/>
                      <w:szCs w:val="21"/>
                    </w:rPr>
                    <w:t>/</w:t>
                  </w:r>
                </w:p>
              </w:tc>
              <w:tc>
                <w:tcPr>
                  <w:tcW w:w="2181" w:type="dxa"/>
                  <w:tcBorders>
                    <w:tl2br w:val="nil"/>
                    <w:tr2bl w:val="nil"/>
                  </w:tcBorders>
                  <w:vAlign w:val="center"/>
                </w:tcPr>
                <w:p w14:paraId="520ACDFB">
                  <w:pPr>
                    <w:adjustRightInd w:val="0"/>
                    <w:snapToGrid w:val="0"/>
                    <w:jc w:val="center"/>
                    <w:rPr>
                      <w:szCs w:val="21"/>
                    </w:rPr>
                  </w:pPr>
                  <w:r>
                    <w:rPr>
                      <w:rFonts w:hint="eastAsia"/>
                      <w:szCs w:val="21"/>
                    </w:rPr>
                    <w:t>0.3926</w:t>
                  </w:r>
                </w:p>
              </w:tc>
            </w:tr>
            <w:tr w14:paraId="520ACDF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8135" w:type="dxa"/>
                  <w:gridSpan w:val="7"/>
                  <w:tcBorders>
                    <w:tl2br w:val="nil"/>
                    <w:tr2bl w:val="nil"/>
                  </w:tcBorders>
                  <w:vAlign w:val="center"/>
                </w:tcPr>
                <w:p w14:paraId="520ACDFD">
                  <w:pPr>
                    <w:adjustRightInd w:val="0"/>
                    <w:snapToGrid w:val="0"/>
                    <w:jc w:val="center"/>
                    <w:rPr>
                      <w:b/>
                      <w:bCs/>
                      <w:szCs w:val="21"/>
                    </w:rPr>
                  </w:pPr>
                  <w:r>
                    <w:rPr>
                      <w:rFonts w:hint="eastAsia"/>
                      <w:b/>
                      <w:bCs/>
                      <w:szCs w:val="21"/>
                    </w:rPr>
                    <w:t>解放路厂区</w:t>
                  </w:r>
                </w:p>
              </w:tc>
            </w:tr>
            <w:tr w14:paraId="520ACE0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8135" w:type="dxa"/>
                  <w:gridSpan w:val="7"/>
                  <w:tcBorders>
                    <w:tl2br w:val="nil"/>
                    <w:tr2bl w:val="nil"/>
                  </w:tcBorders>
                  <w:vAlign w:val="center"/>
                </w:tcPr>
                <w:p w14:paraId="520ACDFF">
                  <w:pPr>
                    <w:adjustRightInd w:val="0"/>
                    <w:snapToGrid w:val="0"/>
                    <w:jc w:val="center"/>
                    <w:rPr>
                      <w:szCs w:val="21"/>
                    </w:rPr>
                  </w:pPr>
                  <w:r>
                    <w:rPr>
                      <w:rFonts w:hint="eastAsia"/>
                      <w:b/>
                      <w:bCs/>
                      <w:szCs w:val="21"/>
                    </w:rPr>
                    <w:t>原料</w:t>
                  </w:r>
                </w:p>
              </w:tc>
            </w:tr>
            <w:tr w14:paraId="520ACE0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E01">
                  <w:pPr>
                    <w:adjustRightInd w:val="0"/>
                    <w:snapToGrid w:val="0"/>
                    <w:jc w:val="center"/>
                    <w:rPr>
                      <w:szCs w:val="21"/>
                    </w:rPr>
                  </w:pPr>
                  <w:r>
                    <w:rPr>
                      <w:b/>
                      <w:bCs/>
                      <w:szCs w:val="21"/>
                    </w:rPr>
                    <w:t>序号</w:t>
                  </w:r>
                </w:p>
              </w:tc>
              <w:tc>
                <w:tcPr>
                  <w:tcW w:w="1134" w:type="dxa"/>
                  <w:tcBorders>
                    <w:tl2br w:val="nil"/>
                    <w:tr2bl w:val="nil"/>
                  </w:tcBorders>
                  <w:vAlign w:val="center"/>
                </w:tcPr>
                <w:p w14:paraId="520ACE02">
                  <w:pPr>
                    <w:adjustRightInd w:val="0"/>
                    <w:snapToGrid w:val="0"/>
                    <w:jc w:val="center"/>
                    <w:rPr>
                      <w:szCs w:val="21"/>
                    </w:rPr>
                  </w:pPr>
                  <w:r>
                    <w:rPr>
                      <w:b/>
                      <w:bCs/>
                      <w:szCs w:val="21"/>
                    </w:rPr>
                    <w:t>物质名称</w:t>
                  </w:r>
                </w:p>
              </w:tc>
              <w:tc>
                <w:tcPr>
                  <w:tcW w:w="1134" w:type="dxa"/>
                  <w:tcBorders>
                    <w:tl2br w:val="nil"/>
                    <w:tr2bl w:val="nil"/>
                  </w:tcBorders>
                  <w:vAlign w:val="center"/>
                </w:tcPr>
                <w:p w14:paraId="520ACE03">
                  <w:pPr>
                    <w:adjustRightInd w:val="0"/>
                    <w:snapToGrid w:val="0"/>
                    <w:jc w:val="center"/>
                    <w:rPr>
                      <w:szCs w:val="21"/>
                    </w:rPr>
                  </w:pPr>
                  <w:r>
                    <w:rPr>
                      <w:rFonts w:hint="eastAsia" w:cs="宋体"/>
                      <w:b/>
                      <w:szCs w:val="20"/>
                    </w:rPr>
                    <w:t>用量t/a</w:t>
                  </w:r>
                </w:p>
              </w:tc>
              <w:tc>
                <w:tcPr>
                  <w:tcW w:w="2977" w:type="dxa"/>
                  <w:gridSpan w:val="3"/>
                  <w:tcBorders>
                    <w:tl2br w:val="nil"/>
                    <w:tr2bl w:val="nil"/>
                  </w:tcBorders>
                  <w:vAlign w:val="center"/>
                </w:tcPr>
                <w:p w14:paraId="520ACE04">
                  <w:pPr>
                    <w:adjustRightInd w:val="0"/>
                    <w:snapToGrid w:val="0"/>
                    <w:jc w:val="center"/>
                    <w:rPr>
                      <w:szCs w:val="21"/>
                    </w:rPr>
                  </w:pPr>
                  <w:r>
                    <w:rPr>
                      <w:rFonts w:hint="eastAsia"/>
                      <w:b/>
                      <w:bCs/>
                      <w:szCs w:val="21"/>
                    </w:rPr>
                    <w:t>更换频次</w:t>
                  </w:r>
                </w:p>
              </w:tc>
              <w:tc>
                <w:tcPr>
                  <w:tcW w:w="2181" w:type="dxa"/>
                  <w:tcBorders>
                    <w:tl2br w:val="nil"/>
                    <w:tr2bl w:val="nil"/>
                  </w:tcBorders>
                  <w:vAlign w:val="center"/>
                </w:tcPr>
                <w:p w14:paraId="520ACE05">
                  <w:pPr>
                    <w:adjustRightInd w:val="0"/>
                    <w:snapToGrid w:val="0"/>
                    <w:jc w:val="center"/>
                    <w:rPr>
                      <w:szCs w:val="21"/>
                    </w:rPr>
                  </w:pPr>
                  <w:r>
                    <w:rPr>
                      <w:rFonts w:hint="eastAsia"/>
                      <w:b/>
                      <w:bCs/>
                      <w:szCs w:val="21"/>
                    </w:rPr>
                    <w:t>在线量（t）</w:t>
                  </w:r>
                </w:p>
              </w:tc>
            </w:tr>
            <w:tr w14:paraId="520ACE0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E07">
                  <w:pPr>
                    <w:adjustRightInd w:val="0"/>
                    <w:snapToGrid w:val="0"/>
                    <w:jc w:val="center"/>
                    <w:rPr>
                      <w:szCs w:val="21"/>
                    </w:rPr>
                  </w:pPr>
                  <w:r>
                    <w:rPr>
                      <w:rFonts w:hint="eastAsia"/>
                      <w:szCs w:val="21"/>
                    </w:rPr>
                    <w:t>1</w:t>
                  </w:r>
                </w:p>
              </w:tc>
              <w:tc>
                <w:tcPr>
                  <w:tcW w:w="1134" w:type="dxa"/>
                  <w:tcBorders>
                    <w:tl2br w:val="nil"/>
                    <w:tr2bl w:val="nil"/>
                  </w:tcBorders>
                  <w:vAlign w:val="center"/>
                </w:tcPr>
                <w:p w14:paraId="520ACE08">
                  <w:pPr>
                    <w:adjustRightInd w:val="0"/>
                    <w:snapToGrid w:val="0"/>
                    <w:jc w:val="center"/>
                    <w:rPr>
                      <w:szCs w:val="21"/>
                    </w:rPr>
                  </w:pPr>
                  <w:r>
                    <w:rPr>
                      <w:rFonts w:hint="eastAsia"/>
                      <w:szCs w:val="21"/>
                    </w:rPr>
                    <w:t>油类物质</w:t>
                  </w:r>
                </w:p>
              </w:tc>
              <w:tc>
                <w:tcPr>
                  <w:tcW w:w="1134" w:type="dxa"/>
                  <w:tcBorders>
                    <w:tl2br w:val="nil"/>
                    <w:tr2bl w:val="nil"/>
                  </w:tcBorders>
                  <w:vAlign w:val="center"/>
                </w:tcPr>
                <w:p w14:paraId="520ACE09">
                  <w:pPr>
                    <w:adjustRightInd w:val="0"/>
                    <w:snapToGrid w:val="0"/>
                    <w:jc w:val="center"/>
                    <w:rPr>
                      <w:szCs w:val="21"/>
                    </w:rPr>
                  </w:pPr>
                  <w:r>
                    <w:rPr>
                      <w:rFonts w:hint="eastAsia"/>
                      <w:szCs w:val="21"/>
                    </w:rPr>
                    <w:t>0.17</w:t>
                  </w:r>
                </w:p>
              </w:tc>
              <w:tc>
                <w:tcPr>
                  <w:tcW w:w="2977" w:type="dxa"/>
                  <w:gridSpan w:val="3"/>
                  <w:tcBorders>
                    <w:tl2br w:val="nil"/>
                    <w:tr2bl w:val="nil"/>
                  </w:tcBorders>
                  <w:vAlign w:val="center"/>
                </w:tcPr>
                <w:p w14:paraId="520ACE0A">
                  <w:pPr>
                    <w:adjustRightInd w:val="0"/>
                    <w:snapToGrid w:val="0"/>
                    <w:jc w:val="center"/>
                    <w:rPr>
                      <w:szCs w:val="21"/>
                    </w:rPr>
                  </w:pPr>
                  <w:r>
                    <w:rPr>
                      <w:rFonts w:hint="eastAsia"/>
                      <w:szCs w:val="21"/>
                    </w:rPr>
                    <w:t>2</w:t>
                  </w:r>
                </w:p>
              </w:tc>
              <w:tc>
                <w:tcPr>
                  <w:tcW w:w="2181" w:type="dxa"/>
                  <w:tcBorders>
                    <w:tl2br w:val="nil"/>
                    <w:tr2bl w:val="nil"/>
                  </w:tcBorders>
                  <w:vAlign w:val="center"/>
                </w:tcPr>
                <w:p w14:paraId="520ACE0B">
                  <w:pPr>
                    <w:adjustRightInd w:val="0"/>
                    <w:snapToGrid w:val="0"/>
                    <w:jc w:val="center"/>
                    <w:rPr>
                      <w:szCs w:val="21"/>
                    </w:rPr>
                  </w:pPr>
                  <w:r>
                    <w:rPr>
                      <w:rFonts w:hint="eastAsia"/>
                      <w:szCs w:val="21"/>
                    </w:rPr>
                    <w:t>0.17</w:t>
                  </w:r>
                </w:p>
              </w:tc>
            </w:tr>
            <w:tr w14:paraId="520ACE0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8135" w:type="dxa"/>
                  <w:gridSpan w:val="7"/>
                  <w:tcBorders>
                    <w:tl2br w:val="nil"/>
                    <w:tr2bl w:val="nil"/>
                  </w:tcBorders>
                  <w:vAlign w:val="center"/>
                </w:tcPr>
                <w:p w14:paraId="520ACE0D">
                  <w:pPr>
                    <w:adjustRightInd w:val="0"/>
                    <w:snapToGrid w:val="0"/>
                    <w:jc w:val="center"/>
                    <w:rPr>
                      <w:szCs w:val="21"/>
                    </w:rPr>
                  </w:pPr>
                  <w:r>
                    <w:rPr>
                      <w:rFonts w:hint="eastAsia"/>
                      <w:b/>
                      <w:bCs/>
                      <w:szCs w:val="21"/>
                    </w:rPr>
                    <w:t>危险废物</w:t>
                  </w:r>
                </w:p>
              </w:tc>
            </w:tr>
            <w:tr w14:paraId="520ACE1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E0F">
                  <w:pPr>
                    <w:adjustRightInd w:val="0"/>
                    <w:snapToGrid w:val="0"/>
                    <w:jc w:val="center"/>
                    <w:rPr>
                      <w:szCs w:val="21"/>
                    </w:rPr>
                  </w:pPr>
                  <w:r>
                    <w:rPr>
                      <w:rFonts w:hint="eastAsia"/>
                      <w:b/>
                      <w:bCs/>
                      <w:szCs w:val="21"/>
                    </w:rPr>
                    <w:t>序号</w:t>
                  </w:r>
                </w:p>
              </w:tc>
              <w:tc>
                <w:tcPr>
                  <w:tcW w:w="1134" w:type="dxa"/>
                  <w:tcBorders>
                    <w:tl2br w:val="nil"/>
                    <w:tr2bl w:val="nil"/>
                  </w:tcBorders>
                  <w:vAlign w:val="center"/>
                </w:tcPr>
                <w:p w14:paraId="520ACE10">
                  <w:pPr>
                    <w:adjustRightInd w:val="0"/>
                    <w:snapToGrid w:val="0"/>
                    <w:jc w:val="center"/>
                    <w:rPr>
                      <w:szCs w:val="21"/>
                    </w:rPr>
                  </w:pPr>
                  <w:r>
                    <w:rPr>
                      <w:b/>
                      <w:bCs/>
                      <w:szCs w:val="21"/>
                    </w:rPr>
                    <w:t>物质名称</w:t>
                  </w:r>
                </w:p>
              </w:tc>
              <w:tc>
                <w:tcPr>
                  <w:tcW w:w="1134" w:type="dxa"/>
                  <w:tcBorders>
                    <w:tl2br w:val="nil"/>
                    <w:tr2bl w:val="nil"/>
                  </w:tcBorders>
                  <w:vAlign w:val="center"/>
                </w:tcPr>
                <w:p w14:paraId="520ACE11">
                  <w:pPr>
                    <w:adjustRightInd w:val="0"/>
                    <w:snapToGrid w:val="0"/>
                    <w:jc w:val="center"/>
                    <w:rPr>
                      <w:szCs w:val="21"/>
                    </w:rPr>
                  </w:pPr>
                  <w:r>
                    <w:rPr>
                      <w:rFonts w:hint="eastAsia"/>
                      <w:b/>
                      <w:bCs/>
                      <w:szCs w:val="21"/>
                    </w:rPr>
                    <w:t>产生量</w:t>
                  </w:r>
                </w:p>
              </w:tc>
              <w:tc>
                <w:tcPr>
                  <w:tcW w:w="1488" w:type="dxa"/>
                  <w:gridSpan w:val="2"/>
                  <w:tcBorders>
                    <w:tl2br w:val="nil"/>
                    <w:tr2bl w:val="nil"/>
                  </w:tcBorders>
                  <w:vAlign w:val="center"/>
                </w:tcPr>
                <w:p w14:paraId="520ACE12">
                  <w:pPr>
                    <w:adjustRightInd w:val="0"/>
                    <w:snapToGrid w:val="0"/>
                    <w:jc w:val="center"/>
                    <w:rPr>
                      <w:szCs w:val="21"/>
                    </w:rPr>
                  </w:pPr>
                  <w:r>
                    <w:rPr>
                      <w:rFonts w:hint="eastAsia"/>
                      <w:b/>
                      <w:bCs/>
                      <w:szCs w:val="21"/>
                    </w:rPr>
                    <w:t>产废周期</w:t>
                  </w:r>
                </w:p>
              </w:tc>
              <w:tc>
                <w:tcPr>
                  <w:tcW w:w="1489" w:type="dxa"/>
                  <w:tcBorders>
                    <w:tl2br w:val="nil"/>
                    <w:tr2bl w:val="nil"/>
                  </w:tcBorders>
                  <w:vAlign w:val="center"/>
                </w:tcPr>
                <w:p w14:paraId="520ACE13">
                  <w:pPr>
                    <w:adjustRightInd w:val="0"/>
                    <w:snapToGrid w:val="0"/>
                    <w:jc w:val="center"/>
                    <w:rPr>
                      <w:szCs w:val="21"/>
                    </w:rPr>
                  </w:pPr>
                  <w:r>
                    <w:rPr>
                      <w:rFonts w:hint="eastAsia"/>
                      <w:b/>
                      <w:bCs/>
                      <w:szCs w:val="21"/>
                    </w:rPr>
                    <w:t>贮存周期</w:t>
                  </w:r>
                </w:p>
              </w:tc>
              <w:tc>
                <w:tcPr>
                  <w:tcW w:w="2181" w:type="dxa"/>
                  <w:tcBorders>
                    <w:tl2br w:val="nil"/>
                    <w:tr2bl w:val="nil"/>
                  </w:tcBorders>
                  <w:vAlign w:val="center"/>
                </w:tcPr>
                <w:p w14:paraId="520ACE14">
                  <w:pPr>
                    <w:adjustRightInd w:val="0"/>
                    <w:snapToGrid w:val="0"/>
                    <w:jc w:val="center"/>
                    <w:rPr>
                      <w:szCs w:val="21"/>
                    </w:rPr>
                  </w:pPr>
                  <w:r>
                    <w:rPr>
                      <w:rFonts w:hint="eastAsia"/>
                      <w:b/>
                      <w:bCs/>
                      <w:szCs w:val="21"/>
                    </w:rPr>
                    <w:t>产废时存在量t</w:t>
                  </w:r>
                </w:p>
              </w:tc>
            </w:tr>
            <w:tr w14:paraId="520ACE1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E16">
                  <w:pPr>
                    <w:adjustRightInd w:val="0"/>
                    <w:snapToGrid w:val="0"/>
                    <w:jc w:val="center"/>
                    <w:rPr>
                      <w:szCs w:val="21"/>
                    </w:rPr>
                  </w:pPr>
                  <w:r>
                    <w:rPr>
                      <w:rFonts w:hint="eastAsia"/>
                      <w:szCs w:val="21"/>
                    </w:rPr>
                    <w:t>1</w:t>
                  </w:r>
                </w:p>
              </w:tc>
              <w:tc>
                <w:tcPr>
                  <w:tcW w:w="1134" w:type="dxa"/>
                  <w:tcBorders>
                    <w:tl2br w:val="nil"/>
                    <w:tr2bl w:val="nil"/>
                  </w:tcBorders>
                  <w:vAlign w:val="center"/>
                </w:tcPr>
                <w:p w14:paraId="520ACE17">
                  <w:pPr>
                    <w:adjustRightInd w:val="0"/>
                    <w:snapToGrid w:val="0"/>
                    <w:jc w:val="center"/>
                    <w:rPr>
                      <w:szCs w:val="21"/>
                    </w:rPr>
                  </w:pPr>
                  <w:r>
                    <w:rPr>
                      <w:rFonts w:hint="eastAsia"/>
                      <w:szCs w:val="21"/>
                      <w:lang w:val="pt-BR"/>
                    </w:rPr>
                    <w:t>46#高抗磨液压油</w:t>
                  </w:r>
                </w:p>
              </w:tc>
              <w:tc>
                <w:tcPr>
                  <w:tcW w:w="1134" w:type="dxa"/>
                  <w:tcBorders>
                    <w:tl2br w:val="nil"/>
                    <w:tr2bl w:val="nil"/>
                  </w:tcBorders>
                  <w:vAlign w:val="center"/>
                </w:tcPr>
                <w:p w14:paraId="520ACE18">
                  <w:pPr>
                    <w:adjustRightInd w:val="0"/>
                    <w:snapToGrid w:val="0"/>
                    <w:jc w:val="center"/>
                    <w:rPr>
                      <w:szCs w:val="21"/>
                    </w:rPr>
                  </w:pPr>
                  <w:r>
                    <w:rPr>
                      <w:rFonts w:hint="eastAsia"/>
                      <w:szCs w:val="21"/>
                    </w:rPr>
                    <w:t>0.17t/2a</w:t>
                  </w:r>
                </w:p>
              </w:tc>
              <w:tc>
                <w:tcPr>
                  <w:tcW w:w="1488" w:type="dxa"/>
                  <w:gridSpan w:val="2"/>
                  <w:tcBorders>
                    <w:tl2br w:val="nil"/>
                    <w:tr2bl w:val="nil"/>
                  </w:tcBorders>
                  <w:vAlign w:val="center"/>
                </w:tcPr>
                <w:p w14:paraId="520ACE19">
                  <w:pPr>
                    <w:adjustRightInd w:val="0"/>
                    <w:snapToGrid w:val="0"/>
                    <w:jc w:val="center"/>
                    <w:rPr>
                      <w:szCs w:val="21"/>
                    </w:rPr>
                  </w:pPr>
                  <w:r>
                    <w:rPr>
                      <w:rFonts w:hint="eastAsia"/>
                      <w:szCs w:val="21"/>
                    </w:rPr>
                    <w:t>2</w:t>
                  </w:r>
                </w:p>
              </w:tc>
              <w:tc>
                <w:tcPr>
                  <w:tcW w:w="1489" w:type="dxa"/>
                  <w:tcBorders>
                    <w:tl2br w:val="nil"/>
                    <w:tr2bl w:val="nil"/>
                  </w:tcBorders>
                  <w:vAlign w:val="center"/>
                </w:tcPr>
                <w:p w14:paraId="520ACE1A">
                  <w:pPr>
                    <w:adjustRightInd w:val="0"/>
                    <w:snapToGrid w:val="0"/>
                    <w:jc w:val="center"/>
                    <w:rPr>
                      <w:szCs w:val="21"/>
                    </w:rPr>
                  </w:pPr>
                  <w:r>
                    <w:rPr>
                      <w:rFonts w:hint="eastAsia"/>
                      <w:szCs w:val="21"/>
                    </w:rPr>
                    <w:t>3个月</w:t>
                  </w:r>
                </w:p>
              </w:tc>
              <w:tc>
                <w:tcPr>
                  <w:tcW w:w="2181" w:type="dxa"/>
                  <w:tcBorders>
                    <w:tl2br w:val="nil"/>
                    <w:tr2bl w:val="nil"/>
                  </w:tcBorders>
                  <w:vAlign w:val="center"/>
                </w:tcPr>
                <w:p w14:paraId="520ACE1B">
                  <w:pPr>
                    <w:adjustRightInd w:val="0"/>
                    <w:snapToGrid w:val="0"/>
                    <w:jc w:val="center"/>
                    <w:rPr>
                      <w:szCs w:val="21"/>
                    </w:rPr>
                  </w:pPr>
                  <w:r>
                    <w:rPr>
                      <w:rFonts w:hint="eastAsia"/>
                      <w:szCs w:val="21"/>
                    </w:rPr>
                    <w:t>0.17</w:t>
                  </w:r>
                </w:p>
              </w:tc>
            </w:tr>
            <w:tr w14:paraId="520ACE2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709" w:type="dxa"/>
                  <w:tcBorders>
                    <w:tl2br w:val="nil"/>
                    <w:tr2bl w:val="nil"/>
                  </w:tcBorders>
                  <w:vAlign w:val="center"/>
                </w:tcPr>
                <w:p w14:paraId="520ACE1D">
                  <w:pPr>
                    <w:adjustRightInd w:val="0"/>
                    <w:snapToGrid w:val="0"/>
                    <w:jc w:val="center"/>
                    <w:rPr>
                      <w:szCs w:val="21"/>
                    </w:rPr>
                  </w:pPr>
                  <w:r>
                    <w:rPr>
                      <w:rFonts w:hint="eastAsia"/>
                      <w:szCs w:val="21"/>
                    </w:rPr>
                    <w:t>合计</w:t>
                  </w:r>
                </w:p>
              </w:tc>
              <w:tc>
                <w:tcPr>
                  <w:tcW w:w="5245" w:type="dxa"/>
                  <w:gridSpan w:val="5"/>
                  <w:tcBorders>
                    <w:tl2br w:val="nil"/>
                    <w:tr2bl w:val="nil"/>
                  </w:tcBorders>
                  <w:vAlign w:val="center"/>
                </w:tcPr>
                <w:p w14:paraId="520ACE1E">
                  <w:pPr>
                    <w:adjustRightInd w:val="0"/>
                    <w:snapToGrid w:val="0"/>
                    <w:jc w:val="center"/>
                    <w:rPr>
                      <w:szCs w:val="21"/>
                    </w:rPr>
                  </w:pPr>
                  <w:r>
                    <w:rPr>
                      <w:rFonts w:hint="eastAsia"/>
                      <w:szCs w:val="21"/>
                    </w:rPr>
                    <w:t>/</w:t>
                  </w:r>
                </w:p>
              </w:tc>
              <w:tc>
                <w:tcPr>
                  <w:tcW w:w="2181" w:type="dxa"/>
                  <w:tcBorders>
                    <w:tl2br w:val="nil"/>
                    <w:tr2bl w:val="nil"/>
                  </w:tcBorders>
                  <w:vAlign w:val="center"/>
                </w:tcPr>
                <w:p w14:paraId="520ACE1F">
                  <w:pPr>
                    <w:adjustRightInd w:val="0"/>
                    <w:snapToGrid w:val="0"/>
                    <w:jc w:val="center"/>
                    <w:rPr>
                      <w:szCs w:val="21"/>
                    </w:rPr>
                  </w:pPr>
                  <w:r>
                    <w:rPr>
                      <w:rFonts w:hint="eastAsia"/>
                      <w:szCs w:val="21"/>
                    </w:rPr>
                    <w:t>0.34</w:t>
                  </w:r>
                </w:p>
              </w:tc>
            </w:tr>
          </w:tbl>
          <w:p w14:paraId="520ACE21">
            <w:pPr>
              <w:adjustRightInd w:val="0"/>
              <w:snapToGrid w:val="0"/>
              <w:spacing w:line="460" w:lineRule="exact"/>
              <w:ind w:firstLine="480" w:firstLineChars="200"/>
              <w:rPr>
                <w:sz w:val="24"/>
              </w:rPr>
            </w:pPr>
            <w:r>
              <w:rPr>
                <w:sz w:val="24"/>
              </w:rPr>
              <w:t>经查阅《企业突发环境</w:t>
            </w:r>
            <w:r>
              <w:rPr>
                <w:rFonts w:hint="eastAsia"/>
                <w:sz w:val="24"/>
              </w:rPr>
              <w:t>事件</w:t>
            </w:r>
            <w:r>
              <w:rPr>
                <w:sz w:val="24"/>
              </w:rPr>
              <w:t>风险分级方法》（HJ941-2018）附录A，风险物质临界量详见下表：</w:t>
            </w:r>
          </w:p>
          <w:p w14:paraId="520ACE22">
            <w:pPr>
              <w:spacing w:line="460" w:lineRule="exact"/>
              <w:ind w:firstLine="480" w:firstLineChars="200"/>
              <w:rPr>
                <w:rFonts w:eastAsia="黑体"/>
                <w:sz w:val="24"/>
              </w:rPr>
            </w:pPr>
            <w:r>
              <w:rPr>
                <w:rFonts w:eastAsia="黑体"/>
                <w:sz w:val="24"/>
              </w:rPr>
              <w:t>表</w:t>
            </w:r>
            <w:r>
              <w:rPr>
                <w:rFonts w:hint="eastAsia" w:eastAsia="黑体"/>
                <w:sz w:val="24"/>
              </w:rPr>
              <w:t>81</w:t>
            </w:r>
            <w:r>
              <w:rPr>
                <w:rFonts w:eastAsia="黑体"/>
                <w:sz w:val="24"/>
              </w:rPr>
              <w:t xml:space="preserve">   </w:t>
            </w:r>
            <w:r>
              <w:rPr>
                <w:rFonts w:hint="eastAsia" w:eastAsia="黑体"/>
                <w:sz w:val="24"/>
              </w:rPr>
              <w:t xml:space="preserve">       </w:t>
            </w:r>
            <w:r>
              <w:rPr>
                <w:rFonts w:eastAsia="黑体"/>
                <w:sz w:val="24"/>
              </w:rPr>
              <w:t xml:space="preserve">  项目涉及危险化学品物质及临界量标准</w:t>
            </w:r>
          </w:p>
          <w:tbl>
            <w:tblPr>
              <w:tblStyle w:val="18"/>
              <w:tblpPr w:leftFromText="180" w:rightFromText="180" w:vertAnchor="text" w:tblpXSpec="center" w:tblpY="1"/>
              <w:tblOverlap w:val="never"/>
              <w:tblW w:w="8135" w:type="dxa"/>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622"/>
              <w:gridCol w:w="1335"/>
              <w:gridCol w:w="709"/>
              <w:gridCol w:w="2126"/>
              <w:gridCol w:w="1559"/>
              <w:gridCol w:w="1784"/>
            </w:tblGrid>
            <w:tr w14:paraId="520ACE2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69" w:hRule="atLeast"/>
              </w:trPr>
              <w:tc>
                <w:tcPr>
                  <w:tcW w:w="622" w:type="dxa"/>
                  <w:tcBorders>
                    <w:tl2br w:val="nil"/>
                    <w:tr2bl w:val="nil"/>
                  </w:tcBorders>
                  <w:vAlign w:val="center"/>
                </w:tcPr>
                <w:p w14:paraId="520ACE23">
                  <w:pPr>
                    <w:jc w:val="center"/>
                    <w:rPr>
                      <w:b/>
                      <w:bCs/>
                      <w:szCs w:val="21"/>
                    </w:rPr>
                  </w:pPr>
                  <w:r>
                    <w:rPr>
                      <w:b/>
                      <w:bCs/>
                      <w:szCs w:val="21"/>
                    </w:rPr>
                    <w:t>序号</w:t>
                  </w:r>
                </w:p>
              </w:tc>
              <w:tc>
                <w:tcPr>
                  <w:tcW w:w="1335" w:type="dxa"/>
                  <w:tcBorders>
                    <w:tl2br w:val="nil"/>
                    <w:tr2bl w:val="nil"/>
                  </w:tcBorders>
                  <w:vAlign w:val="center"/>
                </w:tcPr>
                <w:p w14:paraId="520ACE24">
                  <w:pPr>
                    <w:jc w:val="center"/>
                    <w:rPr>
                      <w:b/>
                      <w:bCs/>
                      <w:szCs w:val="21"/>
                    </w:rPr>
                  </w:pPr>
                  <w:r>
                    <w:rPr>
                      <w:b/>
                      <w:bCs/>
                      <w:szCs w:val="21"/>
                    </w:rPr>
                    <w:t>危险物质名称</w:t>
                  </w:r>
                </w:p>
              </w:tc>
              <w:tc>
                <w:tcPr>
                  <w:tcW w:w="709" w:type="dxa"/>
                  <w:tcBorders>
                    <w:tl2br w:val="nil"/>
                    <w:tr2bl w:val="nil"/>
                  </w:tcBorders>
                  <w:vAlign w:val="center"/>
                </w:tcPr>
                <w:p w14:paraId="520ACE25">
                  <w:pPr>
                    <w:jc w:val="center"/>
                    <w:rPr>
                      <w:b/>
                      <w:bCs/>
                      <w:szCs w:val="21"/>
                    </w:rPr>
                  </w:pPr>
                  <w:r>
                    <w:rPr>
                      <w:b/>
                      <w:bCs/>
                      <w:szCs w:val="21"/>
                    </w:rPr>
                    <w:t>CAS号</w:t>
                  </w:r>
                </w:p>
              </w:tc>
              <w:tc>
                <w:tcPr>
                  <w:tcW w:w="2126" w:type="dxa"/>
                  <w:tcBorders>
                    <w:tl2br w:val="nil"/>
                    <w:tr2bl w:val="nil"/>
                  </w:tcBorders>
                  <w:vAlign w:val="center"/>
                </w:tcPr>
                <w:p w14:paraId="520ACE26">
                  <w:pPr>
                    <w:jc w:val="center"/>
                    <w:rPr>
                      <w:b/>
                      <w:bCs/>
                      <w:szCs w:val="21"/>
                    </w:rPr>
                  </w:pPr>
                  <w:r>
                    <w:rPr>
                      <w:b/>
                      <w:bCs/>
                      <w:szCs w:val="21"/>
                    </w:rPr>
                    <w:t>最大存在总量</w:t>
                  </w:r>
                  <w:r>
                    <w:rPr>
                      <w:b/>
                      <w:szCs w:val="21"/>
                    </w:rPr>
                    <w:t>q</w:t>
                  </w:r>
                  <w:r>
                    <w:rPr>
                      <w:b/>
                      <w:szCs w:val="21"/>
                      <w:vertAlign w:val="subscript"/>
                    </w:rPr>
                    <w:t>n</w:t>
                  </w:r>
                  <w:r>
                    <w:rPr>
                      <w:b/>
                      <w:szCs w:val="21"/>
                    </w:rPr>
                    <w:t>（t）</w:t>
                  </w:r>
                </w:p>
              </w:tc>
              <w:tc>
                <w:tcPr>
                  <w:tcW w:w="1559" w:type="dxa"/>
                  <w:tcBorders>
                    <w:tl2br w:val="nil"/>
                    <w:tr2bl w:val="nil"/>
                  </w:tcBorders>
                  <w:vAlign w:val="center"/>
                </w:tcPr>
                <w:p w14:paraId="520ACE27">
                  <w:pPr>
                    <w:jc w:val="center"/>
                    <w:rPr>
                      <w:b/>
                      <w:bCs/>
                      <w:szCs w:val="21"/>
                    </w:rPr>
                  </w:pPr>
                  <w:r>
                    <w:rPr>
                      <w:b/>
                      <w:szCs w:val="21"/>
                    </w:rPr>
                    <w:t>临界量Q</w:t>
                  </w:r>
                  <w:r>
                    <w:rPr>
                      <w:b/>
                      <w:szCs w:val="21"/>
                      <w:vertAlign w:val="subscript"/>
                    </w:rPr>
                    <w:t>n</w:t>
                  </w:r>
                  <w:r>
                    <w:rPr>
                      <w:b/>
                      <w:szCs w:val="21"/>
                    </w:rPr>
                    <w:t>（t）</w:t>
                  </w:r>
                </w:p>
              </w:tc>
              <w:tc>
                <w:tcPr>
                  <w:tcW w:w="1784" w:type="dxa"/>
                  <w:tcBorders>
                    <w:tl2br w:val="nil"/>
                    <w:tr2bl w:val="nil"/>
                  </w:tcBorders>
                  <w:vAlign w:val="center"/>
                </w:tcPr>
                <w:p w14:paraId="520ACE28">
                  <w:pPr>
                    <w:jc w:val="center"/>
                    <w:rPr>
                      <w:b/>
                      <w:bCs/>
                      <w:szCs w:val="21"/>
                    </w:rPr>
                  </w:pPr>
                  <w:r>
                    <w:rPr>
                      <w:b/>
                      <w:szCs w:val="21"/>
                    </w:rPr>
                    <w:t>该种危险物质Q值</w:t>
                  </w:r>
                </w:p>
              </w:tc>
            </w:tr>
            <w:tr w14:paraId="520ACE2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69" w:hRule="atLeast"/>
              </w:trPr>
              <w:tc>
                <w:tcPr>
                  <w:tcW w:w="8135" w:type="dxa"/>
                  <w:gridSpan w:val="6"/>
                  <w:tcBorders>
                    <w:tl2br w:val="nil"/>
                    <w:tr2bl w:val="nil"/>
                  </w:tcBorders>
                  <w:vAlign w:val="center"/>
                </w:tcPr>
                <w:p w14:paraId="520ACE2A">
                  <w:pPr>
                    <w:jc w:val="center"/>
                    <w:rPr>
                      <w:b/>
                      <w:szCs w:val="21"/>
                    </w:rPr>
                  </w:pPr>
                  <w:r>
                    <w:rPr>
                      <w:rFonts w:hint="eastAsia"/>
                      <w:b/>
                      <w:szCs w:val="21"/>
                    </w:rPr>
                    <w:t>建设路厂区</w:t>
                  </w:r>
                </w:p>
              </w:tc>
            </w:tr>
            <w:tr w14:paraId="520ACE3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69" w:hRule="atLeast"/>
              </w:trPr>
              <w:tc>
                <w:tcPr>
                  <w:tcW w:w="622" w:type="dxa"/>
                  <w:tcBorders>
                    <w:tl2br w:val="nil"/>
                    <w:tr2bl w:val="nil"/>
                  </w:tcBorders>
                  <w:vAlign w:val="center"/>
                </w:tcPr>
                <w:p w14:paraId="520ACE2C">
                  <w:pPr>
                    <w:jc w:val="center"/>
                    <w:rPr>
                      <w:szCs w:val="21"/>
                    </w:rPr>
                  </w:pPr>
                  <w:r>
                    <w:rPr>
                      <w:szCs w:val="21"/>
                    </w:rPr>
                    <w:t>1</w:t>
                  </w:r>
                </w:p>
              </w:tc>
              <w:tc>
                <w:tcPr>
                  <w:tcW w:w="1335" w:type="dxa"/>
                  <w:tcBorders>
                    <w:tl2br w:val="nil"/>
                    <w:tr2bl w:val="nil"/>
                  </w:tcBorders>
                  <w:vAlign w:val="center"/>
                </w:tcPr>
                <w:p w14:paraId="520ACE2D">
                  <w:pPr>
                    <w:jc w:val="center"/>
                    <w:rPr>
                      <w:szCs w:val="21"/>
                    </w:rPr>
                  </w:pPr>
                  <w:r>
                    <w:rPr>
                      <w:szCs w:val="21"/>
                    </w:rPr>
                    <w:t>油类物质</w:t>
                  </w:r>
                </w:p>
              </w:tc>
              <w:tc>
                <w:tcPr>
                  <w:tcW w:w="709" w:type="dxa"/>
                  <w:tcBorders>
                    <w:tl2br w:val="nil"/>
                    <w:tr2bl w:val="nil"/>
                  </w:tcBorders>
                  <w:vAlign w:val="center"/>
                </w:tcPr>
                <w:p w14:paraId="520ACE2E">
                  <w:pPr>
                    <w:jc w:val="center"/>
                    <w:rPr>
                      <w:szCs w:val="21"/>
                    </w:rPr>
                  </w:pPr>
                  <w:r>
                    <w:rPr>
                      <w:rFonts w:hint="eastAsia"/>
                      <w:szCs w:val="21"/>
                    </w:rPr>
                    <w:t>/</w:t>
                  </w:r>
                </w:p>
              </w:tc>
              <w:tc>
                <w:tcPr>
                  <w:tcW w:w="2126" w:type="dxa"/>
                  <w:tcBorders>
                    <w:tl2br w:val="nil"/>
                    <w:tr2bl w:val="nil"/>
                  </w:tcBorders>
                  <w:vAlign w:val="center"/>
                </w:tcPr>
                <w:p w14:paraId="520ACE2F">
                  <w:pPr>
                    <w:jc w:val="center"/>
                    <w:rPr>
                      <w:szCs w:val="21"/>
                    </w:rPr>
                  </w:pPr>
                  <w:r>
                    <w:rPr>
                      <w:rFonts w:hint="eastAsia"/>
                      <w:szCs w:val="21"/>
                    </w:rPr>
                    <w:t>7.8</w:t>
                  </w:r>
                </w:p>
              </w:tc>
              <w:tc>
                <w:tcPr>
                  <w:tcW w:w="1559" w:type="dxa"/>
                  <w:tcBorders>
                    <w:tl2br w:val="nil"/>
                    <w:tr2bl w:val="nil"/>
                  </w:tcBorders>
                  <w:vAlign w:val="center"/>
                </w:tcPr>
                <w:p w14:paraId="520ACE30">
                  <w:pPr>
                    <w:jc w:val="center"/>
                    <w:rPr>
                      <w:szCs w:val="21"/>
                    </w:rPr>
                  </w:pPr>
                  <w:r>
                    <w:rPr>
                      <w:rFonts w:hint="eastAsia"/>
                      <w:szCs w:val="21"/>
                    </w:rPr>
                    <w:t>2500</w:t>
                  </w:r>
                </w:p>
              </w:tc>
              <w:tc>
                <w:tcPr>
                  <w:tcW w:w="1784" w:type="dxa"/>
                  <w:tcBorders>
                    <w:tl2br w:val="nil"/>
                    <w:tr2bl w:val="nil"/>
                  </w:tcBorders>
                  <w:vAlign w:val="center"/>
                </w:tcPr>
                <w:p w14:paraId="520ACE31">
                  <w:pPr>
                    <w:jc w:val="center"/>
                    <w:rPr>
                      <w:szCs w:val="21"/>
                    </w:rPr>
                  </w:pPr>
                  <w:r>
                    <w:rPr>
                      <w:rFonts w:hint="eastAsia"/>
                      <w:szCs w:val="21"/>
                    </w:rPr>
                    <w:t>0.0031</w:t>
                  </w:r>
                </w:p>
              </w:tc>
            </w:tr>
            <w:tr w14:paraId="520ACE3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69" w:hRule="atLeast"/>
              </w:trPr>
              <w:tc>
                <w:tcPr>
                  <w:tcW w:w="8135" w:type="dxa"/>
                  <w:gridSpan w:val="6"/>
                  <w:tcBorders>
                    <w:tl2br w:val="nil"/>
                    <w:tr2bl w:val="nil"/>
                  </w:tcBorders>
                  <w:vAlign w:val="center"/>
                </w:tcPr>
                <w:p w14:paraId="520ACE33">
                  <w:pPr>
                    <w:jc w:val="center"/>
                    <w:rPr>
                      <w:b/>
                      <w:bCs/>
                      <w:szCs w:val="21"/>
                    </w:rPr>
                  </w:pPr>
                  <w:r>
                    <w:rPr>
                      <w:rFonts w:hint="eastAsia"/>
                      <w:b/>
                      <w:bCs/>
                      <w:szCs w:val="21"/>
                    </w:rPr>
                    <w:t>解放路厂区</w:t>
                  </w:r>
                </w:p>
              </w:tc>
            </w:tr>
            <w:tr w14:paraId="520ACE3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69" w:hRule="atLeast"/>
              </w:trPr>
              <w:tc>
                <w:tcPr>
                  <w:tcW w:w="622" w:type="dxa"/>
                  <w:tcBorders>
                    <w:tl2br w:val="nil"/>
                    <w:tr2bl w:val="nil"/>
                  </w:tcBorders>
                  <w:vAlign w:val="center"/>
                </w:tcPr>
                <w:p w14:paraId="520ACE35">
                  <w:pPr>
                    <w:jc w:val="center"/>
                    <w:rPr>
                      <w:szCs w:val="21"/>
                    </w:rPr>
                  </w:pPr>
                  <w:r>
                    <w:rPr>
                      <w:szCs w:val="21"/>
                    </w:rPr>
                    <w:t>1</w:t>
                  </w:r>
                </w:p>
              </w:tc>
              <w:tc>
                <w:tcPr>
                  <w:tcW w:w="1335" w:type="dxa"/>
                  <w:tcBorders>
                    <w:tl2br w:val="nil"/>
                    <w:tr2bl w:val="nil"/>
                  </w:tcBorders>
                  <w:vAlign w:val="center"/>
                </w:tcPr>
                <w:p w14:paraId="520ACE36">
                  <w:pPr>
                    <w:jc w:val="center"/>
                    <w:rPr>
                      <w:szCs w:val="21"/>
                    </w:rPr>
                  </w:pPr>
                  <w:r>
                    <w:rPr>
                      <w:szCs w:val="21"/>
                    </w:rPr>
                    <w:t>油类物质</w:t>
                  </w:r>
                </w:p>
              </w:tc>
              <w:tc>
                <w:tcPr>
                  <w:tcW w:w="709" w:type="dxa"/>
                  <w:tcBorders>
                    <w:tl2br w:val="nil"/>
                    <w:tr2bl w:val="nil"/>
                  </w:tcBorders>
                  <w:vAlign w:val="center"/>
                </w:tcPr>
                <w:p w14:paraId="520ACE37">
                  <w:pPr>
                    <w:jc w:val="center"/>
                    <w:rPr>
                      <w:szCs w:val="21"/>
                    </w:rPr>
                  </w:pPr>
                  <w:r>
                    <w:rPr>
                      <w:rFonts w:hint="eastAsia"/>
                      <w:szCs w:val="21"/>
                    </w:rPr>
                    <w:t>/</w:t>
                  </w:r>
                </w:p>
              </w:tc>
              <w:tc>
                <w:tcPr>
                  <w:tcW w:w="2126" w:type="dxa"/>
                  <w:tcBorders>
                    <w:tl2br w:val="nil"/>
                    <w:tr2bl w:val="nil"/>
                  </w:tcBorders>
                  <w:vAlign w:val="center"/>
                </w:tcPr>
                <w:p w14:paraId="520ACE38">
                  <w:pPr>
                    <w:jc w:val="center"/>
                    <w:rPr>
                      <w:szCs w:val="21"/>
                    </w:rPr>
                  </w:pPr>
                  <w:r>
                    <w:rPr>
                      <w:rFonts w:hint="eastAsia"/>
                      <w:szCs w:val="21"/>
                    </w:rPr>
                    <w:t>4</w:t>
                  </w:r>
                </w:p>
              </w:tc>
              <w:tc>
                <w:tcPr>
                  <w:tcW w:w="1559" w:type="dxa"/>
                  <w:tcBorders>
                    <w:tl2br w:val="nil"/>
                    <w:tr2bl w:val="nil"/>
                  </w:tcBorders>
                  <w:vAlign w:val="center"/>
                </w:tcPr>
                <w:p w14:paraId="520ACE39">
                  <w:pPr>
                    <w:jc w:val="center"/>
                    <w:rPr>
                      <w:szCs w:val="21"/>
                    </w:rPr>
                  </w:pPr>
                  <w:r>
                    <w:rPr>
                      <w:rFonts w:hint="eastAsia"/>
                      <w:szCs w:val="21"/>
                    </w:rPr>
                    <w:t>2500</w:t>
                  </w:r>
                </w:p>
              </w:tc>
              <w:tc>
                <w:tcPr>
                  <w:tcW w:w="1784" w:type="dxa"/>
                  <w:tcBorders>
                    <w:tl2br w:val="nil"/>
                    <w:tr2bl w:val="nil"/>
                  </w:tcBorders>
                  <w:vAlign w:val="center"/>
                </w:tcPr>
                <w:p w14:paraId="520ACE3A">
                  <w:pPr>
                    <w:jc w:val="center"/>
                    <w:rPr>
                      <w:szCs w:val="21"/>
                    </w:rPr>
                  </w:pPr>
                  <w:r>
                    <w:rPr>
                      <w:rFonts w:hint="eastAsia"/>
                      <w:szCs w:val="21"/>
                    </w:rPr>
                    <w:t>0.0016</w:t>
                  </w:r>
                </w:p>
              </w:tc>
            </w:tr>
          </w:tbl>
          <w:p w14:paraId="520ACE3C">
            <w:pPr>
              <w:spacing w:line="440" w:lineRule="exact"/>
              <w:ind w:firstLine="480" w:firstLineChars="200"/>
              <w:rPr>
                <w:sz w:val="24"/>
              </w:rPr>
            </w:pPr>
            <w:r>
              <w:rPr>
                <w:rFonts w:hint="eastAsia"/>
                <w:sz w:val="24"/>
              </w:rPr>
              <w:t>根据上表数据及《建设项目环境风险评价技术导则》（</w:t>
            </w:r>
            <w:r>
              <w:rPr>
                <w:sz w:val="24"/>
              </w:rPr>
              <w:t>HJ169</w:t>
            </w:r>
            <w:r>
              <w:rPr>
                <w:rFonts w:hint="eastAsia"/>
                <w:sz w:val="24"/>
              </w:rPr>
              <w:t>-</w:t>
            </w:r>
            <w:r>
              <w:rPr>
                <w:sz w:val="24"/>
              </w:rPr>
              <w:t>2018</w:t>
            </w:r>
            <w:r>
              <w:rPr>
                <w:rFonts w:hint="eastAsia"/>
                <w:sz w:val="24"/>
              </w:rPr>
              <w:t>）附录</w:t>
            </w:r>
            <w:r>
              <w:rPr>
                <w:sz w:val="24"/>
              </w:rPr>
              <w:t>C</w:t>
            </w:r>
            <w:r>
              <w:rPr>
                <w:rFonts w:hint="eastAsia"/>
                <w:sz w:val="24"/>
              </w:rPr>
              <w:t>计算得出，本项目建成后建设路厂区风险物质总量与临界量比值：</w:t>
            </w:r>
            <w:r>
              <w:rPr>
                <w:sz w:val="24"/>
              </w:rPr>
              <w:t>Q=</w:t>
            </w:r>
            <w:r>
              <w:rPr>
                <w:rFonts w:hint="eastAsia"/>
                <w:sz w:val="24"/>
              </w:rPr>
              <w:t>0.</w:t>
            </w:r>
            <w:r>
              <w:rPr>
                <w:sz w:val="24"/>
              </w:rPr>
              <w:t>00</w:t>
            </w:r>
            <w:r>
              <w:rPr>
                <w:rFonts w:hint="eastAsia"/>
                <w:sz w:val="24"/>
              </w:rPr>
              <w:t>31</w:t>
            </w:r>
            <w:r>
              <w:rPr>
                <w:sz w:val="24"/>
              </w:rPr>
              <w:t>＜1，</w:t>
            </w:r>
            <w:r>
              <w:rPr>
                <w:rFonts w:hint="eastAsia"/>
                <w:sz w:val="24"/>
              </w:rPr>
              <w:t>因此建设路厂区环境风险潜势为I级。本项目建成后解放路厂区风险物质总量与临界量比值：</w:t>
            </w:r>
            <w:r>
              <w:rPr>
                <w:sz w:val="24"/>
              </w:rPr>
              <w:t>Q=</w:t>
            </w:r>
            <w:r>
              <w:rPr>
                <w:rFonts w:hint="eastAsia"/>
                <w:sz w:val="24"/>
              </w:rPr>
              <w:t>0.</w:t>
            </w:r>
            <w:r>
              <w:rPr>
                <w:sz w:val="24"/>
              </w:rPr>
              <w:t>00</w:t>
            </w:r>
            <w:r>
              <w:rPr>
                <w:rFonts w:hint="eastAsia"/>
                <w:sz w:val="24"/>
              </w:rPr>
              <w:t>16</w:t>
            </w:r>
            <w:r>
              <w:rPr>
                <w:sz w:val="24"/>
              </w:rPr>
              <w:t>＜1，</w:t>
            </w:r>
            <w:r>
              <w:rPr>
                <w:rFonts w:hint="eastAsia"/>
                <w:sz w:val="24"/>
              </w:rPr>
              <w:t>因此建设路厂区环境风险潜势为I级。</w:t>
            </w:r>
          </w:p>
          <w:p w14:paraId="520ACE3D">
            <w:pPr>
              <w:spacing w:line="440" w:lineRule="exact"/>
              <w:ind w:firstLine="480" w:firstLineChars="200"/>
              <w:rPr>
                <w:sz w:val="24"/>
              </w:rPr>
            </w:pPr>
            <w:r>
              <w:rPr>
                <w:sz w:val="24"/>
              </w:rPr>
              <w:t>根据《建设项目环境风险评价技术导则》（HJ 169-2018），风险评价工作级别划分见下表。</w:t>
            </w:r>
          </w:p>
          <w:p w14:paraId="520ACE3E">
            <w:pPr>
              <w:spacing w:line="460" w:lineRule="exact"/>
              <w:ind w:firstLine="480" w:firstLineChars="200"/>
              <w:rPr>
                <w:sz w:val="24"/>
              </w:rPr>
            </w:pPr>
            <w:r>
              <w:rPr>
                <w:rFonts w:ascii="黑体" w:hAnsi="黑体" w:eastAsia="黑体"/>
                <w:sz w:val="24"/>
              </w:rPr>
              <w:t>表</w:t>
            </w:r>
            <w:r>
              <w:rPr>
                <w:rFonts w:hint="eastAsia"/>
                <w:sz w:val="24"/>
              </w:rPr>
              <w:t>82</w:t>
            </w:r>
            <w:r>
              <w:rPr>
                <w:sz w:val="24"/>
              </w:rPr>
              <w:t xml:space="preserve">             </w:t>
            </w:r>
            <w:r>
              <w:rPr>
                <w:rFonts w:ascii="黑体" w:hAnsi="黑体" w:eastAsia="黑体"/>
                <w:sz w:val="24"/>
              </w:rPr>
              <w:t>评价级别划分一览表</w:t>
            </w:r>
          </w:p>
          <w:tbl>
            <w:tblPr>
              <w:tblStyle w:val="18"/>
              <w:tblW w:w="500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769"/>
              <w:gridCol w:w="1590"/>
              <w:gridCol w:w="1592"/>
              <w:gridCol w:w="1592"/>
              <w:gridCol w:w="1592"/>
            </w:tblGrid>
            <w:tr w14:paraId="520ACE4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660" w:type="dxa"/>
                  <w:tcBorders>
                    <w:top w:val="single" w:color="auto" w:sz="8" w:space="0"/>
                  </w:tcBorders>
                  <w:vAlign w:val="center"/>
                </w:tcPr>
                <w:p w14:paraId="520ACE3F">
                  <w:pPr>
                    <w:jc w:val="center"/>
                    <w:rPr>
                      <w:b/>
                      <w:szCs w:val="21"/>
                    </w:rPr>
                  </w:pPr>
                  <w:r>
                    <w:rPr>
                      <w:b/>
                      <w:szCs w:val="21"/>
                    </w:rPr>
                    <w:t>环境风险潜势</w:t>
                  </w:r>
                </w:p>
              </w:tc>
              <w:tc>
                <w:tcPr>
                  <w:tcW w:w="1492" w:type="dxa"/>
                  <w:tcBorders>
                    <w:top w:val="single" w:color="auto" w:sz="8" w:space="0"/>
                  </w:tcBorders>
                  <w:vAlign w:val="center"/>
                </w:tcPr>
                <w:p w14:paraId="520ACE40">
                  <w:pPr>
                    <w:jc w:val="center"/>
                    <w:rPr>
                      <w:b/>
                      <w:szCs w:val="21"/>
                    </w:rPr>
                  </w:pPr>
                  <w:r>
                    <w:rPr>
                      <w:b/>
                      <w:szCs w:val="21"/>
                    </w:rPr>
                    <w:t>Ⅳ、Ⅳ</w:t>
                  </w:r>
                  <w:r>
                    <w:rPr>
                      <w:b/>
                      <w:szCs w:val="21"/>
                      <w:vertAlign w:val="superscript"/>
                    </w:rPr>
                    <w:t>+</w:t>
                  </w:r>
                </w:p>
              </w:tc>
              <w:tc>
                <w:tcPr>
                  <w:tcW w:w="1493" w:type="dxa"/>
                  <w:tcBorders>
                    <w:top w:val="single" w:color="auto" w:sz="8" w:space="0"/>
                  </w:tcBorders>
                  <w:vAlign w:val="center"/>
                </w:tcPr>
                <w:p w14:paraId="520ACE41">
                  <w:pPr>
                    <w:jc w:val="center"/>
                    <w:rPr>
                      <w:b/>
                      <w:szCs w:val="21"/>
                    </w:rPr>
                  </w:pPr>
                  <w:r>
                    <w:rPr>
                      <w:b/>
                      <w:szCs w:val="21"/>
                    </w:rPr>
                    <w:t>Ⅲ</w:t>
                  </w:r>
                </w:p>
              </w:tc>
              <w:tc>
                <w:tcPr>
                  <w:tcW w:w="1493" w:type="dxa"/>
                  <w:tcBorders>
                    <w:top w:val="single" w:color="auto" w:sz="8" w:space="0"/>
                  </w:tcBorders>
                  <w:vAlign w:val="center"/>
                </w:tcPr>
                <w:p w14:paraId="520ACE42">
                  <w:pPr>
                    <w:jc w:val="center"/>
                    <w:rPr>
                      <w:b/>
                      <w:szCs w:val="21"/>
                    </w:rPr>
                  </w:pPr>
                  <w:r>
                    <w:rPr>
                      <w:b/>
                      <w:szCs w:val="21"/>
                    </w:rPr>
                    <w:t>Ⅱ</w:t>
                  </w:r>
                </w:p>
              </w:tc>
              <w:tc>
                <w:tcPr>
                  <w:tcW w:w="1493" w:type="dxa"/>
                  <w:tcBorders>
                    <w:top w:val="single" w:color="auto" w:sz="8" w:space="0"/>
                  </w:tcBorders>
                  <w:vAlign w:val="center"/>
                </w:tcPr>
                <w:p w14:paraId="520ACE43">
                  <w:pPr>
                    <w:jc w:val="center"/>
                    <w:rPr>
                      <w:b/>
                      <w:szCs w:val="21"/>
                    </w:rPr>
                  </w:pPr>
                  <w:r>
                    <w:rPr>
                      <w:b/>
                      <w:szCs w:val="21"/>
                    </w:rPr>
                    <w:t>Ⅰ</w:t>
                  </w:r>
                </w:p>
              </w:tc>
            </w:tr>
            <w:tr w14:paraId="520ACE4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1660" w:type="dxa"/>
                  <w:tcBorders>
                    <w:bottom w:val="single" w:color="auto" w:sz="8" w:space="0"/>
                  </w:tcBorders>
                  <w:vAlign w:val="center"/>
                </w:tcPr>
                <w:p w14:paraId="520ACE45">
                  <w:pPr>
                    <w:jc w:val="center"/>
                    <w:rPr>
                      <w:szCs w:val="21"/>
                    </w:rPr>
                  </w:pPr>
                  <w:r>
                    <w:rPr>
                      <w:szCs w:val="21"/>
                    </w:rPr>
                    <w:t>评价工作等级</w:t>
                  </w:r>
                </w:p>
              </w:tc>
              <w:tc>
                <w:tcPr>
                  <w:tcW w:w="1492" w:type="dxa"/>
                  <w:tcBorders>
                    <w:bottom w:val="single" w:color="auto" w:sz="8" w:space="0"/>
                  </w:tcBorders>
                  <w:vAlign w:val="center"/>
                </w:tcPr>
                <w:p w14:paraId="520ACE46">
                  <w:pPr>
                    <w:jc w:val="center"/>
                    <w:rPr>
                      <w:szCs w:val="21"/>
                    </w:rPr>
                  </w:pPr>
                  <w:r>
                    <w:rPr>
                      <w:szCs w:val="21"/>
                    </w:rPr>
                    <w:t>一</w:t>
                  </w:r>
                </w:p>
              </w:tc>
              <w:tc>
                <w:tcPr>
                  <w:tcW w:w="1493" w:type="dxa"/>
                  <w:tcBorders>
                    <w:bottom w:val="single" w:color="auto" w:sz="8" w:space="0"/>
                  </w:tcBorders>
                  <w:vAlign w:val="center"/>
                </w:tcPr>
                <w:p w14:paraId="520ACE47">
                  <w:pPr>
                    <w:jc w:val="center"/>
                    <w:rPr>
                      <w:szCs w:val="21"/>
                    </w:rPr>
                  </w:pPr>
                  <w:r>
                    <w:rPr>
                      <w:szCs w:val="21"/>
                    </w:rPr>
                    <w:t>二</w:t>
                  </w:r>
                </w:p>
              </w:tc>
              <w:tc>
                <w:tcPr>
                  <w:tcW w:w="1493" w:type="dxa"/>
                  <w:tcBorders>
                    <w:bottom w:val="single" w:color="auto" w:sz="8" w:space="0"/>
                  </w:tcBorders>
                  <w:vAlign w:val="center"/>
                </w:tcPr>
                <w:p w14:paraId="520ACE48">
                  <w:pPr>
                    <w:jc w:val="center"/>
                    <w:rPr>
                      <w:szCs w:val="21"/>
                    </w:rPr>
                  </w:pPr>
                  <w:r>
                    <w:rPr>
                      <w:szCs w:val="21"/>
                    </w:rPr>
                    <w:t>三</w:t>
                  </w:r>
                </w:p>
              </w:tc>
              <w:tc>
                <w:tcPr>
                  <w:tcW w:w="1493" w:type="dxa"/>
                  <w:tcBorders>
                    <w:bottom w:val="single" w:color="auto" w:sz="8" w:space="0"/>
                  </w:tcBorders>
                  <w:vAlign w:val="center"/>
                </w:tcPr>
                <w:p w14:paraId="520ACE49">
                  <w:pPr>
                    <w:jc w:val="center"/>
                    <w:rPr>
                      <w:szCs w:val="21"/>
                    </w:rPr>
                  </w:pPr>
                  <w:r>
                    <w:rPr>
                      <w:szCs w:val="21"/>
                    </w:rPr>
                    <w:t>简单分析</w:t>
                  </w:r>
                </w:p>
              </w:tc>
            </w:tr>
          </w:tbl>
          <w:p w14:paraId="520ACE4B">
            <w:pPr>
              <w:spacing w:line="460" w:lineRule="exact"/>
              <w:ind w:firstLine="480" w:firstLineChars="200"/>
              <w:rPr>
                <w:sz w:val="24"/>
              </w:rPr>
            </w:pPr>
            <w:r>
              <w:rPr>
                <w:sz w:val="24"/>
              </w:rPr>
              <w:t>本项目环境风险潜势为Ⅰ，按照要求开展简单分析即可。</w:t>
            </w:r>
          </w:p>
          <w:p w14:paraId="520ACE4C">
            <w:pPr>
              <w:autoSpaceDE w:val="0"/>
              <w:autoSpaceDN w:val="0"/>
              <w:adjustRightInd w:val="0"/>
              <w:snapToGrid w:val="0"/>
              <w:spacing w:line="460" w:lineRule="exact"/>
              <w:ind w:firstLine="482" w:firstLineChars="200"/>
              <w:textAlignment w:val="baseline"/>
              <w:rPr>
                <w:b/>
                <w:bCs/>
                <w:kern w:val="0"/>
                <w:sz w:val="24"/>
              </w:rPr>
            </w:pPr>
            <w:r>
              <w:rPr>
                <w:rFonts w:hint="eastAsia"/>
                <w:b/>
                <w:bCs/>
                <w:kern w:val="0"/>
                <w:sz w:val="24"/>
              </w:rPr>
              <w:t>2、风险源分布情况</w:t>
            </w:r>
          </w:p>
          <w:p w14:paraId="520ACE5B">
            <w:pPr>
              <w:adjustRightInd w:val="0"/>
              <w:snapToGrid w:val="0"/>
              <w:spacing w:line="460" w:lineRule="exact"/>
              <w:ind w:firstLine="480" w:firstLineChars="200"/>
              <w:rPr>
                <w:sz w:val="24"/>
              </w:rPr>
            </w:pPr>
            <w:r>
              <w:rPr>
                <w:rFonts w:hint="eastAsia"/>
                <w:sz w:val="24"/>
              </w:rPr>
              <w:t>本项目风险物质在建设路厂区和解放路厂区的位置图如下。</w:t>
            </w:r>
          </w:p>
          <w:p w14:paraId="3AA0036A">
            <w:pPr>
              <w:adjustRightInd w:val="0"/>
              <w:snapToGrid w:val="0"/>
              <w:spacing w:line="460" w:lineRule="exact"/>
              <w:ind w:firstLine="480" w:firstLineChars="200"/>
              <w:rPr>
                <w:sz w:val="24"/>
              </w:rPr>
            </w:pPr>
          </w:p>
          <w:p w14:paraId="1C800F35">
            <w:pPr>
              <w:adjustRightInd w:val="0"/>
              <w:snapToGrid w:val="0"/>
              <w:spacing w:line="460" w:lineRule="exact"/>
              <w:ind w:firstLine="480" w:firstLineChars="200"/>
              <w:rPr>
                <w:sz w:val="24"/>
              </w:rPr>
            </w:pPr>
          </w:p>
          <w:p w14:paraId="22DAE1DA">
            <w:pPr>
              <w:adjustRightInd w:val="0"/>
              <w:snapToGrid w:val="0"/>
              <w:spacing w:line="460" w:lineRule="exact"/>
              <w:ind w:firstLine="480" w:firstLineChars="200"/>
              <w:rPr>
                <w:sz w:val="24"/>
              </w:rPr>
            </w:pPr>
          </w:p>
          <w:p w14:paraId="0E61C692">
            <w:pPr>
              <w:adjustRightInd w:val="0"/>
              <w:snapToGrid w:val="0"/>
              <w:spacing w:line="460" w:lineRule="exact"/>
              <w:ind w:firstLine="480" w:firstLineChars="200"/>
              <w:rPr>
                <w:sz w:val="24"/>
              </w:rPr>
            </w:pPr>
          </w:p>
          <w:p w14:paraId="4C22190E">
            <w:pPr>
              <w:adjustRightInd w:val="0"/>
              <w:snapToGrid w:val="0"/>
              <w:spacing w:line="460" w:lineRule="exact"/>
              <w:ind w:firstLine="480" w:firstLineChars="200"/>
              <w:rPr>
                <w:sz w:val="24"/>
              </w:rPr>
            </w:pPr>
          </w:p>
          <w:p w14:paraId="44A4BFAA">
            <w:pPr>
              <w:adjustRightInd w:val="0"/>
              <w:snapToGrid w:val="0"/>
              <w:spacing w:line="460" w:lineRule="exact"/>
              <w:ind w:firstLine="480" w:firstLineChars="200"/>
              <w:rPr>
                <w:sz w:val="24"/>
              </w:rPr>
            </w:pPr>
          </w:p>
          <w:p w14:paraId="2CCDBF24">
            <w:pPr>
              <w:adjustRightInd w:val="0"/>
              <w:snapToGrid w:val="0"/>
              <w:spacing w:line="460" w:lineRule="exact"/>
              <w:ind w:firstLine="480" w:firstLineChars="200"/>
              <w:rPr>
                <w:sz w:val="24"/>
              </w:rPr>
            </w:pPr>
          </w:p>
          <w:p w14:paraId="35963F77">
            <w:pPr>
              <w:adjustRightInd w:val="0"/>
              <w:snapToGrid w:val="0"/>
              <w:spacing w:line="460" w:lineRule="exact"/>
              <w:ind w:firstLine="480" w:firstLineChars="200"/>
              <w:rPr>
                <w:sz w:val="24"/>
              </w:rPr>
            </w:pPr>
          </w:p>
          <w:p w14:paraId="01DDA2E8">
            <w:pPr>
              <w:adjustRightInd w:val="0"/>
              <w:snapToGrid w:val="0"/>
              <w:spacing w:line="460" w:lineRule="exact"/>
              <w:ind w:firstLine="480" w:firstLineChars="200"/>
              <w:rPr>
                <w:sz w:val="24"/>
              </w:rPr>
            </w:pPr>
          </w:p>
          <w:p w14:paraId="7DB30582">
            <w:pPr>
              <w:adjustRightInd w:val="0"/>
              <w:snapToGrid w:val="0"/>
              <w:spacing w:line="460" w:lineRule="exact"/>
              <w:ind w:firstLine="480" w:firstLineChars="200"/>
              <w:rPr>
                <w:sz w:val="24"/>
              </w:rPr>
            </w:pPr>
          </w:p>
          <w:p w14:paraId="5EF60F15">
            <w:pPr>
              <w:adjustRightInd w:val="0"/>
              <w:snapToGrid w:val="0"/>
              <w:spacing w:line="460" w:lineRule="exact"/>
              <w:ind w:firstLine="480" w:firstLineChars="200"/>
              <w:rPr>
                <w:sz w:val="24"/>
              </w:rPr>
            </w:pPr>
          </w:p>
          <w:p w14:paraId="3D65A538">
            <w:pPr>
              <w:adjustRightInd w:val="0"/>
              <w:snapToGrid w:val="0"/>
              <w:spacing w:line="460" w:lineRule="exact"/>
              <w:ind w:firstLine="480" w:firstLineChars="200"/>
              <w:rPr>
                <w:sz w:val="24"/>
              </w:rPr>
            </w:pPr>
          </w:p>
          <w:p w14:paraId="70437669">
            <w:pPr>
              <w:adjustRightInd w:val="0"/>
              <w:snapToGrid w:val="0"/>
              <w:spacing w:line="460" w:lineRule="exact"/>
              <w:ind w:firstLine="480" w:firstLineChars="200"/>
              <w:rPr>
                <w:sz w:val="24"/>
              </w:rPr>
            </w:pPr>
          </w:p>
          <w:p w14:paraId="362912D6">
            <w:pPr>
              <w:adjustRightInd w:val="0"/>
              <w:snapToGrid w:val="0"/>
              <w:spacing w:line="460" w:lineRule="exact"/>
              <w:ind w:firstLine="480" w:firstLineChars="200"/>
              <w:rPr>
                <w:sz w:val="24"/>
              </w:rPr>
            </w:pPr>
          </w:p>
          <w:p w14:paraId="6CC2BC95">
            <w:pPr>
              <w:adjustRightInd w:val="0"/>
              <w:snapToGrid w:val="0"/>
              <w:spacing w:line="460" w:lineRule="exact"/>
              <w:ind w:firstLine="480" w:firstLineChars="200"/>
              <w:rPr>
                <w:sz w:val="24"/>
              </w:rPr>
            </w:pPr>
          </w:p>
          <w:p w14:paraId="203BAF88">
            <w:pPr>
              <w:adjustRightInd w:val="0"/>
              <w:snapToGrid w:val="0"/>
              <w:spacing w:line="460" w:lineRule="exact"/>
              <w:ind w:firstLine="480" w:firstLineChars="200"/>
              <w:rPr>
                <w:sz w:val="24"/>
              </w:rPr>
            </w:pPr>
          </w:p>
          <w:p w14:paraId="516AE18E">
            <w:pPr>
              <w:adjustRightInd w:val="0"/>
              <w:snapToGrid w:val="0"/>
              <w:spacing w:line="460" w:lineRule="exact"/>
              <w:ind w:firstLine="480" w:firstLineChars="200"/>
              <w:rPr>
                <w:sz w:val="24"/>
              </w:rPr>
            </w:pPr>
          </w:p>
          <w:p w14:paraId="3BAD2A8E">
            <w:pPr>
              <w:adjustRightInd w:val="0"/>
              <w:snapToGrid w:val="0"/>
              <w:spacing w:line="460" w:lineRule="exact"/>
              <w:ind w:firstLine="480" w:firstLineChars="200"/>
              <w:rPr>
                <w:sz w:val="24"/>
              </w:rPr>
            </w:pPr>
          </w:p>
          <w:p w14:paraId="0ED74FFE">
            <w:pPr>
              <w:adjustRightInd w:val="0"/>
              <w:snapToGrid w:val="0"/>
              <w:spacing w:line="460" w:lineRule="exact"/>
              <w:ind w:firstLine="480" w:firstLineChars="200"/>
              <w:rPr>
                <w:sz w:val="24"/>
              </w:rPr>
            </w:pPr>
          </w:p>
          <w:p w14:paraId="113D48D3">
            <w:pPr>
              <w:adjustRightInd w:val="0"/>
              <w:snapToGrid w:val="0"/>
              <w:spacing w:line="460" w:lineRule="exact"/>
              <w:ind w:firstLine="480" w:firstLineChars="200"/>
              <w:rPr>
                <w:sz w:val="24"/>
              </w:rPr>
            </w:pPr>
          </w:p>
          <w:p w14:paraId="0E328EF0">
            <w:pPr>
              <w:adjustRightInd w:val="0"/>
              <w:snapToGrid w:val="0"/>
              <w:spacing w:line="460" w:lineRule="exact"/>
              <w:ind w:firstLine="480" w:firstLineChars="200"/>
              <w:rPr>
                <w:sz w:val="24"/>
                <w:highlight w:val="yellow"/>
              </w:rPr>
            </w:pPr>
          </w:p>
          <w:p w14:paraId="520ACE5C">
            <w:pPr>
              <w:adjustRightInd w:val="0"/>
              <w:jc w:val="center"/>
              <w:rPr>
                <w:rFonts w:eastAsia="黑体"/>
                <w:sz w:val="24"/>
              </w:rPr>
            </w:pPr>
            <w:r>
              <w:rPr>
                <w:rFonts w:hint="eastAsia"/>
              </w:rPr>
              <w:object>
                <v:shape id="_x0000_i1031" o:spt="75" alt="" type="#_x0000_t75" style="height:515.35pt;width:408pt;" o:ole="t" filled="f" o:preferrelative="t" stroked="f" coordsize="21600,21600">
                  <v:fill on="f" focussize="0,0"/>
                  <v:stroke on="f"/>
                  <v:imagedata r:id="rId41" o:title=""/>
                  <o:lock v:ext="edit" aspectratio="t"/>
                  <w10:wrap type="none"/>
                  <w10:anchorlock/>
                </v:shape>
                <o:OLEObject Type="Embed" ProgID="Visio.Drawing.15" ShapeID="_x0000_i1031" DrawAspect="Content" ObjectID="_1468075726" r:id="rId40">
                  <o:LockedField>false</o:LockedField>
                </o:OLEObject>
              </w:object>
            </w:r>
          </w:p>
          <w:p w14:paraId="520ACE5D">
            <w:pPr>
              <w:adjustRightInd w:val="0"/>
              <w:jc w:val="center"/>
              <w:rPr>
                <w:rFonts w:eastAsia="黑体"/>
                <w:sz w:val="24"/>
              </w:rPr>
            </w:pPr>
            <w:r>
              <w:rPr>
                <w:rFonts w:eastAsia="黑体"/>
                <w:sz w:val="24"/>
              </w:rPr>
              <w:t>图</w:t>
            </w:r>
            <w:r>
              <w:rPr>
                <w:rFonts w:hint="eastAsia" w:eastAsia="黑体"/>
                <w:sz w:val="24"/>
              </w:rPr>
              <w:t>12</w:t>
            </w:r>
            <w:r>
              <w:rPr>
                <w:rFonts w:eastAsia="黑体"/>
                <w:sz w:val="24"/>
              </w:rPr>
              <w:t xml:space="preserve">  </w:t>
            </w:r>
            <w:r>
              <w:rPr>
                <w:rFonts w:hint="eastAsia" w:eastAsia="黑体"/>
                <w:sz w:val="24"/>
              </w:rPr>
              <w:t>本项目建设路厂区</w:t>
            </w:r>
            <w:r>
              <w:rPr>
                <w:rFonts w:eastAsia="黑体"/>
                <w:sz w:val="24"/>
              </w:rPr>
              <w:t>危险单元分布图</w:t>
            </w:r>
          </w:p>
          <w:p w14:paraId="520ACE5E">
            <w:pPr>
              <w:adjustRightInd w:val="0"/>
              <w:jc w:val="center"/>
              <w:rPr>
                <w:rFonts w:eastAsia="黑体"/>
                <w:sz w:val="24"/>
              </w:rPr>
            </w:pPr>
          </w:p>
          <w:p w14:paraId="520ACE5F">
            <w:pPr>
              <w:adjustRightInd w:val="0"/>
              <w:jc w:val="center"/>
              <w:rPr>
                <w:rFonts w:eastAsia="黑体"/>
                <w:sz w:val="24"/>
              </w:rPr>
            </w:pPr>
          </w:p>
          <w:p w14:paraId="520ACE60">
            <w:pPr>
              <w:adjustRightInd w:val="0"/>
              <w:jc w:val="center"/>
              <w:rPr>
                <w:rFonts w:eastAsia="黑体"/>
                <w:sz w:val="24"/>
              </w:rPr>
            </w:pPr>
          </w:p>
          <w:p w14:paraId="520ACE61">
            <w:pPr>
              <w:adjustRightInd w:val="0"/>
              <w:jc w:val="center"/>
              <w:rPr>
                <w:rFonts w:eastAsia="黑体"/>
                <w:sz w:val="24"/>
              </w:rPr>
            </w:pPr>
          </w:p>
          <w:p w14:paraId="520ACE62">
            <w:pPr>
              <w:adjustRightInd w:val="0"/>
              <w:jc w:val="center"/>
              <w:rPr>
                <w:rFonts w:eastAsia="黑体"/>
                <w:sz w:val="24"/>
              </w:rPr>
            </w:pPr>
          </w:p>
          <w:p w14:paraId="520ACE63">
            <w:pPr>
              <w:adjustRightInd w:val="0"/>
              <w:jc w:val="center"/>
              <w:rPr>
                <w:rFonts w:eastAsia="黑体"/>
                <w:sz w:val="24"/>
              </w:rPr>
            </w:pPr>
          </w:p>
          <w:p w14:paraId="520ACE64">
            <w:pPr>
              <w:spacing w:line="360" w:lineRule="auto"/>
              <w:rPr>
                <w:b/>
                <w:bCs/>
                <w:sz w:val="24"/>
              </w:rPr>
            </w:pPr>
            <w:r>
              <w:rPr>
                <w:rFonts w:hint="eastAsia"/>
              </w:rPr>
              <w:object>
                <v:shape id="_x0000_i1032" o:spt="75" alt="" type="#_x0000_t75" style="height:510pt;width:408pt;" o:ole="t" filled="f" o:preferrelative="t" stroked="f" coordsize="21600,21600">
                  <v:fill on="f" focussize="0,0"/>
                  <v:stroke on="f"/>
                  <v:imagedata r:id="rId43" o:title=""/>
                  <o:lock v:ext="edit" aspectratio="t"/>
                  <w10:wrap type="none"/>
                  <w10:anchorlock/>
                </v:shape>
                <o:OLEObject Type="Embed" ProgID="Visio.Drawing.15" ShapeID="_x0000_i1032" DrawAspect="Content" ObjectID="_1468075727" r:id="rId42">
                  <o:LockedField>false</o:LockedField>
                </o:OLEObject>
              </w:object>
            </w:r>
          </w:p>
          <w:p w14:paraId="520ACE65">
            <w:pPr>
              <w:adjustRightInd w:val="0"/>
              <w:jc w:val="center"/>
              <w:rPr>
                <w:b/>
                <w:bCs/>
                <w:sz w:val="24"/>
              </w:rPr>
            </w:pPr>
            <w:r>
              <w:rPr>
                <w:rFonts w:eastAsia="黑体"/>
                <w:sz w:val="24"/>
              </w:rPr>
              <w:t>图</w:t>
            </w:r>
            <w:r>
              <w:rPr>
                <w:rFonts w:hint="eastAsia" w:eastAsia="黑体"/>
                <w:sz w:val="24"/>
              </w:rPr>
              <w:t>13</w:t>
            </w:r>
            <w:r>
              <w:rPr>
                <w:rFonts w:eastAsia="黑体"/>
                <w:sz w:val="24"/>
              </w:rPr>
              <w:t xml:space="preserve">  </w:t>
            </w:r>
            <w:r>
              <w:rPr>
                <w:rFonts w:hint="eastAsia" w:eastAsia="黑体"/>
                <w:sz w:val="24"/>
              </w:rPr>
              <w:t>本项目解放路厂区</w:t>
            </w:r>
            <w:r>
              <w:rPr>
                <w:rFonts w:eastAsia="黑体"/>
                <w:sz w:val="24"/>
              </w:rPr>
              <w:t>危险单元分布图</w:t>
            </w:r>
          </w:p>
          <w:p w14:paraId="520ACE66">
            <w:pPr>
              <w:spacing w:line="460" w:lineRule="exact"/>
              <w:ind w:firstLine="482" w:firstLineChars="200"/>
              <w:rPr>
                <w:b/>
                <w:bCs/>
                <w:sz w:val="24"/>
              </w:rPr>
            </w:pPr>
            <w:r>
              <w:rPr>
                <w:b/>
                <w:bCs/>
                <w:sz w:val="24"/>
              </w:rPr>
              <w:t>3、可能影响环境的途径</w:t>
            </w:r>
          </w:p>
          <w:p w14:paraId="520ACE67">
            <w:pPr>
              <w:adjustRightInd w:val="0"/>
              <w:snapToGrid w:val="0"/>
              <w:spacing w:line="460" w:lineRule="exact"/>
              <w:ind w:firstLine="480" w:firstLineChars="200"/>
              <w:rPr>
                <w:sz w:val="24"/>
              </w:rPr>
            </w:pPr>
            <w:r>
              <w:rPr>
                <w:rFonts w:hint="eastAsia"/>
                <w:sz w:val="24"/>
              </w:rPr>
              <w:t>经查阅相关资料，本项目涉及风险物质可能影响环境的途径为：油类物质泄漏</w:t>
            </w:r>
            <w:r>
              <w:rPr>
                <w:sz w:val="24"/>
              </w:rPr>
              <w:t>遇明火意外燃烧</w:t>
            </w:r>
            <w:r>
              <w:rPr>
                <w:rFonts w:hint="eastAsia"/>
                <w:sz w:val="24"/>
              </w:rPr>
              <w:t>或引起爆炸，</w:t>
            </w:r>
            <w:r>
              <w:rPr>
                <w:sz w:val="24"/>
              </w:rPr>
              <w:t>从而引发火灾事故</w:t>
            </w:r>
            <w:r>
              <w:rPr>
                <w:rFonts w:hint="eastAsia"/>
                <w:sz w:val="24"/>
              </w:rPr>
              <w:t>，导致引起伴生/次生大气污染物排放，</w:t>
            </w:r>
            <w:r>
              <w:rPr>
                <w:sz w:val="24"/>
              </w:rPr>
              <w:t>可能引起短时超过大气环境质量超标的状况，造成区域大气环境污染</w:t>
            </w:r>
            <w:r>
              <w:rPr>
                <w:rFonts w:hint="eastAsia"/>
                <w:sz w:val="24"/>
              </w:rPr>
              <w:t>。</w:t>
            </w:r>
          </w:p>
          <w:p w14:paraId="520ACE68">
            <w:pPr>
              <w:spacing w:line="460" w:lineRule="exact"/>
              <w:ind w:firstLine="482" w:firstLineChars="200"/>
              <w:rPr>
                <w:b/>
                <w:bCs/>
                <w:sz w:val="24"/>
              </w:rPr>
            </w:pPr>
            <w:r>
              <w:rPr>
                <w:b/>
                <w:bCs/>
                <w:sz w:val="24"/>
              </w:rPr>
              <w:t>4</w:t>
            </w:r>
            <w:r>
              <w:rPr>
                <w:rFonts w:hint="eastAsia"/>
                <w:b/>
                <w:bCs/>
                <w:sz w:val="24"/>
              </w:rPr>
              <w:t>、环境风险防范措施</w:t>
            </w:r>
          </w:p>
          <w:p w14:paraId="520ACE69">
            <w:pPr>
              <w:adjustRightInd w:val="0"/>
              <w:snapToGrid w:val="0"/>
              <w:spacing w:line="460" w:lineRule="exact"/>
              <w:ind w:firstLine="480" w:firstLineChars="200"/>
              <w:rPr>
                <w:sz w:val="24"/>
              </w:rPr>
            </w:pPr>
            <w:r>
              <w:rPr>
                <w:rFonts w:hint="eastAsia"/>
                <w:sz w:val="24"/>
              </w:rPr>
              <w:t>（1）建立健全本单位的安全生产责任制、安全生产规章制度和操作规程，明确各岗位人员的职责。</w:t>
            </w:r>
          </w:p>
          <w:p w14:paraId="520ACE6A">
            <w:pPr>
              <w:adjustRightInd w:val="0"/>
              <w:snapToGrid w:val="0"/>
              <w:spacing w:line="460" w:lineRule="exact"/>
              <w:ind w:firstLine="480" w:firstLineChars="200"/>
              <w:rPr>
                <w:sz w:val="24"/>
              </w:rPr>
            </w:pPr>
            <w:r>
              <w:rPr>
                <w:rFonts w:hint="eastAsia"/>
                <w:sz w:val="24"/>
              </w:rPr>
              <w:t>（2）项目试生产（使用）前，应严格按照有关规定制定试生产（使用）方案办理相关手续。操作人员经岗前培训合格，方可参加操作。工程项目验收时，应同时验收安全设施。</w:t>
            </w:r>
          </w:p>
          <w:p w14:paraId="520ACE6B">
            <w:pPr>
              <w:adjustRightInd w:val="0"/>
              <w:snapToGrid w:val="0"/>
              <w:spacing w:line="460" w:lineRule="exact"/>
              <w:ind w:firstLine="480" w:firstLineChars="200"/>
              <w:rPr>
                <w:sz w:val="24"/>
              </w:rPr>
            </w:pPr>
            <w:r>
              <w:rPr>
                <w:rFonts w:hint="eastAsia"/>
                <w:sz w:val="24"/>
              </w:rPr>
              <w:t>（3）油类物质</w:t>
            </w:r>
            <w:r>
              <w:rPr>
                <w:sz w:val="24"/>
              </w:rPr>
              <w:t>储存于阴凉、通风的库房。远离火种、热源。库温不宜超过30℃，可</w:t>
            </w:r>
            <w:r>
              <w:rPr>
                <w:rFonts w:hint="eastAsia"/>
                <w:sz w:val="24"/>
              </w:rPr>
              <w:t>设置防晒、冷却水喷淋降温设施或有良好的绝热保温设施。设置的电气设施和防雷、防静电装置必须符合国家标准、规范的要求并定期检查及监测。原料</w:t>
            </w:r>
            <w:r>
              <w:rPr>
                <w:sz w:val="24"/>
              </w:rPr>
              <w:t>入库时应检查是否有泄漏现象，在贮存期定期检查，发现泄漏，及时处理</w:t>
            </w:r>
            <w:r>
              <w:rPr>
                <w:rFonts w:hint="eastAsia"/>
                <w:sz w:val="24"/>
              </w:rPr>
              <w:t>；</w:t>
            </w:r>
            <w:r>
              <w:rPr>
                <w:sz w:val="24"/>
              </w:rPr>
              <w:t>搬运时轻装轻卸，防止</w:t>
            </w:r>
            <w:r>
              <w:rPr>
                <w:rFonts w:hint="eastAsia"/>
                <w:sz w:val="24"/>
              </w:rPr>
              <w:t>储桶</w:t>
            </w:r>
            <w:r>
              <w:rPr>
                <w:sz w:val="24"/>
              </w:rPr>
              <w:t>破损。</w:t>
            </w:r>
            <w:r>
              <w:rPr>
                <w:rFonts w:hint="eastAsia"/>
                <w:sz w:val="24"/>
              </w:rPr>
              <w:t>现有建设路厂区</w:t>
            </w:r>
            <w:r>
              <w:rPr>
                <w:kern w:val="0"/>
                <w:sz w:val="24"/>
              </w:rPr>
              <w:t>油库、</w:t>
            </w:r>
            <w:r>
              <w:rPr>
                <w:rFonts w:hint="eastAsia"/>
                <w:kern w:val="0"/>
                <w:sz w:val="24"/>
              </w:rPr>
              <w:t>危废贮存库措施</w:t>
            </w:r>
            <w:r>
              <w:rPr>
                <w:kern w:val="0"/>
                <w:sz w:val="24"/>
              </w:rPr>
              <w:t>：配备了灭火器、消防栓、高压水枪以及消防沙池等；油库及废油库外设置了3个泡沫灭火装置；</w:t>
            </w:r>
            <w:r>
              <w:rPr>
                <w:rFonts w:hint="eastAsia"/>
                <w:kern w:val="0"/>
                <w:sz w:val="24"/>
              </w:rPr>
              <w:t>油库</w:t>
            </w:r>
            <w:r>
              <w:rPr>
                <w:kern w:val="0"/>
                <w:sz w:val="24"/>
              </w:rPr>
              <w:t>顶部设置若干6kg悬挂式超细干粉灭火器；油库下方设置</w:t>
            </w:r>
            <w:r>
              <w:rPr>
                <w:rFonts w:hint="eastAsia"/>
                <w:kern w:val="0"/>
                <w:sz w:val="24"/>
              </w:rPr>
              <w:t>1座</w:t>
            </w:r>
            <w:r>
              <w:rPr>
                <w:kern w:val="0"/>
                <w:sz w:val="24"/>
              </w:rPr>
              <w:t>12.42m</w:t>
            </w:r>
            <w:r>
              <w:rPr>
                <w:kern w:val="0"/>
                <w:sz w:val="24"/>
                <w:vertAlign w:val="superscript"/>
              </w:rPr>
              <w:t>3</w:t>
            </w:r>
            <w:r>
              <w:rPr>
                <w:rFonts w:hint="eastAsia"/>
                <w:kern w:val="0"/>
                <w:sz w:val="24"/>
              </w:rPr>
              <w:t>（</w:t>
            </w:r>
            <w:r>
              <w:rPr>
                <w:kern w:val="0"/>
                <w:sz w:val="24"/>
              </w:rPr>
              <w:t>4.6m×1.5m×1.8m</w:t>
            </w:r>
            <w:r>
              <w:rPr>
                <w:rFonts w:hint="eastAsia"/>
                <w:kern w:val="0"/>
                <w:sz w:val="24"/>
              </w:rPr>
              <w:t>）</w:t>
            </w:r>
            <w:r>
              <w:rPr>
                <w:kern w:val="0"/>
                <w:sz w:val="24"/>
              </w:rPr>
              <w:t>应急池</w:t>
            </w:r>
            <w:r>
              <w:rPr>
                <w:rFonts w:hint="eastAsia"/>
                <w:kern w:val="0"/>
                <w:sz w:val="24"/>
              </w:rPr>
              <w:t>、1座</w:t>
            </w:r>
            <w:r>
              <w:rPr>
                <w:kern w:val="0"/>
                <w:sz w:val="24"/>
              </w:rPr>
              <w:t>9.72m</w:t>
            </w:r>
            <w:r>
              <w:rPr>
                <w:kern w:val="0"/>
                <w:sz w:val="24"/>
                <w:vertAlign w:val="superscript"/>
              </w:rPr>
              <w:t>3</w:t>
            </w:r>
            <w:r>
              <w:rPr>
                <w:rFonts w:hint="eastAsia"/>
                <w:kern w:val="0"/>
                <w:sz w:val="24"/>
              </w:rPr>
              <w:t>（</w:t>
            </w:r>
            <w:r>
              <w:rPr>
                <w:kern w:val="0"/>
                <w:sz w:val="24"/>
              </w:rPr>
              <w:t>3.6m×1.5m×1.8m</w:t>
            </w:r>
            <w:r>
              <w:rPr>
                <w:rFonts w:hint="eastAsia"/>
                <w:kern w:val="0"/>
                <w:sz w:val="24"/>
              </w:rPr>
              <w:t>）</w:t>
            </w:r>
            <w:r>
              <w:rPr>
                <w:kern w:val="0"/>
                <w:sz w:val="24"/>
              </w:rPr>
              <w:t>事故池；</w:t>
            </w:r>
            <w:r>
              <w:rPr>
                <w:rFonts w:hint="eastAsia"/>
                <w:kern w:val="0"/>
                <w:sz w:val="24"/>
              </w:rPr>
              <w:t>危废贮存库</w:t>
            </w:r>
            <w:r>
              <w:rPr>
                <w:kern w:val="0"/>
                <w:sz w:val="24"/>
              </w:rPr>
              <w:t>下方设置</w:t>
            </w:r>
            <w:r>
              <w:rPr>
                <w:rFonts w:hint="eastAsia"/>
                <w:kern w:val="0"/>
                <w:sz w:val="24"/>
              </w:rPr>
              <w:t>1座</w:t>
            </w:r>
            <w:r>
              <w:rPr>
                <w:kern w:val="0"/>
                <w:sz w:val="24"/>
              </w:rPr>
              <w:t>64.38m</w:t>
            </w:r>
            <w:r>
              <w:rPr>
                <w:kern w:val="0"/>
                <w:sz w:val="24"/>
                <w:vertAlign w:val="superscript"/>
              </w:rPr>
              <w:t>3</w:t>
            </w:r>
            <w:r>
              <w:rPr>
                <w:rFonts w:hint="eastAsia"/>
                <w:kern w:val="0"/>
                <w:sz w:val="24"/>
              </w:rPr>
              <w:t>（</w:t>
            </w:r>
            <w:r>
              <w:rPr>
                <w:kern w:val="0"/>
                <w:sz w:val="24"/>
              </w:rPr>
              <w:t>7.4m×5.8m×1.5m</w:t>
            </w:r>
            <w:r>
              <w:rPr>
                <w:rFonts w:hint="eastAsia"/>
                <w:kern w:val="0"/>
                <w:sz w:val="24"/>
              </w:rPr>
              <w:t>）</w:t>
            </w:r>
            <w:r>
              <w:rPr>
                <w:kern w:val="0"/>
                <w:sz w:val="24"/>
              </w:rPr>
              <w:t>事故水池；防毒面具等消防设备储备完善；各关键位置设置若干警示牌。</w:t>
            </w:r>
            <w:r>
              <w:rPr>
                <w:rFonts w:hint="eastAsia"/>
                <w:sz w:val="24"/>
              </w:rPr>
              <w:t>现有解放路厂区</w:t>
            </w:r>
            <w:r>
              <w:rPr>
                <w:kern w:val="0"/>
                <w:sz w:val="24"/>
              </w:rPr>
              <w:t>油库、</w:t>
            </w:r>
            <w:r>
              <w:rPr>
                <w:rFonts w:hint="eastAsia"/>
                <w:kern w:val="0"/>
                <w:sz w:val="24"/>
              </w:rPr>
              <w:t>危废贮存库措施</w:t>
            </w:r>
            <w:r>
              <w:rPr>
                <w:kern w:val="0"/>
                <w:sz w:val="24"/>
              </w:rPr>
              <w:t>：</w:t>
            </w:r>
            <w:r>
              <w:rPr>
                <w:rFonts w:hint="eastAsia"/>
                <w:kern w:val="0"/>
                <w:sz w:val="24"/>
              </w:rPr>
              <w:t>配备了灭火器、灭火毯、容器盖</w:t>
            </w:r>
            <w:r>
              <w:rPr>
                <w:kern w:val="0"/>
                <w:sz w:val="24"/>
              </w:rPr>
              <w:t>消防沙池等</w:t>
            </w:r>
            <w:r>
              <w:rPr>
                <w:rFonts w:hint="eastAsia"/>
                <w:kern w:val="0"/>
                <w:sz w:val="24"/>
              </w:rPr>
              <w:t>；</w:t>
            </w:r>
            <w:r>
              <w:rPr>
                <w:kern w:val="0"/>
                <w:sz w:val="24"/>
              </w:rPr>
              <w:t>油库</w:t>
            </w:r>
            <w:r>
              <w:rPr>
                <w:rFonts w:hint="eastAsia"/>
                <w:kern w:val="0"/>
                <w:sz w:val="24"/>
              </w:rPr>
              <w:t>内设置有2套七氟丙烷气体灭火系统、2套可燃气体报警系统、若干</w:t>
            </w:r>
            <w:r>
              <w:rPr>
                <w:kern w:val="0"/>
                <w:sz w:val="24"/>
              </w:rPr>
              <w:t>6kg悬挂式超细干粉灭火器；</w:t>
            </w:r>
            <w:r>
              <w:rPr>
                <w:rFonts w:hint="eastAsia"/>
                <w:kern w:val="0"/>
                <w:sz w:val="24"/>
              </w:rPr>
              <w:t>危废贮存库</w:t>
            </w:r>
            <w:r>
              <w:rPr>
                <w:kern w:val="0"/>
                <w:sz w:val="24"/>
              </w:rPr>
              <w:t>配备了灭火器、消防沙池等，</w:t>
            </w:r>
            <w:r>
              <w:rPr>
                <w:rFonts w:hint="eastAsia"/>
                <w:kern w:val="0"/>
                <w:sz w:val="24"/>
              </w:rPr>
              <w:t>地面采取了硬化和防腐防渗设施，满足《危险废物贮存污染控制标准》（GB18597-2023）防风、防晒、防雨淋的“三防”要求。</w:t>
            </w:r>
            <w:r>
              <w:rPr>
                <w:kern w:val="0"/>
                <w:sz w:val="24"/>
              </w:rPr>
              <w:t>防毒面具等消防设备储备完善；各关键位置设置若干警示牌。</w:t>
            </w:r>
          </w:p>
          <w:p w14:paraId="520ACE6C">
            <w:pPr>
              <w:adjustRightInd w:val="0"/>
              <w:snapToGrid w:val="0"/>
              <w:spacing w:line="460" w:lineRule="exact"/>
              <w:ind w:firstLine="480" w:firstLineChars="200"/>
              <w:rPr>
                <w:sz w:val="24"/>
              </w:rPr>
            </w:pPr>
            <w:r>
              <w:rPr>
                <w:rFonts w:hint="eastAsia"/>
                <w:sz w:val="24"/>
              </w:rPr>
              <w:t>（4）建设路厂区及解放路厂区的油类物质的贮存区域四周</w:t>
            </w:r>
            <w:r>
              <w:rPr>
                <w:sz w:val="24"/>
              </w:rPr>
              <w:t>建设防泄漏围堰，高度不低于0.2m</w:t>
            </w:r>
            <w:r>
              <w:rPr>
                <w:rFonts w:hint="eastAsia"/>
                <w:sz w:val="24"/>
              </w:rPr>
              <w:t>或者设置防</w:t>
            </w:r>
            <w:r>
              <w:rPr>
                <w:sz w:val="24"/>
              </w:rPr>
              <w:t>泄漏</w:t>
            </w:r>
            <w:r>
              <w:rPr>
                <w:rFonts w:hint="eastAsia"/>
                <w:sz w:val="24"/>
              </w:rPr>
              <w:t>托盘。</w:t>
            </w:r>
            <w:r>
              <w:rPr>
                <w:sz w:val="24"/>
              </w:rPr>
              <w:t>及时将泄漏出的液体截留收集，避免大量挥发或引发火灾等</w:t>
            </w:r>
            <w:r>
              <w:rPr>
                <w:rFonts w:hint="eastAsia"/>
                <w:sz w:val="24"/>
              </w:rPr>
              <w:t>。</w:t>
            </w:r>
          </w:p>
          <w:p w14:paraId="520ACE6D">
            <w:pPr>
              <w:adjustRightInd w:val="0"/>
              <w:snapToGrid w:val="0"/>
              <w:spacing w:line="460" w:lineRule="exact"/>
              <w:ind w:firstLine="480" w:firstLineChars="200"/>
              <w:rPr>
                <w:sz w:val="24"/>
              </w:rPr>
            </w:pPr>
            <w:r>
              <w:rPr>
                <w:rFonts w:hint="eastAsia"/>
                <w:sz w:val="24"/>
              </w:rPr>
              <w:t>（5）油类</w:t>
            </w:r>
            <w:r>
              <w:rPr>
                <w:sz w:val="24"/>
              </w:rPr>
              <w:t>物质泄漏后及时采取防火措施，</w:t>
            </w:r>
            <w:r>
              <w:rPr>
                <w:rFonts w:hint="eastAsia"/>
                <w:sz w:val="24"/>
              </w:rPr>
              <w:t>迅速清除泄漏区的所有火源和易燃物，</w:t>
            </w:r>
            <w:r>
              <w:rPr>
                <w:sz w:val="24"/>
              </w:rPr>
              <w:t>禁止一切明火靠近</w:t>
            </w:r>
            <w:r>
              <w:rPr>
                <w:rFonts w:hint="eastAsia"/>
                <w:sz w:val="24"/>
              </w:rPr>
              <w:t>，并加强通风。</w:t>
            </w:r>
          </w:p>
          <w:p w14:paraId="520ACE6E">
            <w:pPr>
              <w:widowControl/>
              <w:spacing w:line="460" w:lineRule="exact"/>
              <w:ind w:firstLine="482" w:firstLineChars="200"/>
              <w:rPr>
                <w:b/>
                <w:bCs/>
                <w:kern w:val="0"/>
                <w:sz w:val="24"/>
              </w:rPr>
            </w:pPr>
            <w:r>
              <w:rPr>
                <w:rFonts w:hint="eastAsia"/>
                <w:b/>
                <w:bCs/>
                <w:kern w:val="0"/>
                <w:sz w:val="24"/>
              </w:rPr>
              <w:t>5、结论</w:t>
            </w:r>
          </w:p>
          <w:p w14:paraId="520ACE6F">
            <w:pPr>
              <w:autoSpaceDE w:val="0"/>
              <w:autoSpaceDN w:val="0"/>
              <w:spacing w:line="460" w:lineRule="exact"/>
              <w:ind w:firstLine="480" w:firstLineChars="200"/>
              <w:rPr>
                <w:sz w:val="24"/>
              </w:rPr>
            </w:pPr>
            <w:r>
              <w:rPr>
                <w:rFonts w:hint="eastAsia" w:ascii="宋体" w:hAnsi="Calibri" w:cs="宋体"/>
                <w:kern w:val="0"/>
                <w:sz w:val="24"/>
              </w:rPr>
              <w:t>建设单位在认真落实环境风险评价提出的各项风险防范措施的基础上，本项目的环境风险可防控。</w:t>
            </w:r>
          </w:p>
          <w:p w14:paraId="520ACE70">
            <w:pPr>
              <w:widowControl/>
              <w:spacing w:line="460" w:lineRule="exact"/>
              <w:ind w:firstLine="482" w:firstLineChars="200"/>
              <w:rPr>
                <w:b/>
                <w:bCs/>
                <w:kern w:val="0"/>
                <w:sz w:val="24"/>
              </w:rPr>
            </w:pPr>
            <w:r>
              <w:rPr>
                <w:b/>
                <w:bCs/>
                <w:kern w:val="0"/>
                <w:sz w:val="24"/>
              </w:rPr>
              <w:t>6</w:t>
            </w:r>
            <w:r>
              <w:rPr>
                <w:rFonts w:hint="eastAsia"/>
                <w:b/>
                <w:bCs/>
                <w:kern w:val="0"/>
                <w:sz w:val="24"/>
              </w:rPr>
              <w:t>、建设项目环境风险简单分析内容表</w:t>
            </w:r>
          </w:p>
          <w:p w14:paraId="520ACE71">
            <w:pPr>
              <w:widowControl/>
              <w:spacing w:line="460" w:lineRule="exact"/>
              <w:ind w:firstLine="480" w:firstLineChars="200"/>
              <w:jc w:val="left"/>
              <w:rPr>
                <w:kern w:val="0"/>
                <w:sz w:val="24"/>
              </w:rPr>
            </w:pPr>
            <w:r>
              <w:rPr>
                <w:rFonts w:ascii="黑体" w:hAnsi="黑体" w:eastAsia="黑体"/>
                <w:kern w:val="0"/>
                <w:sz w:val="24"/>
              </w:rPr>
              <w:t>表</w:t>
            </w:r>
            <w:r>
              <w:rPr>
                <w:rFonts w:hint="eastAsia"/>
                <w:kern w:val="0"/>
                <w:sz w:val="24"/>
              </w:rPr>
              <w:t>83</w:t>
            </w:r>
            <w:r>
              <w:rPr>
                <w:kern w:val="0"/>
                <w:sz w:val="24"/>
              </w:rPr>
              <w:t xml:space="preserve">              </w:t>
            </w:r>
            <w:r>
              <w:rPr>
                <w:rFonts w:ascii="黑体" w:hAnsi="黑体" w:eastAsia="黑体"/>
                <w:kern w:val="0"/>
                <w:sz w:val="24"/>
              </w:rPr>
              <w:t>项目环境风险简单分析内容表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034"/>
              <w:gridCol w:w="1135"/>
              <w:gridCol w:w="555"/>
              <w:gridCol w:w="1276"/>
              <w:gridCol w:w="853"/>
              <w:gridCol w:w="3282"/>
            </w:tblGrid>
            <w:tr w14:paraId="520ACE74">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6" w:type="pct"/>
                  <w:vAlign w:val="center"/>
                </w:tcPr>
                <w:p w14:paraId="520ACE72">
                  <w:pPr>
                    <w:adjustRightInd w:val="0"/>
                    <w:snapToGrid w:val="0"/>
                    <w:jc w:val="center"/>
                    <w:rPr>
                      <w:kern w:val="0"/>
                      <w:szCs w:val="21"/>
                    </w:rPr>
                  </w:pPr>
                  <w:r>
                    <w:rPr>
                      <w:kern w:val="0"/>
                      <w:szCs w:val="21"/>
                    </w:rPr>
                    <w:t>建设项目名称</w:t>
                  </w:r>
                </w:p>
              </w:tc>
              <w:tc>
                <w:tcPr>
                  <w:tcW w:w="4364" w:type="pct"/>
                  <w:gridSpan w:val="5"/>
                  <w:vAlign w:val="center"/>
                </w:tcPr>
                <w:p w14:paraId="520ACE73">
                  <w:pPr>
                    <w:adjustRightInd w:val="0"/>
                    <w:snapToGrid w:val="0"/>
                    <w:jc w:val="center"/>
                    <w:rPr>
                      <w:kern w:val="0"/>
                      <w:szCs w:val="21"/>
                    </w:rPr>
                  </w:pPr>
                  <w:r>
                    <w:rPr>
                      <w:rFonts w:hint="eastAsia"/>
                      <w:szCs w:val="21"/>
                    </w:rPr>
                    <w:t>数字化转型项目</w:t>
                  </w:r>
                </w:p>
              </w:tc>
            </w:tr>
            <w:tr w14:paraId="520ACE7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6" w:type="pct"/>
                  <w:vAlign w:val="center"/>
                </w:tcPr>
                <w:p w14:paraId="520ACE75">
                  <w:pPr>
                    <w:adjustRightInd w:val="0"/>
                    <w:snapToGrid w:val="0"/>
                    <w:jc w:val="center"/>
                    <w:rPr>
                      <w:kern w:val="0"/>
                      <w:szCs w:val="21"/>
                    </w:rPr>
                  </w:pPr>
                  <w:r>
                    <w:rPr>
                      <w:kern w:val="0"/>
                      <w:szCs w:val="21"/>
                    </w:rPr>
                    <w:t>建设地点</w:t>
                  </w:r>
                </w:p>
              </w:tc>
              <w:tc>
                <w:tcPr>
                  <w:tcW w:w="1039" w:type="pct"/>
                  <w:gridSpan w:val="2"/>
                  <w:vAlign w:val="center"/>
                </w:tcPr>
                <w:p w14:paraId="520ACE76">
                  <w:pPr>
                    <w:adjustRightInd w:val="0"/>
                    <w:snapToGrid w:val="0"/>
                    <w:jc w:val="center"/>
                    <w:rPr>
                      <w:kern w:val="0"/>
                      <w:szCs w:val="21"/>
                    </w:rPr>
                  </w:pPr>
                  <w:r>
                    <w:rPr>
                      <w:kern w:val="0"/>
                      <w:szCs w:val="21"/>
                    </w:rPr>
                    <w:t>河南省</w:t>
                  </w:r>
                </w:p>
              </w:tc>
              <w:tc>
                <w:tcPr>
                  <w:tcW w:w="784" w:type="pct"/>
                  <w:vAlign w:val="center"/>
                </w:tcPr>
                <w:p w14:paraId="520ACE77">
                  <w:pPr>
                    <w:adjustRightInd w:val="0"/>
                    <w:snapToGrid w:val="0"/>
                    <w:jc w:val="center"/>
                    <w:rPr>
                      <w:kern w:val="0"/>
                      <w:szCs w:val="21"/>
                    </w:rPr>
                  </w:pPr>
                  <w:r>
                    <w:rPr>
                      <w:rFonts w:hint="eastAsia"/>
                      <w:kern w:val="0"/>
                      <w:szCs w:val="21"/>
                    </w:rPr>
                    <w:t>新乡</w:t>
                  </w:r>
                  <w:r>
                    <w:rPr>
                      <w:kern w:val="0"/>
                      <w:szCs w:val="21"/>
                    </w:rPr>
                    <w:t>市</w:t>
                  </w:r>
                </w:p>
              </w:tc>
              <w:tc>
                <w:tcPr>
                  <w:tcW w:w="524" w:type="pct"/>
                  <w:vAlign w:val="center"/>
                </w:tcPr>
                <w:p w14:paraId="520ACE78">
                  <w:pPr>
                    <w:adjustRightInd w:val="0"/>
                    <w:snapToGrid w:val="0"/>
                    <w:jc w:val="center"/>
                    <w:rPr>
                      <w:kern w:val="0"/>
                      <w:szCs w:val="21"/>
                    </w:rPr>
                  </w:pPr>
                  <w:r>
                    <w:rPr>
                      <w:rFonts w:hint="eastAsia"/>
                      <w:kern w:val="0"/>
                      <w:szCs w:val="21"/>
                    </w:rPr>
                    <w:t>牧野区</w:t>
                  </w:r>
                </w:p>
              </w:tc>
              <w:tc>
                <w:tcPr>
                  <w:tcW w:w="2017" w:type="pct"/>
                  <w:vAlign w:val="center"/>
                </w:tcPr>
                <w:p w14:paraId="520ACE79">
                  <w:pPr>
                    <w:adjustRightInd w:val="0"/>
                    <w:snapToGrid w:val="0"/>
                    <w:jc w:val="center"/>
                    <w:rPr>
                      <w:kern w:val="0"/>
                      <w:szCs w:val="21"/>
                    </w:rPr>
                  </w:pPr>
                  <w:r>
                    <w:rPr>
                      <w:rFonts w:hint="eastAsia"/>
                      <w:szCs w:val="21"/>
                    </w:rPr>
                    <w:t>新乡市建设中路168号建设路厂区、新乡市解放大道（中）1号解放路厂区</w:t>
                  </w:r>
                </w:p>
              </w:tc>
            </w:tr>
            <w:tr w14:paraId="520ACE8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6" w:type="pct"/>
                  <w:vMerge w:val="restart"/>
                  <w:vAlign w:val="center"/>
                </w:tcPr>
                <w:p w14:paraId="520ACE7B">
                  <w:pPr>
                    <w:adjustRightInd w:val="0"/>
                    <w:snapToGrid w:val="0"/>
                    <w:jc w:val="center"/>
                    <w:rPr>
                      <w:kern w:val="0"/>
                      <w:szCs w:val="21"/>
                    </w:rPr>
                  </w:pPr>
                  <w:r>
                    <w:rPr>
                      <w:kern w:val="0"/>
                      <w:szCs w:val="21"/>
                    </w:rPr>
                    <w:t>地理坐标</w:t>
                  </w:r>
                </w:p>
              </w:tc>
              <w:tc>
                <w:tcPr>
                  <w:tcW w:w="698" w:type="pct"/>
                  <w:vAlign w:val="center"/>
                </w:tcPr>
                <w:p w14:paraId="520ACE7C">
                  <w:pPr>
                    <w:adjustRightInd w:val="0"/>
                    <w:snapToGrid w:val="0"/>
                    <w:jc w:val="center"/>
                    <w:rPr>
                      <w:kern w:val="0"/>
                      <w:szCs w:val="21"/>
                    </w:rPr>
                  </w:pPr>
                  <w:r>
                    <w:rPr>
                      <w:rFonts w:hint="eastAsia"/>
                      <w:szCs w:val="21"/>
                    </w:rPr>
                    <w:t>建设路厂区</w:t>
                  </w:r>
                </w:p>
              </w:tc>
              <w:tc>
                <w:tcPr>
                  <w:tcW w:w="341" w:type="pct"/>
                  <w:vAlign w:val="center"/>
                </w:tcPr>
                <w:p w14:paraId="520ACE7D">
                  <w:pPr>
                    <w:adjustRightInd w:val="0"/>
                    <w:snapToGrid w:val="0"/>
                    <w:jc w:val="center"/>
                    <w:rPr>
                      <w:kern w:val="0"/>
                      <w:szCs w:val="21"/>
                    </w:rPr>
                  </w:pPr>
                  <w:r>
                    <w:rPr>
                      <w:kern w:val="0"/>
                      <w:szCs w:val="21"/>
                    </w:rPr>
                    <w:t>经度</w:t>
                  </w:r>
                </w:p>
              </w:tc>
              <w:tc>
                <w:tcPr>
                  <w:tcW w:w="784" w:type="pct"/>
                  <w:vAlign w:val="center"/>
                </w:tcPr>
                <w:p w14:paraId="520ACE7E">
                  <w:pPr>
                    <w:adjustRightInd w:val="0"/>
                    <w:snapToGrid w:val="0"/>
                    <w:jc w:val="center"/>
                    <w:rPr>
                      <w:bCs/>
                      <w:sz w:val="18"/>
                      <w:szCs w:val="18"/>
                    </w:rPr>
                  </w:pPr>
                  <w:r>
                    <w:rPr>
                      <w:bCs/>
                      <w:szCs w:val="18"/>
                    </w:rPr>
                    <w:t>113.87</w:t>
                  </w:r>
                  <w:r>
                    <w:rPr>
                      <w:rFonts w:hint="eastAsia"/>
                      <w:bCs/>
                      <w:szCs w:val="18"/>
                    </w:rPr>
                    <w:t>5427</w:t>
                  </w:r>
                </w:p>
              </w:tc>
              <w:tc>
                <w:tcPr>
                  <w:tcW w:w="524" w:type="pct"/>
                  <w:vAlign w:val="center"/>
                </w:tcPr>
                <w:p w14:paraId="520ACE7F">
                  <w:pPr>
                    <w:adjustRightInd w:val="0"/>
                    <w:snapToGrid w:val="0"/>
                    <w:jc w:val="center"/>
                    <w:rPr>
                      <w:kern w:val="0"/>
                      <w:szCs w:val="21"/>
                    </w:rPr>
                  </w:pPr>
                  <w:r>
                    <w:rPr>
                      <w:kern w:val="0"/>
                      <w:szCs w:val="21"/>
                    </w:rPr>
                    <w:t>纬度</w:t>
                  </w:r>
                </w:p>
              </w:tc>
              <w:tc>
                <w:tcPr>
                  <w:tcW w:w="2017" w:type="pct"/>
                  <w:vAlign w:val="center"/>
                </w:tcPr>
                <w:p w14:paraId="520ACE80">
                  <w:pPr>
                    <w:adjustRightInd w:val="0"/>
                    <w:snapToGrid w:val="0"/>
                    <w:jc w:val="center"/>
                    <w:rPr>
                      <w:kern w:val="0"/>
                      <w:szCs w:val="21"/>
                    </w:rPr>
                  </w:pPr>
                  <w:r>
                    <w:t>35.32</w:t>
                  </w:r>
                  <w:r>
                    <w:rPr>
                      <w:rFonts w:hint="eastAsia"/>
                    </w:rPr>
                    <w:t>5408</w:t>
                  </w:r>
                </w:p>
              </w:tc>
            </w:tr>
            <w:tr w14:paraId="520ACE8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6" w:type="pct"/>
                  <w:vMerge w:val="continue"/>
                  <w:vAlign w:val="center"/>
                </w:tcPr>
                <w:p w14:paraId="520ACE82">
                  <w:pPr>
                    <w:adjustRightInd w:val="0"/>
                    <w:snapToGrid w:val="0"/>
                    <w:jc w:val="center"/>
                    <w:rPr>
                      <w:kern w:val="0"/>
                      <w:szCs w:val="21"/>
                      <w:highlight w:val="yellow"/>
                    </w:rPr>
                  </w:pPr>
                </w:p>
              </w:tc>
              <w:tc>
                <w:tcPr>
                  <w:tcW w:w="698" w:type="pct"/>
                  <w:vAlign w:val="center"/>
                </w:tcPr>
                <w:p w14:paraId="520ACE83">
                  <w:pPr>
                    <w:adjustRightInd w:val="0"/>
                    <w:snapToGrid w:val="0"/>
                    <w:jc w:val="center"/>
                    <w:rPr>
                      <w:szCs w:val="21"/>
                      <w:highlight w:val="yellow"/>
                    </w:rPr>
                  </w:pPr>
                  <w:r>
                    <w:rPr>
                      <w:rFonts w:hint="eastAsia"/>
                      <w:szCs w:val="21"/>
                    </w:rPr>
                    <w:t>解放路厂区</w:t>
                  </w:r>
                </w:p>
              </w:tc>
              <w:tc>
                <w:tcPr>
                  <w:tcW w:w="341" w:type="pct"/>
                  <w:vAlign w:val="center"/>
                </w:tcPr>
                <w:p w14:paraId="520ACE84">
                  <w:pPr>
                    <w:adjustRightInd w:val="0"/>
                    <w:snapToGrid w:val="0"/>
                    <w:jc w:val="center"/>
                    <w:rPr>
                      <w:kern w:val="0"/>
                      <w:szCs w:val="21"/>
                      <w:highlight w:val="yellow"/>
                    </w:rPr>
                  </w:pPr>
                  <w:r>
                    <w:rPr>
                      <w:kern w:val="0"/>
                      <w:szCs w:val="21"/>
                    </w:rPr>
                    <w:t>经度</w:t>
                  </w:r>
                </w:p>
              </w:tc>
              <w:tc>
                <w:tcPr>
                  <w:tcW w:w="784" w:type="pct"/>
                  <w:vAlign w:val="center"/>
                </w:tcPr>
                <w:p w14:paraId="520ACE85">
                  <w:pPr>
                    <w:adjustRightInd w:val="0"/>
                    <w:snapToGrid w:val="0"/>
                    <w:jc w:val="center"/>
                    <w:rPr>
                      <w:bCs/>
                      <w:szCs w:val="18"/>
                      <w:highlight w:val="yellow"/>
                    </w:rPr>
                  </w:pPr>
                  <w:r>
                    <w:rPr>
                      <w:bCs/>
                      <w:szCs w:val="18"/>
                    </w:rPr>
                    <w:t>113.8</w:t>
                  </w:r>
                  <w:r>
                    <w:rPr>
                      <w:rFonts w:hint="eastAsia"/>
                      <w:bCs/>
                      <w:szCs w:val="18"/>
                    </w:rPr>
                    <w:t>58819</w:t>
                  </w:r>
                </w:p>
              </w:tc>
              <w:tc>
                <w:tcPr>
                  <w:tcW w:w="524" w:type="pct"/>
                  <w:vAlign w:val="center"/>
                </w:tcPr>
                <w:p w14:paraId="520ACE86">
                  <w:pPr>
                    <w:adjustRightInd w:val="0"/>
                    <w:snapToGrid w:val="0"/>
                    <w:jc w:val="center"/>
                    <w:rPr>
                      <w:kern w:val="0"/>
                      <w:szCs w:val="21"/>
                      <w:highlight w:val="yellow"/>
                    </w:rPr>
                  </w:pPr>
                  <w:r>
                    <w:rPr>
                      <w:kern w:val="0"/>
                      <w:szCs w:val="21"/>
                    </w:rPr>
                    <w:t>纬度</w:t>
                  </w:r>
                </w:p>
              </w:tc>
              <w:tc>
                <w:tcPr>
                  <w:tcW w:w="2017" w:type="pct"/>
                  <w:vAlign w:val="center"/>
                </w:tcPr>
                <w:p w14:paraId="520ACE87">
                  <w:pPr>
                    <w:adjustRightInd w:val="0"/>
                    <w:snapToGrid w:val="0"/>
                    <w:jc w:val="center"/>
                    <w:rPr>
                      <w:highlight w:val="yellow"/>
                    </w:rPr>
                  </w:pPr>
                  <w:r>
                    <w:t>35.3</w:t>
                  </w:r>
                  <w:r>
                    <w:rPr>
                      <w:rFonts w:hint="eastAsia"/>
                    </w:rPr>
                    <w:t>16492</w:t>
                  </w:r>
                </w:p>
              </w:tc>
            </w:tr>
            <w:tr w14:paraId="520ACE8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6" w:type="pct"/>
                  <w:vAlign w:val="center"/>
                </w:tcPr>
                <w:p w14:paraId="520ACE89">
                  <w:pPr>
                    <w:adjustRightInd w:val="0"/>
                    <w:snapToGrid w:val="0"/>
                    <w:jc w:val="center"/>
                    <w:rPr>
                      <w:kern w:val="0"/>
                      <w:szCs w:val="21"/>
                    </w:rPr>
                  </w:pPr>
                  <w:r>
                    <w:rPr>
                      <w:kern w:val="0"/>
                      <w:szCs w:val="21"/>
                    </w:rPr>
                    <w:t>主要危险物质及分布</w:t>
                  </w:r>
                </w:p>
              </w:tc>
              <w:tc>
                <w:tcPr>
                  <w:tcW w:w="4364" w:type="pct"/>
                  <w:gridSpan w:val="5"/>
                  <w:vAlign w:val="center"/>
                </w:tcPr>
                <w:p w14:paraId="520ACE8A">
                  <w:pPr>
                    <w:adjustRightInd w:val="0"/>
                    <w:snapToGrid w:val="0"/>
                    <w:jc w:val="center"/>
                    <w:rPr>
                      <w:kern w:val="0"/>
                      <w:szCs w:val="21"/>
                    </w:rPr>
                  </w:pPr>
                  <w:r>
                    <w:rPr>
                      <w:bCs/>
                      <w:kern w:val="0"/>
                      <w:szCs w:val="21"/>
                    </w:rPr>
                    <w:t>项目</w:t>
                  </w:r>
                  <w:r>
                    <w:rPr>
                      <w:rFonts w:hint="eastAsia"/>
                      <w:bCs/>
                      <w:kern w:val="0"/>
                      <w:szCs w:val="21"/>
                    </w:rPr>
                    <w:t>原辅材料和危险废物中的风险物质均主要为油类物质</w:t>
                  </w:r>
                  <w:r>
                    <w:rPr>
                      <w:bCs/>
                      <w:kern w:val="0"/>
                      <w:szCs w:val="21"/>
                    </w:rPr>
                    <w:t>，</w:t>
                  </w:r>
                  <w:r>
                    <w:rPr>
                      <w:rFonts w:hint="eastAsia"/>
                      <w:bCs/>
                      <w:kern w:val="0"/>
                      <w:szCs w:val="21"/>
                    </w:rPr>
                    <w:t>油类物质为桶装</w:t>
                  </w:r>
                  <w:r>
                    <w:rPr>
                      <w:bCs/>
                      <w:kern w:val="0"/>
                      <w:szCs w:val="21"/>
                    </w:rPr>
                    <w:t>。</w:t>
                  </w:r>
                </w:p>
              </w:tc>
            </w:tr>
            <w:tr w14:paraId="520ACE8E">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6" w:type="pct"/>
                  <w:vAlign w:val="center"/>
                </w:tcPr>
                <w:p w14:paraId="520ACE8C">
                  <w:pPr>
                    <w:adjustRightInd w:val="0"/>
                    <w:snapToGrid w:val="0"/>
                    <w:jc w:val="center"/>
                    <w:rPr>
                      <w:kern w:val="0"/>
                      <w:szCs w:val="21"/>
                    </w:rPr>
                  </w:pPr>
                  <w:r>
                    <w:rPr>
                      <w:kern w:val="0"/>
                      <w:szCs w:val="21"/>
                    </w:rPr>
                    <w:t>环境影响途径及危害后果</w:t>
                  </w:r>
                </w:p>
              </w:tc>
              <w:tc>
                <w:tcPr>
                  <w:tcW w:w="4364" w:type="pct"/>
                  <w:gridSpan w:val="5"/>
                  <w:vAlign w:val="center"/>
                </w:tcPr>
                <w:p w14:paraId="520ACE8D">
                  <w:pPr>
                    <w:adjustRightInd w:val="0"/>
                    <w:snapToGrid w:val="0"/>
                    <w:rPr>
                      <w:kern w:val="0"/>
                      <w:szCs w:val="21"/>
                    </w:rPr>
                  </w:pPr>
                  <w:r>
                    <w:rPr>
                      <w:rFonts w:hint="eastAsia"/>
                      <w:kern w:val="0"/>
                      <w:szCs w:val="21"/>
                    </w:rPr>
                    <w:t>本项目涉及风险物质可能影响环境的途径为：油类物质泄漏遇明火意外燃烧或引起爆炸，从而引发火灾事故，导致引起伴生/次生大气污染物排放，可能引起短时超过大气环境质量超标的状况，造成区域大气环境污染。</w:t>
                  </w:r>
                </w:p>
              </w:tc>
            </w:tr>
            <w:tr w14:paraId="520ACE95">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36" w:type="pct"/>
                  <w:vAlign w:val="center"/>
                </w:tcPr>
                <w:p w14:paraId="520ACE8F">
                  <w:pPr>
                    <w:adjustRightInd w:val="0"/>
                    <w:snapToGrid w:val="0"/>
                    <w:jc w:val="center"/>
                    <w:rPr>
                      <w:kern w:val="0"/>
                      <w:szCs w:val="21"/>
                    </w:rPr>
                  </w:pPr>
                  <w:r>
                    <w:rPr>
                      <w:kern w:val="0"/>
                      <w:szCs w:val="21"/>
                    </w:rPr>
                    <w:t>风险防范措施要求</w:t>
                  </w:r>
                </w:p>
              </w:tc>
              <w:tc>
                <w:tcPr>
                  <w:tcW w:w="4364" w:type="pct"/>
                  <w:gridSpan w:val="5"/>
                  <w:vAlign w:val="center"/>
                </w:tcPr>
                <w:p w14:paraId="520ACE90">
                  <w:pPr>
                    <w:adjustRightInd w:val="0"/>
                    <w:snapToGrid w:val="0"/>
                    <w:rPr>
                      <w:kern w:val="0"/>
                      <w:szCs w:val="21"/>
                    </w:rPr>
                  </w:pPr>
                  <w:r>
                    <w:rPr>
                      <w:kern w:val="0"/>
                      <w:szCs w:val="21"/>
                    </w:rPr>
                    <w:t>（1）建立健全本单位的安全生产责任制、安全生产规章制度和操作规程，明确各岗位人员的职责。</w:t>
                  </w:r>
                </w:p>
                <w:p w14:paraId="520ACE91">
                  <w:pPr>
                    <w:adjustRightInd w:val="0"/>
                    <w:snapToGrid w:val="0"/>
                    <w:rPr>
                      <w:kern w:val="0"/>
                      <w:szCs w:val="21"/>
                    </w:rPr>
                  </w:pPr>
                  <w:r>
                    <w:rPr>
                      <w:kern w:val="0"/>
                      <w:szCs w:val="21"/>
                    </w:rPr>
                    <w:t>（2）项目试生产（使用）前，应严格按照有关规定制定试生产（使用）方案办理相关手续。操作人员经岗前培训合格，方可参加操作。工程项目验收时，应同时验收安全设施。</w:t>
                  </w:r>
                </w:p>
                <w:p w14:paraId="520ACE92">
                  <w:pPr>
                    <w:adjustRightInd w:val="0"/>
                    <w:snapToGrid w:val="0"/>
                    <w:rPr>
                      <w:b/>
                      <w:bCs/>
                      <w:kern w:val="0"/>
                      <w:szCs w:val="21"/>
                      <w:u w:val="single"/>
                    </w:rPr>
                  </w:pPr>
                  <w:r>
                    <w:rPr>
                      <w:kern w:val="0"/>
                      <w:szCs w:val="21"/>
                    </w:rPr>
                    <w:t>（3）油类物质储存于阴凉、通风的库房。远离火种、热源。库温不宜超过30℃，可设置防晒、冷却水喷淋降温设施或有良好的绝热保温设施。设置的电气设施和防雷、防静电装置必须符合国家标准、规范的要求并定期检查及监测。原料入库时应检查是否有泄漏现象，在贮存期定期检查，发现泄漏，及时处理；搬运时轻装轻卸，防止储桶破损。</w:t>
                  </w:r>
                  <w:r>
                    <w:rPr>
                      <w:rFonts w:hint="eastAsia"/>
                      <w:kern w:val="0"/>
                      <w:szCs w:val="21"/>
                    </w:rPr>
                    <w:t>现有建设路厂区油库、危废贮存库措施：配备了灭火器、消防栓、高压水枪以及消防沙池等；油库及废油库外设置了3个泡沫灭火装置；油库顶部设置若干6kg悬挂式超细干粉灭火器；油库下方设置1座12.42m</w:t>
                  </w:r>
                  <w:r>
                    <w:rPr>
                      <w:rFonts w:hint="eastAsia"/>
                      <w:kern w:val="0"/>
                      <w:szCs w:val="21"/>
                      <w:vertAlign w:val="superscript"/>
                    </w:rPr>
                    <w:t>3</w:t>
                  </w:r>
                  <w:r>
                    <w:rPr>
                      <w:rFonts w:hint="eastAsia"/>
                      <w:kern w:val="0"/>
                      <w:szCs w:val="21"/>
                    </w:rPr>
                    <w:t>（4.6m×1.5m×1.8m）应急池、1座9.72m</w:t>
                  </w:r>
                  <w:r>
                    <w:rPr>
                      <w:rFonts w:hint="eastAsia"/>
                      <w:kern w:val="0"/>
                      <w:szCs w:val="21"/>
                      <w:vertAlign w:val="superscript"/>
                    </w:rPr>
                    <w:t>3</w:t>
                  </w:r>
                  <w:r>
                    <w:rPr>
                      <w:rFonts w:hint="eastAsia"/>
                      <w:kern w:val="0"/>
                      <w:szCs w:val="21"/>
                    </w:rPr>
                    <w:t>（3.6m×1.5m×1.8m）事故池；危废贮存库下方设置1座64.38m</w:t>
                  </w:r>
                  <w:r>
                    <w:rPr>
                      <w:rFonts w:hint="eastAsia"/>
                      <w:kern w:val="0"/>
                      <w:szCs w:val="21"/>
                      <w:vertAlign w:val="superscript"/>
                    </w:rPr>
                    <w:t>3</w:t>
                  </w:r>
                  <w:r>
                    <w:rPr>
                      <w:rFonts w:hint="eastAsia"/>
                      <w:kern w:val="0"/>
                      <w:szCs w:val="21"/>
                    </w:rPr>
                    <w:t>（7.4m×5.8m×1.5m）事故水池；防毒面具等消防设备储备完善；各关键位置设置若干警示牌。现有解放路厂区</w:t>
                  </w:r>
                  <w:r>
                    <w:rPr>
                      <w:kern w:val="0"/>
                      <w:szCs w:val="21"/>
                    </w:rPr>
                    <w:t>油库、</w:t>
                  </w:r>
                  <w:r>
                    <w:rPr>
                      <w:rFonts w:hint="eastAsia"/>
                      <w:kern w:val="0"/>
                      <w:szCs w:val="21"/>
                    </w:rPr>
                    <w:t>危废贮存库措施</w:t>
                  </w:r>
                  <w:r>
                    <w:rPr>
                      <w:kern w:val="0"/>
                      <w:szCs w:val="21"/>
                    </w:rPr>
                    <w:t>：</w:t>
                  </w:r>
                  <w:r>
                    <w:rPr>
                      <w:rFonts w:hint="eastAsia"/>
                      <w:kern w:val="0"/>
                      <w:szCs w:val="21"/>
                    </w:rPr>
                    <w:t>配备了灭火器、灭火毯、容器盖</w:t>
                  </w:r>
                  <w:r>
                    <w:rPr>
                      <w:kern w:val="0"/>
                      <w:szCs w:val="21"/>
                    </w:rPr>
                    <w:t>消防沙池等；油库</w:t>
                  </w:r>
                  <w:r>
                    <w:rPr>
                      <w:rFonts w:hint="eastAsia"/>
                      <w:kern w:val="0"/>
                      <w:szCs w:val="21"/>
                    </w:rPr>
                    <w:t>内设置有2套七氟丙烷气体灭火系统、2套可燃气体报警系统、若干</w:t>
                  </w:r>
                  <w:r>
                    <w:rPr>
                      <w:kern w:val="0"/>
                      <w:szCs w:val="21"/>
                    </w:rPr>
                    <w:t>6kg悬挂式超细干粉灭火器；</w:t>
                  </w:r>
                  <w:r>
                    <w:rPr>
                      <w:rFonts w:hint="eastAsia"/>
                      <w:kern w:val="0"/>
                      <w:szCs w:val="21"/>
                    </w:rPr>
                    <w:t>危废贮存库</w:t>
                  </w:r>
                  <w:r>
                    <w:rPr>
                      <w:kern w:val="0"/>
                      <w:szCs w:val="21"/>
                    </w:rPr>
                    <w:t>配备了灭火器、消防沙池等，</w:t>
                  </w:r>
                  <w:r>
                    <w:rPr>
                      <w:rFonts w:hint="eastAsia"/>
                      <w:kern w:val="0"/>
                      <w:szCs w:val="21"/>
                    </w:rPr>
                    <w:t>地面采取了硬化和防腐防渗设施，满足《危险废物贮存污染控制标准》（GB18597-2023）防风、防晒、防雨淋的“三防”要求。</w:t>
                  </w:r>
                  <w:r>
                    <w:rPr>
                      <w:kern w:val="0"/>
                      <w:szCs w:val="21"/>
                    </w:rPr>
                    <w:t>防毒面具等消防设备储备完善；各关键位置设置若干警示牌。</w:t>
                  </w:r>
                </w:p>
                <w:p w14:paraId="520ACE93">
                  <w:pPr>
                    <w:adjustRightInd w:val="0"/>
                    <w:snapToGrid w:val="0"/>
                    <w:rPr>
                      <w:kern w:val="0"/>
                      <w:szCs w:val="21"/>
                    </w:rPr>
                  </w:pPr>
                  <w:r>
                    <w:rPr>
                      <w:kern w:val="0"/>
                      <w:szCs w:val="21"/>
                    </w:rPr>
                    <w:t>（4）</w:t>
                  </w:r>
                  <w:r>
                    <w:rPr>
                      <w:rFonts w:hint="eastAsia"/>
                      <w:kern w:val="0"/>
                      <w:szCs w:val="21"/>
                    </w:rPr>
                    <w:t>建设路厂区及解放路厂区的</w:t>
                  </w:r>
                  <w:r>
                    <w:rPr>
                      <w:kern w:val="0"/>
                      <w:szCs w:val="21"/>
                    </w:rPr>
                    <w:t>油类物质的贮存区域四周建设防泄漏围堰，高度不低于0.2m或者设置防泄漏托盘。及时将泄漏出的液体截留收集，避免大量挥发或引发火灾等。</w:t>
                  </w:r>
                </w:p>
                <w:p w14:paraId="520ACE94">
                  <w:pPr>
                    <w:adjustRightInd w:val="0"/>
                    <w:snapToGrid w:val="0"/>
                    <w:rPr>
                      <w:kern w:val="0"/>
                      <w:szCs w:val="21"/>
                    </w:rPr>
                  </w:pPr>
                  <w:r>
                    <w:rPr>
                      <w:kern w:val="0"/>
                      <w:szCs w:val="21"/>
                    </w:rPr>
                    <w:t>（5）油类物质泄漏后及时采取防火措施，迅速清除泄漏区的所有火源和易燃物，禁止一切明火靠近，并加强通风。</w:t>
                  </w:r>
                </w:p>
              </w:tc>
            </w:tr>
            <w:tr w14:paraId="520ACE9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00" w:type="pct"/>
                  <w:gridSpan w:val="6"/>
                  <w:vAlign w:val="center"/>
                </w:tcPr>
                <w:p w14:paraId="520ACE96">
                  <w:pPr>
                    <w:adjustRightInd w:val="0"/>
                    <w:snapToGrid w:val="0"/>
                    <w:jc w:val="left"/>
                    <w:rPr>
                      <w:kern w:val="0"/>
                      <w:szCs w:val="21"/>
                    </w:rPr>
                  </w:pPr>
                  <w:r>
                    <w:rPr>
                      <w:kern w:val="0"/>
                      <w:szCs w:val="21"/>
                    </w:rPr>
                    <w:t>填表说明（列出项目相关信息及评价说明）：</w:t>
                  </w:r>
                </w:p>
                <w:p w14:paraId="520ACE97">
                  <w:pPr>
                    <w:adjustRightInd w:val="0"/>
                    <w:snapToGrid w:val="0"/>
                    <w:ind w:firstLine="420" w:firstLineChars="200"/>
                    <w:rPr>
                      <w:kern w:val="0"/>
                      <w:szCs w:val="21"/>
                      <w:highlight w:val="yellow"/>
                    </w:rPr>
                  </w:pPr>
                  <w:r>
                    <w:rPr>
                      <w:rFonts w:hint="eastAsia"/>
                      <w:bCs/>
                      <w:kern w:val="0"/>
                      <w:szCs w:val="21"/>
                    </w:rPr>
                    <w:t>新乡航空工业（集团）有限公司</w:t>
                  </w:r>
                  <w:r>
                    <w:rPr>
                      <w:kern w:val="0"/>
                      <w:szCs w:val="21"/>
                    </w:rPr>
                    <w:t>拟投资60</w:t>
                  </w:r>
                  <w:r>
                    <w:rPr>
                      <w:rFonts w:hint="eastAsia"/>
                      <w:kern w:val="0"/>
                      <w:szCs w:val="21"/>
                    </w:rPr>
                    <w:t>00万元建设“数字化转型</w:t>
                  </w:r>
                  <w:r>
                    <w:rPr>
                      <w:rFonts w:hint="eastAsia"/>
                      <w:szCs w:val="21"/>
                    </w:rPr>
                    <w:t>项目</w:t>
                  </w:r>
                  <w:r>
                    <w:rPr>
                      <w:rFonts w:hint="eastAsia"/>
                      <w:kern w:val="0"/>
                      <w:szCs w:val="21"/>
                    </w:rPr>
                    <w:t>”，建设内容主要是</w:t>
                  </w:r>
                  <w:r>
                    <w:rPr>
                      <w:rFonts w:hint="eastAsia"/>
                      <w:bCs/>
                      <w:kern w:val="0"/>
                      <w:szCs w:val="21"/>
                    </w:rPr>
                    <w:t>对部分工段新增同类型设备以满足订单生产需求，全年总产能仍保持不变；</w:t>
                  </w:r>
                  <w:r>
                    <w:rPr>
                      <w:rFonts w:hint="eastAsia"/>
                      <w:kern w:val="0"/>
                      <w:szCs w:val="21"/>
                    </w:rPr>
                    <w:t>同时本项目构建数智规划能力，夯实信息化基础，贯通业务数据，加速数字化转型。</w:t>
                  </w:r>
                </w:p>
                <w:p w14:paraId="520ACE98">
                  <w:pPr>
                    <w:adjustRightInd w:val="0"/>
                    <w:snapToGrid w:val="0"/>
                    <w:ind w:firstLine="420" w:firstLineChars="200"/>
                    <w:rPr>
                      <w:szCs w:val="21"/>
                      <w:highlight w:val="yellow"/>
                    </w:rPr>
                  </w:pPr>
                  <w:r>
                    <w:rPr>
                      <w:szCs w:val="21"/>
                    </w:rPr>
                    <w:t>环境风险主要为</w:t>
                  </w:r>
                  <w:r>
                    <w:rPr>
                      <w:rFonts w:hint="eastAsia"/>
                      <w:kern w:val="0"/>
                      <w:szCs w:val="21"/>
                    </w:rPr>
                    <w:t>油类物质泄漏遇明火意外燃烧或引起爆炸，从而引发火灾事故，导致引起伴生/次生大气污染物排放，可能引起短时超过大气环境质量超标的状况，造成区域大气环境污染</w:t>
                  </w:r>
                  <w:r>
                    <w:rPr>
                      <w:szCs w:val="21"/>
                    </w:rPr>
                    <w:t>。本次评价根据《建设项目环境风险评价技术导则》（HJ 169-2018）的相关要求，对本项目进行了风险评价</w:t>
                  </w:r>
                  <w:r>
                    <w:rPr>
                      <w:rFonts w:hint="eastAsia"/>
                      <w:szCs w:val="21"/>
                    </w:rPr>
                    <w:t>，企业在采取合理的风险防范措施后，风险可防控。</w:t>
                  </w:r>
                </w:p>
              </w:tc>
            </w:tr>
          </w:tbl>
          <w:p w14:paraId="520ACE9A">
            <w:pPr>
              <w:autoSpaceDE w:val="0"/>
              <w:autoSpaceDN w:val="0"/>
              <w:adjustRightInd w:val="0"/>
              <w:snapToGrid w:val="0"/>
              <w:spacing w:line="460" w:lineRule="exact"/>
              <w:ind w:firstLine="482" w:firstLineChars="200"/>
              <w:textAlignment w:val="baseline"/>
              <w:rPr>
                <w:b/>
                <w:bCs/>
                <w:kern w:val="0"/>
                <w:sz w:val="24"/>
              </w:rPr>
            </w:pPr>
            <w:r>
              <w:rPr>
                <w:rFonts w:hint="eastAsia"/>
                <w:b/>
                <w:bCs/>
                <w:kern w:val="0"/>
                <w:sz w:val="24"/>
              </w:rPr>
              <w:t>六、地下水、土壤</w:t>
            </w:r>
          </w:p>
          <w:p w14:paraId="520ACE9B">
            <w:pPr>
              <w:autoSpaceDE w:val="0"/>
              <w:autoSpaceDN w:val="0"/>
              <w:adjustRightInd w:val="0"/>
              <w:snapToGrid w:val="0"/>
              <w:spacing w:line="460" w:lineRule="exact"/>
              <w:ind w:firstLine="480" w:firstLineChars="200"/>
              <w:textAlignment w:val="baseline"/>
              <w:rPr>
                <w:kern w:val="0"/>
                <w:sz w:val="24"/>
              </w:rPr>
            </w:pPr>
            <w:r>
              <w:rPr>
                <w:rFonts w:hint="eastAsia"/>
                <w:kern w:val="0"/>
                <w:sz w:val="24"/>
              </w:rPr>
              <w:t>本项目可能对地下水、土壤有影响的污染物主要为危险废物，危险废物于危废贮存库（间）内暂存，危险废物采用密闭容器收集，并置于托盘上，确保不渗漏；</w:t>
            </w:r>
            <w:r>
              <w:rPr>
                <w:rFonts w:hint="eastAsia"/>
                <w:bCs/>
                <w:kern w:val="0"/>
                <w:sz w:val="24"/>
              </w:rPr>
              <w:t>危废贮存库（间）地面已采取硬化和防腐防渗措施，其中存放液态危废废物的危废贮存间内设置有导流沟，危险废物一旦产生散落、泄漏，可及时收集倒入专用桶内</w:t>
            </w:r>
            <w:r>
              <w:rPr>
                <w:rFonts w:hint="eastAsia"/>
                <w:kern w:val="0"/>
                <w:sz w:val="24"/>
              </w:rPr>
              <w:t>。危废贮存库（间）根据《危险废物贮存污染控制标准》（GB18597-2023）的要求设置防渗措施，不存在污染下渗的途径。</w:t>
            </w:r>
          </w:p>
          <w:p w14:paraId="520ACE9C">
            <w:pPr>
              <w:adjustRightInd w:val="0"/>
              <w:snapToGrid w:val="0"/>
              <w:spacing w:line="460" w:lineRule="exact"/>
              <w:ind w:firstLine="480" w:firstLineChars="200"/>
              <w:rPr>
                <w:sz w:val="24"/>
              </w:rPr>
            </w:pPr>
            <w:r>
              <w:rPr>
                <w:rFonts w:hint="eastAsia"/>
                <w:kern w:val="0"/>
                <w:sz w:val="24"/>
              </w:rPr>
              <w:t>综上分析，本项目危险废物不与土壤接触、下渗影响地下水。因此本项目不存在地下水、土壤污染途径，不再进行地下水及土壤环境影响分析。</w:t>
            </w:r>
          </w:p>
          <w:p w14:paraId="520ACE9D">
            <w:pPr>
              <w:adjustRightInd w:val="0"/>
              <w:snapToGrid w:val="0"/>
              <w:spacing w:line="460" w:lineRule="exact"/>
              <w:ind w:firstLine="480" w:firstLineChars="200"/>
              <w:rPr>
                <w:sz w:val="24"/>
                <w:highlight w:val="yellow"/>
              </w:rPr>
            </w:pPr>
          </w:p>
          <w:p w14:paraId="520ACE9E">
            <w:pPr>
              <w:adjustRightInd w:val="0"/>
              <w:snapToGrid w:val="0"/>
              <w:spacing w:line="460" w:lineRule="exact"/>
              <w:ind w:firstLine="480" w:firstLineChars="200"/>
              <w:rPr>
                <w:sz w:val="24"/>
                <w:highlight w:val="yellow"/>
              </w:rPr>
            </w:pPr>
          </w:p>
          <w:p w14:paraId="520ACE9F">
            <w:pPr>
              <w:adjustRightInd w:val="0"/>
              <w:snapToGrid w:val="0"/>
              <w:spacing w:line="460" w:lineRule="exact"/>
              <w:ind w:firstLine="480" w:firstLineChars="200"/>
              <w:rPr>
                <w:sz w:val="24"/>
                <w:highlight w:val="yellow"/>
              </w:rPr>
            </w:pPr>
          </w:p>
          <w:p w14:paraId="520ACEA0">
            <w:pPr>
              <w:adjustRightInd w:val="0"/>
              <w:snapToGrid w:val="0"/>
              <w:spacing w:line="460" w:lineRule="exact"/>
              <w:ind w:firstLine="480" w:firstLineChars="200"/>
              <w:rPr>
                <w:sz w:val="24"/>
                <w:highlight w:val="yellow"/>
              </w:rPr>
            </w:pPr>
          </w:p>
          <w:p w14:paraId="520ACEA1">
            <w:pPr>
              <w:adjustRightInd w:val="0"/>
              <w:snapToGrid w:val="0"/>
              <w:spacing w:line="460" w:lineRule="exact"/>
              <w:ind w:firstLine="480" w:firstLineChars="200"/>
              <w:rPr>
                <w:sz w:val="24"/>
                <w:highlight w:val="yellow"/>
              </w:rPr>
            </w:pPr>
          </w:p>
          <w:p w14:paraId="520ACEA2">
            <w:pPr>
              <w:adjustRightInd w:val="0"/>
              <w:snapToGrid w:val="0"/>
              <w:spacing w:line="460" w:lineRule="exact"/>
              <w:ind w:firstLine="480" w:firstLineChars="200"/>
              <w:rPr>
                <w:sz w:val="24"/>
                <w:highlight w:val="yellow"/>
              </w:rPr>
            </w:pPr>
          </w:p>
          <w:p w14:paraId="520ACEA3">
            <w:pPr>
              <w:adjustRightInd w:val="0"/>
              <w:snapToGrid w:val="0"/>
              <w:spacing w:line="460" w:lineRule="exact"/>
              <w:ind w:firstLine="480" w:firstLineChars="200"/>
              <w:rPr>
                <w:sz w:val="24"/>
                <w:highlight w:val="yellow"/>
              </w:rPr>
            </w:pPr>
          </w:p>
          <w:p w14:paraId="520ACEA4">
            <w:pPr>
              <w:adjustRightInd w:val="0"/>
              <w:snapToGrid w:val="0"/>
              <w:spacing w:line="460" w:lineRule="exact"/>
              <w:ind w:firstLine="480" w:firstLineChars="200"/>
              <w:rPr>
                <w:sz w:val="24"/>
                <w:highlight w:val="yellow"/>
              </w:rPr>
            </w:pPr>
          </w:p>
          <w:p w14:paraId="520ACEA5">
            <w:pPr>
              <w:adjustRightInd w:val="0"/>
              <w:snapToGrid w:val="0"/>
              <w:spacing w:line="460" w:lineRule="exact"/>
              <w:ind w:firstLine="480" w:firstLineChars="200"/>
              <w:rPr>
                <w:sz w:val="24"/>
                <w:highlight w:val="yellow"/>
              </w:rPr>
            </w:pPr>
          </w:p>
          <w:p w14:paraId="520ACEA6">
            <w:pPr>
              <w:adjustRightInd w:val="0"/>
              <w:snapToGrid w:val="0"/>
              <w:spacing w:line="460" w:lineRule="exact"/>
              <w:ind w:firstLine="480" w:firstLineChars="200"/>
              <w:rPr>
                <w:sz w:val="24"/>
                <w:highlight w:val="yellow"/>
              </w:rPr>
            </w:pPr>
          </w:p>
          <w:p w14:paraId="520ACEA7">
            <w:pPr>
              <w:adjustRightInd w:val="0"/>
              <w:snapToGrid w:val="0"/>
              <w:spacing w:line="460" w:lineRule="exact"/>
              <w:ind w:firstLine="480" w:firstLineChars="200"/>
              <w:rPr>
                <w:sz w:val="24"/>
                <w:highlight w:val="yellow"/>
              </w:rPr>
            </w:pPr>
          </w:p>
          <w:p w14:paraId="4D6D9B40">
            <w:pPr>
              <w:adjustRightInd w:val="0"/>
              <w:snapToGrid w:val="0"/>
              <w:spacing w:line="460" w:lineRule="exact"/>
              <w:ind w:firstLine="482" w:firstLineChars="200"/>
              <w:rPr>
                <w:b/>
                <w:sz w:val="24"/>
                <w:highlight w:val="yellow"/>
              </w:rPr>
            </w:pPr>
          </w:p>
          <w:p w14:paraId="520ACEA8">
            <w:pPr>
              <w:adjustRightInd w:val="0"/>
              <w:snapToGrid w:val="0"/>
              <w:spacing w:line="460" w:lineRule="exact"/>
              <w:ind w:firstLine="482" w:firstLineChars="200"/>
              <w:rPr>
                <w:b/>
                <w:sz w:val="24"/>
                <w:highlight w:val="yellow"/>
              </w:rPr>
            </w:pPr>
          </w:p>
        </w:tc>
      </w:tr>
    </w:tbl>
    <w:p w14:paraId="520ACEAA">
      <w:pPr>
        <w:adjustRightInd w:val="0"/>
        <w:snapToGrid w:val="0"/>
        <w:rPr>
          <w:rFonts w:ascii="宋体" w:cs="宋体"/>
          <w:b/>
          <w:kern w:val="0"/>
          <w:sz w:val="15"/>
          <w:szCs w:val="15"/>
          <w:highlight w:val="yellow"/>
        </w:rPr>
        <w:sectPr>
          <w:pgSz w:w="11907" w:h="16840"/>
          <w:pgMar w:top="1701" w:right="1531" w:bottom="2127" w:left="1531" w:header="851" w:footer="851" w:gutter="0"/>
          <w:cols w:space="720" w:num="1"/>
          <w:docGrid w:linePitch="312" w:charSpace="0"/>
        </w:sectPr>
      </w:pPr>
    </w:p>
    <w:p w14:paraId="520ACEAB">
      <w:pPr>
        <w:pStyle w:val="16"/>
        <w:jc w:val="center"/>
        <w:outlineLvl w:val="0"/>
        <w:rPr>
          <w:rFonts w:hint="eastAsia" w:ascii="黑体" w:hAnsi="黑体" w:eastAsia="黑体"/>
          <w:snapToGrid w:val="0"/>
          <w:sz w:val="30"/>
          <w:szCs w:val="30"/>
        </w:rPr>
      </w:pPr>
      <w:r>
        <w:rPr>
          <w:rFonts w:hint="eastAsia" w:ascii="黑体" w:hAnsi="黑体" w:eastAsia="黑体"/>
          <w:snapToGrid w:val="0"/>
          <w:sz w:val="30"/>
          <w:szCs w:val="30"/>
        </w:rPr>
        <w:t>五、</w:t>
      </w:r>
      <w:bookmarkStart w:id="6" w:name="_Hlk54167917"/>
      <w:r>
        <w:rPr>
          <w:rFonts w:hint="eastAsia" w:ascii="黑体" w:hAnsi="黑体" w:eastAsia="黑体"/>
          <w:snapToGrid w:val="0"/>
          <w:sz w:val="30"/>
          <w:szCs w:val="30"/>
        </w:rPr>
        <w:t>环境保护措施监督检查清单</w:t>
      </w:r>
      <w:bookmarkEnd w:id="6"/>
    </w:p>
    <w:tbl>
      <w:tblPr>
        <w:tblStyle w:val="18"/>
        <w:tblW w:w="525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987"/>
        <w:gridCol w:w="427"/>
        <w:gridCol w:w="570"/>
        <w:gridCol w:w="570"/>
        <w:gridCol w:w="1282"/>
        <w:gridCol w:w="2541"/>
        <w:gridCol w:w="2930"/>
      </w:tblGrid>
      <w:tr w14:paraId="520ACE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tcBorders>
              <w:tl2br w:val="single" w:color="auto" w:sz="4" w:space="0"/>
            </w:tcBorders>
          </w:tcPr>
          <w:p w14:paraId="520ACEAC">
            <w:pPr>
              <w:adjustRightInd w:val="0"/>
              <w:snapToGrid w:val="0"/>
              <w:jc w:val="right"/>
              <w:rPr>
                <w:rFonts w:cs="宋体"/>
                <w:b/>
                <w:bCs/>
                <w:szCs w:val="21"/>
              </w:rPr>
            </w:pPr>
            <w:r>
              <w:rPr>
                <w:rFonts w:hint="eastAsia" w:cs="宋体"/>
                <w:b/>
                <w:bCs/>
                <w:szCs w:val="21"/>
              </w:rPr>
              <w:t>内容</w:t>
            </w:r>
          </w:p>
          <w:p w14:paraId="520ACEAD">
            <w:pPr>
              <w:adjustRightInd w:val="0"/>
              <w:snapToGrid w:val="0"/>
              <w:rPr>
                <w:rFonts w:cs="宋体"/>
                <w:b/>
                <w:bCs/>
                <w:szCs w:val="21"/>
              </w:rPr>
            </w:pPr>
            <w:r>
              <w:rPr>
                <w:rFonts w:hint="eastAsia" w:cs="宋体"/>
                <w:b/>
                <w:bCs/>
                <w:szCs w:val="21"/>
              </w:rPr>
              <w:t>要素</w:t>
            </w:r>
          </w:p>
        </w:tc>
        <w:tc>
          <w:tcPr>
            <w:tcW w:w="1559" w:type="dxa"/>
            <w:gridSpan w:val="3"/>
            <w:vAlign w:val="center"/>
          </w:tcPr>
          <w:p w14:paraId="520ACEAE">
            <w:pPr>
              <w:adjustRightInd w:val="0"/>
              <w:snapToGrid w:val="0"/>
              <w:jc w:val="center"/>
              <w:rPr>
                <w:rFonts w:cs="宋体"/>
                <w:b/>
                <w:bCs/>
                <w:szCs w:val="21"/>
              </w:rPr>
            </w:pPr>
            <w:r>
              <w:rPr>
                <w:rFonts w:hint="eastAsia" w:cs="宋体"/>
                <w:b/>
                <w:bCs/>
                <w:szCs w:val="21"/>
              </w:rPr>
              <w:t>污染源</w:t>
            </w:r>
          </w:p>
        </w:tc>
        <w:tc>
          <w:tcPr>
            <w:tcW w:w="1276" w:type="dxa"/>
            <w:vAlign w:val="center"/>
          </w:tcPr>
          <w:p w14:paraId="520ACEAF">
            <w:pPr>
              <w:adjustRightInd w:val="0"/>
              <w:snapToGrid w:val="0"/>
              <w:jc w:val="center"/>
              <w:rPr>
                <w:rFonts w:cs="宋体"/>
                <w:b/>
                <w:bCs/>
                <w:szCs w:val="21"/>
              </w:rPr>
            </w:pPr>
            <w:r>
              <w:rPr>
                <w:rFonts w:hint="eastAsia" w:cs="宋体"/>
                <w:b/>
                <w:bCs/>
                <w:szCs w:val="21"/>
              </w:rPr>
              <w:t>污染物项目</w:t>
            </w:r>
          </w:p>
        </w:tc>
        <w:tc>
          <w:tcPr>
            <w:tcW w:w="2530" w:type="dxa"/>
            <w:vAlign w:val="center"/>
          </w:tcPr>
          <w:p w14:paraId="520ACEB0">
            <w:pPr>
              <w:adjustRightInd w:val="0"/>
              <w:snapToGrid w:val="0"/>
              <w:jc w:val="center"/>
              <w:rPr>
                <w:rFonts w:cs="宋体"/>
                <w:b/>
                <w:bCs/>
                <w:szCs w:val="21"/>
              </w:rPr>
            </w:pPr>
            <w:r>
              <w:rPr>
                <w:rFonts w:hint="eastAsia" w:cs="宋体"/>
                <w:b/>
                <w:bCs/>
                <w:szCs w:val="21"/>
              </w:rPr>
              <w:t>环境保护措施</w:t>
            </w:r>
          </w:p>
        </w:tc>
        <w:tc>
          <w:tcPr>
            <w:tcW w:w="2917" w:type="dxa"/>
            <w:vAlign w:val="center"/>
          </w:tcPr>
          <w:p w14:paraId="520ACEB1">
            <w:pPr>
              <w:adjustRightInd w:val="0"/>
              <w:snapToGrid w:val="0"/>
              <w:jc w:val="center"/>
              <w:rPr>
                <w:rFonts w:cs="宋体"/>
                <w:b/>
                <w:bCs/>
                <w:szCs w:val="21"/>
              </w:rPr>
            </w:pPr>
            <w:r>
              <w:rPr>
                <w:rFonts w:hint="eastAsia" w:cs="宋体"/>
                <w:b/>
                <w:bCs/>
                <w:szCs w:val="21"/>
              </w:rPr>
              <w:t>执行标准</w:t>
            </w:r>
          </w:p>
        </w:tc>
      </w:tr>
      <w:tr w14:paraId="198FF8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47" w:hRule="atLeast"/>
          <w:jc w:val="center"/>
        </w:trPr>
        <w:tc>
          <w:tcPr>
            <w:tcW w:w="983" w:type="dxa"/>
            <w:vMerge w:val="restart"/>
            <w:vAlign w:val="center"/>
          </w:tcPr>
          <w:p w14:paraId="13BA8D11">
            <w:pPr>
              <w:adjustRightInd w:val="0"/>
              <w:snapToGrid w:val="0"/>
              <w:jc w:val="center"/>
              <w:rPr>
                <w:rFonts w:cs="宋体"/>
                <w:szCs w:val="21"/>
              </w:rPr>
            </w:pPr>
            <w:r>
              <w:rPr>
                <w:rFonts w:hint="eastAsia" w:cs="宋体"/>
                <w:szCs w:val="21"/>
              </w:rPr>
              <w:t>大气环境</w:t>
            </w:r>
          </w:p>
        </w:tc>
        <w:tc>
          <w:tcPr>
            <w:tcW w:w="425" w:type="dxa"/>
            <w:vMerge w:val="restart"/>
            <w:vAlign w:val="center"/>
          </w:tcPr>
          <w:p w14:paraId="76C2756E">
            <w:pPr>
              <w:adjustRightInd w:val="0"/>
              <w:snapToGrid w:val="0"/>
              <w:jc w:val="center"/>
              <w:rPr>
                <w:rFonts w:cs="宋体"/>
                <w:szCs w:val="21"/>
              </w:rPr>
            </w:pPr>
            <w:r>
              <w:rPr>
                <w:rFonts w:hint="eastAsia" w:cs="宋体"/>
                <w:szCs w:val="21"/>
              </w:rPr>
              <w:t>建设路厂区</w:t>
            </w:r>
          </w:p>
        </w:tc>
        <w:tc>
          <w:tcPr>
            <w:tcW w:w="567" w:type="dxa"/>
            <w:vAlign w:val="center"/>
          </w:tcPr>
          <w:p w14:paraId="1D1FECE8">
            <w:pPr>
              <w:adjustRightInd w:val="0"/>
              <w:snapToGrid w:val="0"/>
              <w:jc w:val="center"/>
              <w:rPr>
                <w:kern w:val="0"/>
                <w:szCs w:val="21"/>
              </w:rPr>
            </w:pPr>
            <w:r>
              <w:rPr>
                <w:rFonts w:hint="eastAsia"/>
                <w:kern w:val="0"/>
                <w:szCs w:val="21"/>
              </w:rPr>
              <w:t>抛丸废气</w:t>
            </w:r>
          </w:p>
        </w:tc>
        <w:tc>
          <w:tcPr>
            <w:tcW w:w="567" w:type="dxa"/>
            <w:vAlign w:val="center"/>
          </w:tcPr>
          <w:p w14:paraId="6CD04224">
            <w:pPr>
              <w:adjustRightInd w:val="0"/>
              <w:snapToGrid w:val="0"/>
              <w:jc w:val="center"/>
            </w:pPr>
            <w:r>
              <w:rPr>
                <w:rFonts w:hint="eastAsia"/>
              </w:rPr>
              <w:t>105厂房</w:t>
            </w:r>
          </w:p>
        </w:tc>
        <w:tc>
          <w:tcPr>
            <w:tcW w:w="1276" w:type="dxa"/>
            <w:vAlign w:val="center"/>
          </w:tcPr>
          <w:p w14:paraId="0C865252">
            <w:pPr>
              <w:adjustRightInd w:val="0"/>
              <w:snapToGrid w:val="0"/>
              <w:jc w:val="center"/>
            </w:pPr>
            <w:r>
              <w:rPr>
                <w:rFonts w:hint="eastAsia"/>
              </w:rPr>
              <w:t>颗粒物</w:t>
            </w:r>
          </w:p>
        </w:tc>
        <w:tc>
          <w:tcPr>
            <w:tcW w:w="2530" w:type="dxa"/>
            <w:vAlign w:val="center"/>
          </w:tcPr>
          <w:p w14:paraId="1810D55B">
            <w:pPr>
              <w:adjustRightInd w:val="0"/>
              <w:snapToGrid w:val="0"/>
              <w:jc w:val="center"/>
            </w:pPr>
            <w:r>
              <w:rPr>
                <w:rFonts w:hint="eastAsia"/>
              </w:rPr>
              <w:t>袋式除尘器+水喷淋TA019+15m高排气筒DA019（依托在建）</w:t>
            </w:r>
          </w:p>
        </w:tc>
        <w:tc>
          <w:tcPr>
            <w:tcW w:w="2917" w:type="dxa"/>
            <w:vAlign w:val="center"/>
          </w:tcPr>
          <w:p w14:paraId="58D5B50F">
            <w:pPr>
              <w:autoSpaceDE w:val="0"/>
              <w:autoSpaceDN w:val="0"/>
              <w:adjustRightInd w:val="0"/>
              <w:snapToGrid w:val="0"/>
              <w:jc w:val="center"/>
              <w:rPr>
                <w:szCs w:val="21"/>
              </w:rPr>
            </w:pPr>
            <w:r>
              <w:rPr>
                <w:rFonts w:hint="eastAsia"/>
                <w:bCs/>
                <w:szCs w:val="21"/>
              </w:rPr>
              <w:t>《大气污染物综合排放标准》（GB16297-1996）表2</w:t>
            </w:r>
            <w:r>
              <w:rPr>
                <w:rFonts w:hint="eastAsia"/>
                <w:szCs w:val="21"/>
              </w:rPr>
              <w:t>有组织颗粒物</w:t>
            </w:r>
            <w:r>
              <w:rPr>
                <w:szCs w:val="21"/>
              </w:rPr>
              <w:t>1</w:t>
            </w:r>
            <w:r>
              <w:rPr>
                <w:rFonts w:hint="eastAsia"/>
                <w:szCs w:val="21"/>
              </w:rPr>
              <w:t>2</w:t>
            </w:r>
            <w:r>
              <w:rPr>
                <w:szCs w:val="21"/>
              </w:rPr>
              <w:t>0mg/m</w:t>
            </w:r>
            <w:r>
              <w:rPr>
                <w:szCs w:val="21"/>
                <w:vertAlign w:val="superscript"/>
              </w:rPr>
              <w:t>3</w:t>
            </w:r>
            <w:r>
              <w:rPr>
                <w:rFonts w:hint="eastAsia"/>
                <w:szCs w:val="21"/>
              </w:rPr>
              <w:t>、3.5kg/h（15m高排气筒）的标准限值要求，《新乡市生态环境局关于进一步规范工业企业颗粒物排放限值的通知》有组织颗粒物</w:t>
            </w:r>
            <w:r>
              <w:rPr>
                <w:szCs w:val="21"/>
              </w:rPr>
              <w:t>10mg/m</w:t>
            </w:r>
            <w:r>
              <w:rPr>
                <w:szCs w:val="21"/>
                <w:vertAlign w:val="superscript"/>
              </w:rPr>
              <w:t>3</w:t>
            </w:r>
            <w:r>
              <w:rPr>
                <w:rFonts w:hint="eastAsia"/>
                <w:szCs w:val="21"/>
              </w:rPr>
              <w:t>的标准限值要求</w:t>
            </w:r>
          </w:p>
        </w:tc>
      </w:tr>
      <w:tr w14:paraId="520ACE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47" w:hRule="atLeast"/>
          <w:jc w:val="center"/>
        </w:trPr>
        <w:tc>
          <w:tcPr>
            <w:tcW w:w="983" w:type="dxa"/>
            <w:vMerge w:val="continue"/>
            <w:vAlign w:val="center"/>
          </w:tcPr>
          <w:p w14:paraId="520ACEB3">
            <w:pPr>
              <w:adjustRightInd w:val="0"/>
              <w:snapToGrid w:val="0"/>
              <w:jc w:val="center"/>
              <w:rPr>
                <w:rFonts w:cs="宋体"/>
                <w:szCs w:val="21"/>
                <w:highlight w:val="yellow"/>
              </w:rPr>
            </w:pPr>
          </w:p>
        </w:tc>
        <w:tc>
          <w:tcPr>
            <w:tcW w:w="425" w:type="dxa"/>
            <w:vMerge w:val="continue"/>
            <w:vAlign w:val="center"/>
          </w:tcPr>
          <w:p w14:paraId="520ACEB4">
            <w:pPr>
              <w:adjustRightInd w:val="0"/>
              <w:snapToGrid w:val="0"/>
              <w:jc w:val="center"/>
              <w:rPr>
                <w:rFonts w:cs="宋体"/>
                <w:szCs w:val="21"/>
              </w:rPr>
            </w:pPr>
          </w:p>
        </w:tc>
        <w:tc>
          <w:tcPr>
            <w:tcW w:w="567" w:type="dxa"/>
            <w:vMerge w:val="restart"/>
            <w:vAlign w:val="center"/>
          </w:tcPr>
          <w:p w14:paraId="520ACEB5">
            <w:pPr>
              <w:adjustRightInd w:val="0"/>
              <w:snapToGrid w:val="0"/>
              <w:jc w:val="center"/>
              <w:rPr>
                <w:rFonts w:cs="宋体"/>
                <w:szCs w:val="21"/>
              </w:rPr>
            </w:pPr>
            <w:r>
              <w:rPr>
                <w:rFonts w:hint="eastAsia"/>
                <w:kern w:val="0"/>
                <w:szCs w:val="21"/>
              </w:rPr>
              <w:t>油类试验废气</w:t>
            </w:r>
          </w:p>
        </w:tc>
        <w:tc>
          <w:tcPr>
            <w:tcW w:w="567" w:type="dxa"/>
            <w:vAlign w:val="center"/>
          </w:tcPr>
          <w:p w14:paraId="520ACEB6">
            <w:pPr>
              <w:adjustRightInd w:val="0"/>
              <w:snapToGrid w:val="0"/>
              <w:jc w:val="center"/>
              <w:rPr>
                <w:rFonts w:cs="宋体"/>
                <w:szCs w:val="21"/>
                <w:highlight w:val="yellow"/>
              </w:rPr>
            </w:pPr>
            <w:r>
              <w:rPr>
                <w:rFonts w:hint="eastAsia"/>
              </w:rPr>
              <w:t>1205厂房</w:t>
            </w:r>
          </w:p>
        </w:tc>
        <w:tc>
          <w:tcPr>
            <w:tcW w:w="1276" w:type="dxa"/>
            <w:vMerge w:val="restart"/>
            <w:vAlign w:val="center"/>
          </w:tcPr>
          <w:p w14:paraId="520ACEB7">
            <w:pPr>
              <w:adjustRightInd w:val="0"/>
              <w:snapToGrid w:val="0"/>
              <w:jc w:val="center"/>
              <w:rPr>
                <w:rFonts w:cs="宋体"/>
                <w:szCs w:val="21"/>
                <w:highlight w:val="yellow"/>
              </w:rPr>
            </w:pPr>
            <w:r>
              <w:rPr>
                <w:rFonts w:hint="eastAsia"/>
              </w:rPr>
              <w:t>非甲烷总烃</w:t>
            </w:r>
          </w:p>
        </w:tc>
        <w:tc>
          <w:tcPr>
            <w:tcW w:w="2530" w:type="dxa"/>
            <w:vAlign w:val="center"/>
          </w:tcPr>
          <w:p w14:paraId="520ACEB8">
            <w:pPr>
              <w:adjustRightInd w:val="0"/>
              <w:snapToGrid w:val="0"/>
              <w:jc w:val="center"/>
              <w:rPr>
                <w:rFonts w:cs="宋体"/>
                <w:szCs w:val="21"/>
                <w:highlight w:val="yellow"/>
              </w:rPr>
            </w:pPr>
            <w:r>
              <w:rPr>
                <w:rFonts w:hint="eastAsia"/>
              </w:rPr>
              <w:t>“四面封闭+集气罩”(新建)+活性炭吸附/脱附-催化燃烧装置TA030</w:t>
            </w:r>
            <w:r>
              <w:rPr>
                <w:rFonts w:hint="eastAsia"/>
                <w:bCs/>
              </w:rPr>
              <w:t>（依托在建）</w:t>
            </w:r>
            <w:r>
              <w:rPr>
                <w:rFonts w:hint="eastAsia"/>
              </w:rPr>
              <w:t>+15m高排气筒DA030</w:t>
            </w:r>
            <w:r>
              <w:rPr>
                <w:rFonts w:hint="eastAsia"/>
                <w:bCs/>
              </w:rPr>
              <w:t>（依托在建）</w:t>
            </w:r>
          </w:p>
        </w:tc>
        <w:tc>
          <w:tcPr>
            <w:tcW w:w="2917" w:type="dxa"/>
            <w:vMerge w:val="restart"/>
            <w:vAlign w:val="center"/>
          </w:tcPr>
          <w:p w14:paraId="520ACEB9">
            <w:pPr>
              <w:autoSpaceDE w:val="0"/>
              <w:autoSpaceDN w:val="0"/>
              <w:adjustRightInd w:val="0"/>
              <w:snapToGrid w:val="0"/>
              <w:jc w:val="center"/>
              <w:rPr>
                <w:rFonts w:cs="宋体"/>
                <w:szCs w:val="21"/>
                <w:highlight w:val="yellow"/>
              </w:rPr>
            </w:pPr>
            <w:r>
              <w:rPr>
                <w:rFonts w:hint="eastAsia"/>
                <w:szCs w:val="21"/>
              </w:rPr>
              <w:t>《关于全省开展工业企业挥发性有机物专项治理工作中排放建议限值的通知》（豫环攻坚办[2017]162号）附件1其他行业有机废气排放口非甲烷总烃80mg/m</w:t>
            </w:r>
            <w:r>
              <w:rPr>
                <w:rFonts w:hint="eastAsia"/>
                <w:szCs w:val="21"/>
                <w:vertAlign w:val="superscript"/>
              </w:rPr>
              <w:t>3</w:t>
            </w:r>
            <w:r>
              <w:rPr>
                <w:rFonts w:hint="eastAsia"/>
                <w:bCs/>
                <w:szCs w:val="21"/>
              </w:rPr>
              <w:t>、处理效率70%</w:t>
            </w:r>
            <w:r>
              <w:rPr>
                <w:rFonts w:hint="eastAsia"/>
                <w:szCs w:val="21"/>
              </w:rPr>
              <w:t>限值要求，</w:t>
            </w:r>
            <w:r>
              <w:rPr>
                <w:bCs/>
                <w:szCs w:val="21"/>
              </w:rPr>
              <w:t>《河南省重污染天气通用行业应急减排措施制定技术指南》（2024年修订版）涉VOCs企业</w:t>
            </w:r>
            <w:r>
              <w:rPr>
                <w:rFonts w:hint="eastAsia"/>
                <w:szCs w:val="21"/>
              </w:rPr>
              <w:t>非甲烷总烃有组织3</w:t>
            </w:r>
            <w:r>
              <w:rPr>
                <w:szCs w:val="21"/>
              </w:rPr>
              <w:t>0mg/m</w:t>
            </w:r>
            <w:r>
              <w:rPr>
                <w:szCs w:val="21"/>
                <w:vertAlign w:val="superscript"/>
              </w:rPr>
              <w:t>3</w:t>
            </w:r>
            <w:r>
              <w:rPr>
                <w:rFonts w:hint="eastAsia"/>
                <w:szCs w:val="21"/>
              </w:rPr>
              <w:t>的限值要求，《大气污染物综合排放标准》（GB16297-1996）表2二级非甲烷总烃有组织120mg/m</w:t>
            </w:r>
            <w:r>
              <w:rPr>
                <w:rFonts w:hint="eastAsia"/>
                <w:szCs w:val="21"/>
                <w:vertAlign w:val="superscript"/>
              </w:rPr>
              <w:t>3</w:t>
            </w:r>
            <w:r>
              <w:rPr>
                <w:rFonts w:hint="eastAsia"/>
                <w:szCs w:val="21"/>
              </w:rPr>
              <w:t>、10kg/h（15m高排气筒）的限值要求</w:t>
            </w:r>
          </w:p>
        </w:tc>
      </w:tr>
      <w:tr w14:paraId="520ACE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417" w:hRule="atLeast"/>
          <w:jc w:val="center"/>
        </w:trPr>
        <w:tc>
          <w:tcPr>
            <w:tcW w:w="983" w:type="dxa"/>
            <w:vMerge w:val="continue"/>
            <w:vAlign w:val="center"/>
          </w:tcPr>
          <w:p w14:paraId="520ACEBB">
            <w:pPr>
              <w:adjustRightInd w:val="0"/>
              <w:snapToGrid w:val="0"/>
              <w:jc w:val="center"/>
              <w:rPr>
                <w:rFonts w:cs="宋体"/>
                <w:szCs w:val="21"/>
              </w:rPr>
            </w:pPr>
          </w:p>
        </w:tc>
        <w:tc>
          <w:tcPr>
            <w:tcW w:w="425" w:type="dxa"/>
            <w:vMerge w:val="continue"/>
            <w:vAlign w:val="center"/>
          </w:tcPr>
          <w:p w14:paraId="520ACEBC">
            <w:pPr>
              <w:adjustRightInd w:val="0"/>
              <w:snapToGrid w:val="0"/>
              <w:jc w:val="center"/>
              <w:rPr>
                <w:kern w:val="0"/>
                <w:szCs w:val="21"/>
                <w:highlight w:val="yellow"/>
              </w:rPr>
            </w:pPr>
          </w:p>
        </w:tc>
        <w:tc>
          <w:tcPr>
            <w:tcW w:w="567" w:type="dxa"/>
            <w:vMerge w:val="continue"/>
            <w:vAlign w:val="center"/>
          </w:tcPr>
          <w:p w14:paraId="520ACEBD">
            <w:pPr>
              <w:adjustRightInd w:val="0"/>
              <w:snapToGrid w:val="0"/>
              <w:jc w:val="center"/>
              <w:rPr>
                <w:kern w:val="0"/>
                <w:szCs w:val="21"/>
                <w:highlight w:val="yellow"/>
              </w:rPr>
            </w:pPr>
          </w:p>
        </w:tc>
        <w:tc>
          <w:tcPr>
            <w:tcW w:w="567" w:type="dxa"/>
            <w:vAlign w:val="center"/>
          </w:tcPr>
          <w:p w14:paraId="520ACEBE">
            <w:pPr>
              <w:adjustRightInd w:val="0"/>
              <w:snapToGrid w:val="0"/>
              <w:jc w:val="center"/>
              <w:rPr>
                <w:kern w:val="0"/>
                <w:szCs w:val="21"/>
                <w:highlight w:val="yellow"/>
              </w:rPr>
            </w:pPr>
            <w:r>
              <w:rPr>
                <w:rFonts w:hint="eastAsia"/>
              </w:rPr>
              <w:t>101厂房</w:t>
            </w:r>
          </w:p>
        </w:tc>
        <w:tc>
          <w:tcPr>
            <w:tcW w:w="1276" w:type="dxa"/>
            <w:vMerge w:val="continue"/>
            <w:vAlign w:val="center"/>
          </w:tcPr>
          <w:p w14:paraId="520ACEBF">
            <w:pPr>
              <w:adjustRightInd w:val="0"/>
              <w:snapToGrid w:val="0"/>
              <w:jc w:val="center"/>
              <w:rPr>
                <w:highlight w:val="yellow"/>
              </w:rPr>
            </w:pPr>
          </w:p>
        </w:tc>
        <w:tc>
          <w:tcPr>
            <w:tcW w:w="2530" w:type="dxa"/>
            <w:vAlign w:val="center"/>
          </w:tcPr>
          <w:p w14:paraId="520ACEC0">
            <w:pPr>
              <w:adjustRightInd w:val="0"/>
              <w:snapToGrid w:val="0"/>
              <w:jc w:val="center"/>
              <w:rPr>
                <w:highlight w:val="yellow"/>
              </w:rPr>
            </w:pPr>
            <w:r>
              <w:rPr>
                <w:rFonts w:hint="eastAsia"/>
              </w:rPr>
              <w:t>“四面封闭+集气罩”(新建)+干式过滤+活性炭吸脱附-催化燃烧装置TA025</w:t>
            </w:r>
            <w:r>
              <w:rPr>
                <w:rFonts w:hint="eastAsia"/>
                <w:bCs/>
              </w:rPr>
              <w:t>（利用现有）</w:t>
            </w:r>
            <w:r>
              <w:rPr>
                <w:rFonts w:hint="eastAsia"/>
              </w:rPr>
              <w:t>+15m高排气筒DA025</w:t>
            </w:r>
            <w:r>
              <w:rPr>
                <w:rFonts w:hint="eastAsia"/>
                <w:bCs/>
              </w:rPr>
              <w:t>（利用现有）</w:t>
            </w:r>
          </w:p>
        </w:tc>
        <w:tc>
          <w:tcPr>
            <w:tcW w:w="2917" w:type="dxa"/>
            <w:vMerge w:val="continue"/>
            <w:vAlign w:val="center"/>
          </w:tcPr>
          <w:p w14:paraId="520ACEC1">
            <w:pPr>
              <w:autoSpaceDE w:val="0"/>
              <w:autoSpaceDN w:val="0"/>
              <w:adjustRightInd w:val="0"/>
              <w:snapToGrid w:val="0"/>
              <w:jc w:val="center"/>
              <w:rPr>
                <w:szCs w:val="21"/>
                <w:highlight w:val="yellow"/>
              </w:rPr>
            </w:pPr>
          </w:p>
        </w:tc>
      </w:tr>
      <w:tr w14:paraId="520ACE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520ACEC3">
            <w:pPr>
              <w:adjustRightInd w:val="0"/>
              <w:snapToGrid w:val="0"/>
              <w:jc w:val="center"/>
              <w:rPr>
                <w:rFonts w:cs="宋体"/>
                <w:szCs w:val="21"/>
                <w:highlight w:val="yellow"/>
              </w:rPr>
            </w:pPr>
          </w:p>
        </w:tc>
        <w:tc>
          <w:tcPr>
            <w:tcW w:w="425" w:type="dxa"/>
            <w:vMerge w:val="continue"/>
            <w:vAlign w:val="center"/>
          </w:tcPr>
          <w:p w14:paraId="520ACEC4">
            <w:pPr>
              <w:adjustRightInd w:val="0"/>
              <w:snapToGrid w:val="0"/>
              <w:jc w:val="center"/>
              <w:rPr>
                <w:kern w:val="0"/>
                <w:szCs w:val="21"/>
                <w:highlight w:val="yellow"/>
              </w:rPr>
            </w:pPr>
          </w:p>
        </w:tc>
        <w:tc>
          <w:tcPr>
            <w:tcW w:w="567" w:type="dxa"/>
            <w:vAlign w:val="center"/>
          </w:tcPr>
          <w:p w14:paraId="520ACEC5">
            <w:pPr>
              <w:adjustRightInd w:val="0"/>
              <w:snapToGrid w:val="0"/>
              <w:jc w:val="center"/>
              <w:rPr>
                <w:kern w:val="0"/>
                <w:szCs w:val="21"/>
                <w:highlight w:val="yellow"/>
              </w:rPr>
            </w:pPr>
            <w:r>
              <w:rPr>
                <w:rFonts w:hint="eastAsia"/>
              </w:rPr>
              <w:t>冷却系统试验废气</w:t>
            </w:r>
          </w:p>
        </w:tc>
        <w:tc>
          <w:tcPr>
            <w:tcW w:w="567" w:type="dxa"/>
            <w:vAlign w:val="center"/>
          </w:tcPr>
          <w:p w14:paraId="520ACEC6">
            <w:pPr>
              <w:adjustRightInd w:val="0"/>
              <w:snapToGrid w:val="0"/>
              <w:jc w:val="center"/>
              <w:rPr>
                <w:kern w:val="0"/>
                <w:szCs w:val="21"/>
                <w:highlight w:val="yellow"/>
              </w:rPr>
            </w:pPr>
            <w:r>
              <w:rPr>
                <w:rFonts w:hint="eastAsia"/>
              </w:rPr>
              <w:t>1206厂房</w:t>
            </w:r>
          </w:p>
        </w:tc>
        <w:tc>
          <w:tcPr>
            <w:tcW w:w="1276" w:type="dxa"/>
            <w:vMerge w:val="continue"/>
            <w:vAlign w:val="center"/>
          </w:tcPr>
          <w:p w14:paraId="520ACEC7">
            <w:pPr>
              <w:adjustRightInd w:val="0"/>
              <w:snapToGrid w:val="0"/>
              <w:jc w:val="center"/>
              <w:rPr>
                <w:highlight w:val="yellow"/>
              </w:rPr>
            </w:pPr>
          </w:p>
        </w:tc>
        <w:tc>
          <w:tcPr>
            <w:tcW w:w="2530" w:type="dxa"/>
            <w:vAlign w:val="center"/>
          </w:tcPr>
          <w:p w14:paraId="520ACEC8">
            <w:pPr>
              <w:adjustRightInd w:val="0"/>
              <w:snapToGrid w:val="0"/>
              <w:jc w:val="center"/>
              <w:rPr>
                <w:highlight w:val="yellow"/>
              </w:rPr>
            </w:pPr>
            <w:r>
              <w:rPr>
                <w:rFonts w:hint="eastAsia"/>
              </w:rPr>
              <w:t>“四面封闭+集气罩”(新建)+</w:t>
            </w:r>
            <w:r>
              <w:rPr>
                <w:rFonts w:hint="eastAsia"/>
                <w:bCs/>
              </w:rPr>
              <w:t>干式过滤+活性炭吸脱附-催化燃烧装置TA026（利用现有）+15m高排气筒DA026（利用现有）</w:t>
            </w:r>
          </w:p>
        </w:tc>
        <w:tc>
          <w:tcPr>
            <w:tcW w:w="2917" w:type="dxa"/>
            <w:vMerge w:val="continue"/>
            <w:vAlign w:val="center"/>
          </w:tcPr>
          <w:p w14:paraId="520ACEC9">
            <w:pPr>
              <w:autoSpaceDE w:val="0"/>
              <w:autoSpaceDN w:val="0"/>
              <w:adjustRightInd w:val="0"/>
              <w:snapToGrid w:val="0"/>
              <w:jc w:val="center"/>
              <w:rPr>
                <w:szCs w:val="21"/>
                <w:highlight w:val="yellow"/>
              </w:rPr>
            </w:pPr>
          </w:p>
        </w:tc>
      </w:tr>
      <w:tr w14:paraId="520ACE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520ACECB">
            <w:pPr>
              <w:adjustRightInd w:val="0"/>
              <w:snapToGrid w:val="0"/>
              <w:jc w:val="center"/>
              <w:rPr>
                <w:rFonts w:cs="宋体"/>
                <w:szCs w:val="21"/>
                <w:highlight w:val="yellow"/>
              </w:rPr>
            </w:pPr>
          </w:p>
        </w:tc>
        <w:tc>
          <w:tcPr>
            <w:tcW w:w="425" w:type="dxa"/>
            <w:vMerge w:val="continue"/>
            <w:vAlign w:val="center"/>
          </w:tcPr>
          <w:p w14:paraId="520ACECC">
            <w:pPr>
              <w:adjustRightInd w:val="0"/>
              <w:snapToGrid w:val="0"/>
              <w:jc w:val="center"/>
              <w:rPr>
                <w:kern w:val="0"/>
                <w:szCs w:val="21"/>
              </w:rPr>
            </w:pPr>
          </w:p>
        </w:tc>
        <w:tc>
          <w:tcPr>
            <w:tcW w:w="1134" w:type="dxa"/>
            <w:gridSpan w:val="2"/>
            <w:vAlign w:val="center"/>
          </w:tcPr>
          <w:p w14:paraId="520ACECD">
            <w:pPr>
              <w:adjustRightInd w:val="0"/>
              <w:snapToGrid w:val="0"/>
              <w:jc w:val="center"/>
              <w:rPr>
                <w:kern w:val="0"/>
                <w:szCs w:val="21"/>
              </w:rPr>
            </w:pPr>
            <w:r>
              <w:rPr>
                <w:rFonts w:hint="eastAsia"/>
                <w:kern w:val="0"/>
                <w:szCs w:val="21"/>
              </w:rPr>
              <w:t>无组织废气</w:t>
            </w:r>
          </w:p>
        </w:tc>
        <w:tc>
          <w:tcPr>
            <w:tcW w:w="1276" w:type="dxa"/>
            <w:vAlign w:val="center"/>
          </w:tcPr>
          <w:p w14:paraId="520ACECE">
            <w:pPr>
              <w:adjustRightInd w:val="0"/>
              <w:snapToGrid w:val="0"/>
              <w:jc w:val="center"/>
            </w:pPr>
            <w:r>
              <w:rPr>
                <w:rFonts w:hint="eastAsia"/>
              </w:rPr>
              <w:t>非甲烷总烃</w:t>
            </w:r>
          </w:p>
        </w:tc>
        <w:tc>
          <w:tcPr>
            <w:tcW w:w="2530" w:type="dxa"/>
            <w:vAlign w:val="center"/>
          </w:tcPr>
          <w:p w14:paraId="520ACECF">
            <w:pPr>
              <w:adjustRightInd w:val="0"/>
              <w:snapToGrid w:val="0"/>
              <w:jc w:val="center"/>
            </w:pPr>
            <w:r>
              <w:rPr>
                <w:rFonts w:hint="eastAsia"/>
              </w:rPr>
              <w:t>车间密闭，加强设备密闭，保证废气收集效率</w:t>
            </w:r>
          </w:p>
        </w:tc>
        <w:tc>
          <w:tcPr>
            <w:tcW w:w="2917" w:type="dxa"/>
            <w:vAlign w:val="center"/>
          </w:tcPr>
          <w:p w14:paraId="520ACED0">
            <w:pPr>
              <w:autoSpaceDE w:val="0"/>
              <w:autoSpaceDN w:val="0"/>
              <w:adjustRightInd w:val="0"/>
              <w:snapToGrid w:val="0"/>
              <w:jc w:val="center"/>
              <w:rPr>
                <w:rFonts w:cs="宋体"/>
                <w:szCs w:val="21"/>
              </w:rPr>
            </w:pPr>
            <w:r>
              <w:rPr>
                <w:rFonts w:hint="eastAsia"/>
                <w:szCs w:val="21"/>
              </w:rPr>
              <w:t>《大气污染物综合排放标准》（GB16297-1996）表2二级</w:t>
            </w:r>
            <w:r>
              <w:rPr>
                <w:rFonts w:hint="eastAsia"/>
                <w:bCs/>
                <w:szCs w:val="21"/>
              </w:rPr>
              <w:t>非甲烷总烃无组织4</w:t>
            </w:r>
            <w:r>
              <w:rPr>
                <w:bCs/>
                <w:szCs w:val="21"/>
              </w:rPr>
              <w:t>mg/m</w:t>
            </w:r>
            <w:r>
              <w:rPr>
                <w:bCs/>
                <w:szCs w:val="21"/>
                <w:vertAlign w:val="superscript"/>
              </w:rPr>
              <w:t>3</w:t>
            </w:r>
            <w:r>
              <w:rPr>
                <w:rFonts w:hint="eastAsia"/>
                <w:szCs w:val="21"/>
              </w:rPr>
              <w:t>的限值要求、《关于全省开展工业企业挥发性有机物专项治理工作中排放建议值的通知》（豫环攻坚办[2017]162号）附件2-其他企业边界非甲烷总烃2mg/m</w:t>
            </w:r>
            <w:r>
              <w:rPr>
                <w:rFonts w:hint="eastAsia"/>
                <w:szCs w:val="21"/>
                <w:vertAlign w:val="superscript"/>
              </w:rPr>
              <w:t>3</w:t>
            </w:r>
            <w:r>
              <w:rPr>
                <w:rFonts w:hint="eastAsia"/>
                <w:szCs w:val="21"/>
              </w:rPr>
              <w:t>的限值要求</w:t>
            </w:r>
          </w:p>
        </w:tc>
      </w:tr>
      <w:tr w14:paraId="117874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0E48FF2C">
            <w:pPr>
              <w:adjustRightInd w:val="0"/>
              <w:snapToGrid w:val="0"/>
              <w:jc w:val="center"/>
              <w:rPr>
                <w:rFonts w:cs="宋体"/>
                <w:szCs w:val="21"/>
                <w:highlight w:val="yellow"/>
              </w:rPr>
            </w:pPr>
          </w:p>
        </w:tc>
        <w:tc>
          <w:tcPr>
            <w:tcW w:w="425" w:type="dxa"/>
            <w:vMerge w:val="restart"/>
            <w:vAlign w:val="center"/>
          </w:tcPr>
          <w:p w14:paraId="2171FA87">
            <w:pPr>
              <w:adjustRightInd w:val="0"/>
              <w:snapToGrid w:val="0"/>
              <w:jc w:val="center"/>
              <w:rPr>
                <w:kern w:val="0"/>
                <w:szCs w:val="21"/>
              </w:rPr>
            </w:pPr>
            <w:r>
              <w:rPr>
                <w:rFonts w:hint="eastAsia"/>
                <w:kern w:val="0"/>
                <w:szCs w:val="21"/>
              </w:rPr>
              <w:t>解放路厂区</w:t>
            </w:r>
          </w:p>
        </w:tc>
        <w:tc>
          <w:tcPr>
            <w:tcW w:w="567" w:type="dxa"/>
            <w:vMerge w:val="restart"/>
            <w:vAlign w:val="center"/>
          </w:tcPr>
          <w:p w14:paraId="0F9C7C00">
            <w:pPr>
              <w:adjustRightInd w:val="0"/>
              <w:snapToGrid w:val="0"/>
              <w:jc w:val="center"/>
              <w:rPr>
                <w:kern w:val="0"/>
                <w:szCs w:val="21"/>
              </w:rPr>
            </w:pPr>
            <w:r>
              <w:rPr>
                <w:rFonts w:hint="eastAsia"/>
                <w:kern w:val="0"/>
                <w:szCs w:val="21"/>
              </w:rPr>
              <w:t>硫化废气</w:t>
            </w:r>
          </w:p>
        </w:tc>
        <w:tc>
          <w:tcPr>
            <w:tcW w:w="567" w:type="dxa"/>
            <w:vMerge w:val="restart"/>
            <w:vAlign w:val="center"/>
          </w:tcPr>
          <w:p w14:paraId="2CA4C1B8">
            <w:pPr>
              <w:adjustRightInd w:val="0"/>
              <w:snapToGrid w:val="0"/>
              <w:jc w:val="center"/>
              <w:rPr>
                <w:kern w:val="0"/>
                <w:szCs w:val="21"/>
              </w:rPr>
            </w:pPr>
            <w:r>
              <w:rPr>
                <w:rFonts w:hint="eastAsia"/>
                <w:kern w:val="0"/>
                <w:szCs w:val="21"/>
              </w:rPr>
              <w:t>2207厂房</w:t>
            </w:r>
          </w:p>
        </w:tc>
        <w:tc>
          <w:tcPr>
            <w:tcW w:w="1276" w:type="dxa"/>
            <w:vAlign w:val="center"/>
          </w:tcPr>
          <w:p w14:paraId="47A87DEB">
            <w:pPr>
              <w:adjustRightInd w:val="0"/>
              <w:snapToGrid w:val="0"/>
              <w:jc w:val="center"/>
            </w:pPr>
            <w:r>
              <w:rPr>
                <w:rFonts w:hint="eastAsia"/>
              </w:rPr>
              <w:t>非甲烷总烃</w:t>
            </w:r>
          </w:p>
        </w:tc>
        <w:tc>
          <w:tcPr>
            <w:tcW w:w="2530" w:type="dxa"/>
            <w:vMerge w:val="restart"/>
            <w:vAlign w:val="center"/>
          </w:tcPr>
          <w:p w14:paraId="25F3848D">
            <w:pPr>
              <w:adjustRightInd w:val="0"/>
              <w:snapToGrid w:val="0"/>
              <w:jc w:val="center"/>
            </w:pPr>
            <w:r>
              <w:rPr>
                <w:rFonts w:hint="eastAsia"/>
              </w:rPr>
              <w:t>“集气罩”(新建)+</w:t>
            </w:r>
            <w:r>
              <w:rPr>
                <w:rFonts w:hint="eastAsia"/>
                <w:bCs/>
              </w:rPr>
              <w:t>活性炭吸脱附-催化燃烧装置（利用现有）+15m高排气筒DA025（利用现有）</w:t>
            </w:r>
          </w:p>
        </w:tc>
        <w:tc>
          <w:tcPr>
            <w:tcW w:w="2917" w:type="dxa"/>
            <w:vAlign w:val="center"/>
          </w:tcPr>
          <w:p w14:paraId="0A30E972">
            <w:pPr>
              <w:autoSpaceDE w:val="0"/>
              <w:autoSpaceDN w:val="0"/>
              <w:adjustRightInd w:val="0"/>
              <w:snapToGrid w:val="0"/>
              <w:jc w:val="center"/>
              <w:rPr>
                <w:szCs w:val="21"/>
              </w:rPr>
            </w:pPr>
            <w:r>
              <w:rPr>
                <w:rFonts w:hint="eastAsia"/>
                <w:szCs w:val="21"/>
              </w:rPr>
              <w:t>《橡胶制品工业污染物排放标准》（GB27632-2011）中非甲烷总烃10</w:t>
            </w:r>
            <w:r>
              <w:rPr>
                <w:szCs w:val="21"/>
              </w:rPr>
              <w:t>mg/m</w:t>
            </w:r>
            <w:r>
              <w:rPr>
                <w:szCs w:val="21"/>
                <w:vertAlign w:val="superscript"/>
              </w:rPr>
              <w:t>3</w:t>
            </w:r>
            <w:r>
              <w:rPr>
                <w:rFonts w:hint="eastAsia"/>
                <w:szCs w:val="21"/>
              </w:rPr>
              <w:t>及</w:t>
            </w:r>
            <w:r>
              <w:rPr>
                <w:rFonts w:hint="eastAsia"/>
                <w:bCs/>
                <w:szCs w:val="21"/>
              </w:rPr>
              <w:t>基准排气量2000m</w:t>
            </w:r>
            <w:r>
              <w:rPr>
                <w:rFonts w:hint="eastAsia"/>
                <w:bCs/>
                <w:szCs w:val="21"/>
                <w:vertAlign w:val="superscript"/>
              </w:rPr>
              <w:t>3</w:t>
            </w:r>
            <w:r>
              <w:rPr>
                <w:rFonts w:hint="eastAsia"/>
                <w:bCs/>
                <w:szCs w:val="21"/>
              </w:rPr>
              <w:t>/t胶</w:t>
            </w:r>
            <w:r>
              <w:rPr>
                <w:rFonts w:hint="eastAsia"/>
                <w:szCs w:val="21"/>
              </w:rPr>
              <w:t>的标准限值要求</w:t>
            </w:r>
            <w:r>
              <w:rPr>
                <w:rFonts w:hint="eastAsia"/>
                <w:bCs/>
                <w:szCs w:val="21"/>
              </w:rPr>
              <w:t>，</w:t>
            </w:r>
            <w:r>
              <w:rPr>
                <w:bCs/>
                <w:szCs w:val="21"/>
              </w:rPr>
              <w:t>《</w:t>
            </w:r>
            <w:r>
              <w:rPr>
                <w:rFonts w:hint="eastAsia"/>
                <w:bCs/>
                <w:szCs w:val="21"/>
              </w:rPr>
              <w:t>重污染天气重点行业应急减排措施制度技术指南</w:t>
            </w:r>
            <w:r>
              <w:rPr>
                <w:bCs/>
                <w:szCs w:val="21"/>
              </w:rPr>
              <w:t>》</w:t>
            </w:r>
            <w:r>
              <w:rPr>
                <w:rFonts w:hint="eastAsia"/>
                <w:bCs/>
                <w:szCs w:val="21"/>
              </w:rPr>
              <w:t>（2020</w:t>
            </w:r>
            <w:r>
              <w:rPr>
                <w:bCs/>
                <w:szCs w:val="21"/>
              </w:rPr>
              <w:t>年修订版</w:t>
            </w:r>
            <w:r>
              <w:rPr>
                <w:rFonts w:hint="eastAsia"/>
                <w:bCs/>
                <w:szCs w:val="21"/>
              </w:rPr>
              <w:t>）中橡胶制品行业</w:t>
            </w:r>
            <w:r>
              <w:rPr>
                <w:rFonts w:hint="eastAsia"/>
                <w:szCs w:val="21"/>
              </w:rPr>
              <w:t>10</w:t>
            </w:r>
            <w:r>
              <w:rPr>
                <w:szCs w:val="21"/>
              </w:rPr>
              <w:t>mg/m</w:t>
            </w:r>
            <w:r>
              <w:rPr>
                <w:szCs w:val="21"/>
                <w:vertAlign w:val="superscript"/>
              </w:rPr>
              <w:t>3</w:t>
            </w:r>
            <w:r>
              <w:rPr>
                <w:rFonts w:hint="eastAsia"/>
                <w:bCs/>
                <w:szCs w:val="21"/>
              </w:rPr>
              <w:t>的限值要求，《关于全省开展工业企业挥发性有机物专项治理工作中排放建议值的通知》（豫环攻坚办[2017]162号）其他行业</w:t>
            </w:r>
            <w:r>
              <w:rPr>
                <w:rFonts w:hint="eastAsia"/>
                <w:szCs w:val="21"/>
              </w:rPr>
              <w:t>80</w:t>
            </w:r>
            <w:r>
              <w:rPr>
                <w:szCs w:val="21"/>
              </w:rPr>
              <w:t>mg/m</w:t>
            </w:r>
            <w:r>
              <w:rPr>
                <w:szCs w:val="21"/>
                <w:vertAlign w:val="superscript"/>
              </w:rPr>
              <w:t>3</w:t>
            </w:r>
            <w:r>
              <w:rPr>
                <w:szCs w:val="21"/>
              </w:rPr>
              <w:t>（</w:t>
            </w:r>
            <w:r>
              <w:rPr>
                <w:rFonts w:hint="eastAsia"/>
                <w:szCs w:val="21"/>
              </w:rPr>
              <w:t>去除效率70%</w:t>
            </w:r>
            <w:r>
              <w:rPr>
                <w:szCs w:val="21"/>
              </w:rPr>
              <w:t>）</w:t>
            </w:r>
            <w:r>
              <w:rPr>
                <w:rFonts w:hint="eastAsia"/>
                <w:szCs w:val="21"/>
              </w:rPr>
              <w:t>的标准限值要求</w:t>
            </w:r>
          </w:p>
        </w:tc>
      </w:tr>
      <w:tr w14:paraId="116174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09DF4AA7">
            <w:pPr>
              <w:adjustRightInd w:val="0"/>
              <w:snapToGrid w:val="0"/>
              <w:jc w:val="center"/>
              <w:rPr>
                <w:rFonts w:cs="宋体"/>
                <w:szCs w:val="21"/>
                <w:highlight w:val="yellow"/>
              </w:rPr>
            </w:pPr>
          </w:p>
        </w:tc>
        <w:tc>
          <w:tcPr>
            <w:tcW w:w="425" w:type="dxa"/>
            <w:vMerge w:val="continue"/>
            <w:vAlign w:val="center"/>
          </w:tcPr>
          <w:p w14:paraId="563FA7D5">
            <w:pPr>
              <w:adjustRightInd w:val="0"/>
              <w:snapToGrid w:val="0"/>
              <w:jc w:val="center"/>
              <w:rPr>
                <w:kern w:val="0"/>
                <w:szCs w:val="21"/>
              </w:rPr>
            </w:pPr>
          </w:p>
        </w:tc>
        <w:tc>
          <w:tcPr>
            <w:tcW w:w="567" w:type="dxa"/>
            <w:vMerge w:val="continue"/>
            <w:vAlign w:val="center"/>
          </w:tcPr>
          <w:p w14:paraId="390B7CB3">
            <w:pPr>
              <w:adjustRightInd w:val="0"/>
              <w:snapToGrid w:val="0"/>
              <w:jc w:val="center"/>
              <w:rPr>
                <w:kern w:val="0"/>
                <w:szCs w:val="21"/>
              </w:rPr>
            </w:pPr>
          </w:p>
        </w:tc>
        <w:tc>
          <w:tcPr>
            <w:tcW w:w="567" w:type="dxa"/>
            <w:vMerge w:val="continue"/>
            <w:vAlign w:val="center"/>
          </w:tcPr>
          <w:p w14:paraId="631674F0">
            <w:pPr>
              <w:adjustRightInd w:val="0"/>
              <w:snapToGrid w:val="0"/>
              <w:jc w:val="center"/>
              <w:rPr>
                <w:kern w:val="0"/>
                <w:szCs w:val="21"/>
              </w:rPr>
            </w:pPr>
          </w:p>
        </w:tc>
        <w:tc>
          <w:tcPr>
            <w:tcW w:w="1276" w:type="dxa"/>
            <w:vAlign w:val="center"/>
          </w:tcPr>
          <w:p w14:paraId="6F90FDDE">
            <w:pPr>
              <w:adjustRightInd w:val="0"/>
              <w:snapToGrid w:val="0"/>
              <w:jc w:val="center"/>
            </w:pPr>
            <w:r>
              <w:rPr>
                <w:rFonts w:hint="eastAsia"/>
              </w:rPr>
              <w:t>硫化氢</w:t>
            </w:r>
          </w:p>
        </w:tc>
        <w:tc>
          <w:tcPr>
            <w:tcW w:w="2530" w:type="dxa"/>
            <w:vMerge w:val="continue"/>
            <w:vAlign w:val="center"/>
          </w:tcPr>
          <w:p w14:paraId="28680FF5">
            <w:pPr>
              <w:adjustRightInd w:val="0"/>
              <w:snapToGrid w:val="0"/>
              <w:jc w:val="center"/>
            </w:pPr>
          </w:p>
        </w:tc>
        <w:tc>
          <w:tcPr>
            <w:tcW w:w="2917" w:type="dxa"/>
            <w:vMerge w:val="restart"/>
            <w:vAlign w:val="center"/>
          </w:tcPr>
          <w:p w14:paraId="3B38E978">
            <w:pPr>
              <w:autoSpaceDE w:val="0"/>
              <w:autoSpaceDN w:val="0"/>
              <w:adjustRightInd w:val="0"/>
              <w:snapToGrid w:val="0"/>
              <w:jc w:val="center"/>
              <w:rPr>
                <w:szCs w:val="21"/>
              </w:rPr>
            </w:pPr>
            <w:r>
              <w:rPr>
                <w:rFonts w:hint="eastAsia"/>
                <w:bCs/>
                <w:szCs w:val="21"/>
              </w:rPr>
              <w:t>《恶臭污染物排放标准》（GB 14554-93）表2 硫化氢0.33</w:t>
            </w:r>
            <w:r>
              <w:rPr>
                <w:bCs/>
                <w:szCs w:val="21"/>
              </w:rPr>
              <w:t>kg/h</w:t>
            </w:r>
            <w:r>
              <w:rPr>
                <w:rFonts w:hint="eastAsia"/>
                <w:bCs/>
                <w:szCs w:val="21"/>
              </w:rPr>
              <w:t>、臭气浓度2000（无量纲）的限值要求</w:t>
            </w:r>
          </w:p>
        </w:tc>
      </w:tr>
      <w:tr w14:paraId="0FAE9E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23102A16">
            <w:pPr>
              <w:adjustRightInd w:val="0"/>
              <w:snapToGrid w:val="0"/>
              <w:jc w:val="center"/>
              <w:rPr>
                <w:rFonts w:cs="宋体"/>
                <w:szCs w:val="21"/>
                <w:highlight w:val="yellow"/>
              </w:rPr>
            </w:pPr>
          </w:p>
        </w:tc>
        <w:tc>
          <w:tcPr>
            <w:tcW w:w="425" w:type="dxa"/>
            <w:vMerge w:val="continue"/>
            <w:vAlign w:val="center"/>
          </w:tcPr>
          <w:p w14:paraId="3E2B5819">
            <w:pPr>
              <w:adjustRightInd w:val="0"/>
              <w:snapToGrid w:val="0"/>
              <w:jc w:val="center"/>
              <w:rPr>
                <w:kern w:val="0"/>
                <w:szCs w:val="21"/>
              </w:rPr>
            </w:pPr>
          </w:p>
        </w:tc>
        <w:tc>
          <w:tcPr>
            <w:tcW w:w="567" w:type="dxa"/>
            <w:vMerge w:val="continue"/>
            <w:vAlign w:val="center"/>
          </w:tcPr>
          <w:p w14:paraId="2AE6377D">
            <w:pPr>
              <w:adjustRightInd w:val="0"/>
              <w:snapToGrid w:val="0"/>
              <w:jc w:val="center"/>
              <w:rPr>
                <w:kern w:val="0"/>
                <w:szCs w:val="21"/>
              </w:rPr>
            </w:pPr>
          </w:p>
        </w:tc>
        <w:tc>
          <w:tcPr>
            <w:tcW w:w="567" w:type="dxa"/>
            <w:vMerge w:val="continue"/>
            <w:vAlign w:val="center"/>
          </w:tcPr>
          <w:p w14:paraId="1FDF8336">
            <w:pPr>
              <w:adjustRightInd w:val="0"/>
              <w:snapToGrid w:val="0"/>
              <w:jc w:val="center"/>
              <w:rPr>
                <w:kern w:val="0"/>
                <w:szCs w:val="21"/>
              </w:rPr>
            </w:pPr>
          </w:p>
        </w:tc>
        <w:tc>
          <w:tcPr>
            <w:tcW w:w="1276" w:type="dxa"/>
            <w:vAlign w:val="center"/>
          </w:tcPr>
          <w:p w14:paraId="5CB97712">
            <w:pPr>
              <w:adjustRightInd w:val="0"/>
              <w:snapToGrid w:val="0"/>
              <w:jc w:val="center"/>
            </w:pPr>
            <w:r>
              <w:rPr>
                <w:rFonts w:hint="eastAsia"/>
              </w:rPr>
              <w:t>臭气浓度</w:t>
            </w:r>
          </w:p>
        </w:tc>
        <w:tc>
          <w:tcPr>
            <w:tcW w:w="2530" w:type="dxa"/>
            <w:vMerge w:val="continue"/>
            <w:vAlign w:val="center"/>
          </w:tcPr>
          <w:p w14:paraId="5219E02E">
            <w:pPr>
              <w:adjustRightInd w:val="0"/>
              <w:snapToGrid w:val="0"/>
              <w:jc w:val="center"/>
            </w:pPr>
          </w:p>
        </w:tc>
        <w:tc>
          <w:tcPr>
            <w:tcW w:w="2917" w:type="dxa"/>
            <w:vMerge w:val="continue"/>
            <w:vAlign w:val="center"/>
          </w:tcPr>
          <w:p w14:paraId="45BA1B1A">
            <w:pPr>
              <w:autoSpaceDE w:val="0"/>
              <w:autoSpaceDN w:val="0"/>
              <w:adjustRightInd w:val="0"/>
              <w:snapToGrid w:val="0"/>
              <w:jc w:val="center"/>
              <w:rPr>
                <w:szCs w:val="21"/>
              </w:rPr>
            </w:pPr>
          </w:p>
        </w:tc>
      </w:tr>
      <w:tr w14:paraId="13D533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2332A867">
            <w:pPr>
              <w:adjustRightInd w:val="0"/>
              <w:snapToGrid w:val="0"/>
              <w:jc w:val="center"/>
              <w:rPr>
                <w:rFonts w:cs="宋体"/>
                <w:szCs w:val="21"/>
                <w:highlight w:val="yellow"/>
              </w:rPr>
            </w:pPr>
          </w:p>
        </w:tc>
        <w:tc>
          <w:tcPr>
            <w:tcW w:w="425" w:type="dxa"/>
            <w:vMerge w:val="continue"/>
            <w:vAlign w:val="center"/>
          </w:tcPr>
          <w:p w14:paraId="697339A7">
            <w:pPr>
              <w:adjustRightInd w:val="0"/>
              <w:snapToGrid w:val="0"/>
              <w:jc w:val="center"/>
              <w:rPr>
                <w:kern w:val="0"/>
                <w:szCs w:val="21"/>
              </w:rPr>
            </w:pPr>
          </w:p>
        </w:tc>
        <w:tc>
          <w:tcPr>
            <w:tcW w:w="567" w:type="dxa"/>
            <w:vMerge w:val="continue"/>
            <w:vAlign w:val="center"/>
          </w:tcPr>
          <w:p w14:paraId="151A0208">
            <w:pPr>
              <w:adjustRightInd w:val="0"/>
              <w:snapToGrid w:val="0"/>
              <w:jc w:val="center"/>
              <w:rPr>
                <w:kern w:val="0"/>
                <w:szCs w:val="21"/>
              </w:rPr>
            </w:pPr>
          </w:p>
        </w:tc>
        <w:tc>
          <w:tcPr>
            <w:tcW w:w="567" w:type="dxa"/>
            <w:vMerge w:val="continue"/>
            <w:vAlign w:val="center"/>
          </w:tcPr>
          <w:p w14:paraId="0477AB64">
            <w:pPr>
              <w:adjustRightInd w:val="0"/>
              <w:snapToGrid w:val="0"/>
              <w:jc w:val="center"/>
              <w:rPr>
                <w:kern w:val="0"/>
                <w:szCs w:val="21"/>
              </w:rPr>
            </w:pPr>
          </w:p>
        </w:tc>
        <w:tc>
          <w:tcPr>
            <w:tcW w:w="1276" w:type="dxa"/>
            <w:vAlign w:val="center"/>
          </w:tcPr>
          <w:p w14:paraId="7DF6C822">
            <w:pPr>
              <w:adjustRightInd w:val="0"/>
              <w:snapToGrid w:val="0"/>
              <w:jc w:val="center"/>
            </w:pPr>
            <w:r>
              <w:rPr>
                <w:rFonts w:hint="eastAsia"/>
              </w:rPr>
              <w:t>SO</w:t>
            </w:r>
            <w:r>
              <w:rPr>
                <w:rFonts w:hint="eastAsia"/>
                <w:vertAlign w:val="subscript"/>
              </w:rPr>
              <w:t>2</w:t>
            </w:r>
          </w:p>
        </w:tc>
        <w:tc>
          <w:tcPr>
            <w:tcW w:w="2530" w:type="dxa"/>
            <w:vMerge w:val="continue"/>
            <w:vAlign w:val="center"/>
          </w:tcPr>
          <w:p w14:paraId="7F68B204">
            <w:pPr>
              <w:adjustRightInd w:val="0"/>
              <w:snapToGrid w:val="0"/>
              <w:jc w:val="center"/>
            </w:pPr>
          </w:p>
        </w:tc>
        <w:tc>
          <w:tcPr>
            <w:tcW w:w="2917" w:type="dxa"/>
            <w:vAlign w:val="center"/>
          </w:tcPr>
          <w:p w14:paraId="6E82326B">
            <w:pPr>
              <w:autoSpaceDE w:val="0"/>
              <w:autoSpaceDN w:val="0"/>
              <w:adjustRightInd w:val="0"/>
              <w:snapToGrid w:val="0"/>
              <w:jc w:val="center"/>
              <w:rPr>
                <w:szCs w:val="21"/>
              </w:rPr>
            </w:pPr>
            <w:r>
              <w:rPr>
                <w:rFonts w:hint="eastAsia"/>
                <w:szCs w:val="21"/>
              </w:rPr>
              <w:t>《大气污染物综合排放标准》（GB16297-1996）表2二级</w:t>
            </w:r>
            <w:r>
              <w:rPr>
                <w:rFonts w:hint="eastAsia"/>
                <w:bCs/>
                <w:szCs w:val="21"/>
              </w:rPr>
              <w:t>SO</w:t>
            </w:r>
            <w:r>
              <w:rPr>
                <w:rFonts w:hint="eastAsia"/>
                <w:bCs/>
                <w:szCs w:val="21"/>
                <w:vertAlign w:val="subscript"/>
              </w:rPr>
              <w:t>2</w:t>
            </w:r>
            <w:r>
              <w:rPr>
                <w:rFonts w:hint="eastAsia"/>
                <w:bCs/>
                <w:szCs w:val="21"/>
              </w:rPr>
              <w:t xml:space="preserve"> 55</w:t>
            </w:r>
            <w:r>
              <w:rPr>
                <w:rFonts w:hint="eastAsia"/>
                <w:szCs w:val="21"/>
              </w:rPr>
              <w:t>0</w:t>
            </w:r>
            <w:r>
              <w:rPr>
                <w:szCs w:val="21"/>
              </w:rPr>
              <w:t>mg/m</w:t>
            </w:r>
            <w:r>
              <w:rPr>
                <w:szCs w:val="21"/>
                <w:vertAlign w:val="superscript"/>
              </w:rPr>
              <w:t>3</w:t>
            </w:r>
            <w:r>
              <w:rPr>
                <w:rFonts w:hint="eastAsia"/>
                <w:szCs w:val="21"/>
              </w:rPr>
              <w:t>的标准限值要求，</w:t>
            </w:r>
            <w:r>
              <w:rPr>
                <w:rFonts w:hint="eastAsia"/>
                <w:bCs/>
                <w:szCs w:val="21"/>
              </w:rPr>
              <w:t>《新乡市环境污染防治攻坚指挥部办公室关于规范焚烧炉正常运行的环保管理意见》废气焚烧炉（SO</w:t>
            </w:r>
            <w:r>
              <w:rPr>
                <w:rFonts w:hint="eastAsia"/>
                <w:bCs/>
                <w:szCs w:val="21"/>
                <w:vertAlign w:val="subscript"/>
              </w:rPr>
              <w:t>2</w:t>
            </w:r>
            <w:r>
              <w:rPr>
                <w:rFonts w:hint="eastAsia"/>
                <w:bCs/>
                <w:szCs w:val="21"/>
              </w:rPr>
              <w:t xml:space="preserve"> 20mg/m</w:t>
            </w:r>
            <w:r>
              <w:rPr>
                <w:rFonts w:hint="eastAsia"/>
                <w:bCs/>
                <w:szCs w:val="21"/>
                <w:vertAlign w:val="superscript"/>
              </w:rPr>
              <w:t>3</w:t>
            </w:r>
            <w:r>
              <w:rPr>
                <w:rFonts w:hint="eastAsia"/>
                <w:bCs/>
                <w:szCs w:val="21"/>
              </w:rPr>
              <w:t>）的限值要求</w:t>
            </w:r>
          </w:p>
        </w:tc>
      </w:tr>
      <w:tr w14:paraId="7C4624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1725E888">
            <w:pPr>
              <w:adjustRightInd w:val="0"/>
              <w:snapToGrid w:val="0"/>
              <w:jc w:val="center"/>
              <w:rPr>
                <w:rFonts w:cs="宋体"/>
                <w:szCs w:val="21"/>
                <w:highlight w:val="yellow"/>
              </w:rPr>
            </w:pPr>
          </w:p>
        </w:tc>
        <w:tc>
          <w:tcPr>
            <w:tcW w:w="425" w:type="dxa"/>
            <w:vMerge w:val="continue"/>
            <w:vAlign w:val="center"/>
          </w:tcPr>
          <w:p w14:paraId="245664FA">
            <w:pPr>
              <w:adjustRightInd w:val="0"/>
              <w:snapToGrid w:val="0"/>
              <w:jc w:val="center"/>
              <w:rPr>
                <w:kern w:val="0"/>
                <w:szCs w:val="21"/>
              </w:rPr>
            </w:pPr>
          </w:p>
        </w:tc>
        <w:tc>
          <w:tcPr>
            <w:tcW w:w="1134" w:type="dxa"/>
            <w:gridSpan w:val="2"/>
            <w:vMerge w:val="restart"/>
            <w:vAlign w:val="center"/>
          </w:tcPr>
          <w:p w14:paraId="216C8DCF">
            <w:pPr>
              <w:adjustRightInd w:val="0"/>
              <w:snapToGrid w:val="0"/>
              <w:jc w:val="center"/>
              <w:rPr>
                <w:kern w:val="0"/>
                <w:szCs w:val="21"/>
              </w:rPr>
            </w:pPr>
            <w:r>
              <w:rPr>
                <w:rFonts w:hint="eastAsia"/>
                <w:kern w:val="0"/>
                <w:szCs w:val="21"/>
              </w:rPr>
              <w:t>无组织废气</w:t>
            </w:r>
          </w:p>
        </w:tc>
        <w:tc>
          <w:tcPr>
            <w:tcW w:w="1276" w:type="dxa"/>
            <w:vAlign w:val="center"/>
          </w:tcPr>
          <w:p w14:paraId="5C890082">
            <w:pPr>
              <w:adjustRightInd w:val="0"/>
              <w:snapToGrid w:val="0"/>
              <w:jc w:val="center"/>
            </w:pPr>
            <w:r>
              <w:rPr>
                <w:rFonts w:hint="eastAsia"/>
              </w:rPr>
              <w:t>非甲烷总烃</w:t>
            </w:r>
          </w:p>
        </w:tc>
        <w:tc>
          <w:tcPr>
            <w:tcW w:w="2530" w:type="dxa"/>
            <w:vMerge w:val="restart"/>
            <w:vAlign w:val="center"/>
          </w:tcPr>
          <w:p w14:paraId="0EE571EB">
            <w:pPr>
              <w:adjustRightInd w:val="0"/>
              <w:snapToGrid w:val="0"/>
              <w:jc w:val="center"/>
            </w:pPr>
            <w:r>
              <w:rPr>
                <w:rFonts w:hint="eastAsia"/>
              </w:rPr>
              <w:t>车间密闭，加强设备密闭，保证废气收集效率</w:t>
            </w:r>
          </w:p>
        </w:tc>
        <w:tc>
          <w:tcPr>
            <w:tcW w:w="2917" w:type="dxa"/>
            <w:vAlign w:val="center"/>
          </w:tcPr>
          <w:p w14:paraId="134FED0F">
            <w:pPr>
              <w:autoSpaceDE w:val="0"/>
              <w:autoSpaceDN w:val="0"/>
              <w:adjustRightInd w:val="0"/>
              <w:snapToGrid w:val="0"/>
              <w:jc w:val="center"/>
              <w:rPr>
                <w:szCs w:val="21"/>
              </w:rPr>
            </w:pPr>
            <w:r>
              <w:rPr>
                <w:rFonts w:hint="eastAsia"/>
                <w:szCs w:val="21"/>
              </w:rPr>
              <w:t>《橡胶制品工业污染物排放标准》（GB27632-2011）中</w:t>
            </w:r>
            <w:r>
              <w:rPr>
                <w:rFonts w:hint="eastAsia"/>
                <w:bCs/>
                <w:szCs w:val="21"/>
              </w:rPr>
              <w:t>非甲烷总烃无组织4</w:t>
            </w:r>
            <w:r>
              <w:rPr>
                <w:bCs/>
                <w:szCs w:val="21"/>
              </w:rPr>
              <w:t>mg/m</w:t>
            </w:r>
            <w:r>
              <w:rPr>
                <w:bCs/>
                <w:szCs w:val="21"/>
                <w:vertAlign w:val="superscript"/>
              </w:rPr>
              <w:t>3</w:t>
            </w:r>
            <w:r>
              <w:rPr>
                <w:rFonts w:hint="eastAsia"/>
                <w:szCs w:val="21"/>
              </w:rPr>
              <w:t>的限值要求、《</w:t>
            </w:r>
            <w:r>
              <w:rPr>
                <w:szCs w:val="21"/>
              </w:rPr>
              <w:t>关于全省开展工业企业挥发性有机物专项治理工作中排放建议值的通知》（豫环攻坚办（2017）162号）</w:t>
            </w:r>
            <w:r>
              <w:rPr>
                <w:rFonts w:hint="eastAsia"/>
                <w:szCs w:val="21"/>
              </w:rPr>
              <w:t>附件2-其他企业边界2</w:t>
            </w:r>
            <w:r>
              <w:rPr>
                <w:bCs/>
                <w:szCs w:val="21"/>
              </w:rPr>
              <w:t>mg/m</w:t>
            </w:r>
            <w:r>
              <w:rPr>
                <w:bCs/>
                <w:szCs w:val="21"/>
                <w:vertAlign w:val="superscript"/>
              </w:rPr>
              <w:t>3</w:t>
            </w:r>
            <w:r>
              <w:rPr>
                <w:bCs/>
                <w:szCs w:val="21"/>
              </w:rPr>
              <w:t>的限值要求</w:t>
            </w:r>
          </w:p>
        </w:tc>
      </w:tr>
      <w:tr w14:paraId="30812F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401E81E5">
            <w:pPr>
              <w:adjustRightInd w:val="0"/>
              <w:snapToGrid w:val="0"/>
              <w:jc w:val="center"/>
              <w:rPr>
                <w:rFonts w:cs="宋体"/>
                <w:szCs w:val="21"/>
                <w:highlight w:val="yellow"/>
              </w:rPr>
            </w:pPr>
          </w:p>
        </w:tc>
        <w:tc>
          <w:tcPr>
            <w:tcW w:w="425" w:type="dxa"/>
            <w:vMerge w:val="continue"/>
            <w:vAlign w:val="center"/>
          </w:tcPr>
          <w:p w14:paraId="6D69F346">
            <w:pPr>
              <w:adjustRightInd w:val="0"/>
              <w:snapToGrid w:val="0"/>
              <w:jc w:val="center"/>
              <w:rPr>
                <w:kern w:val="0"/>
                <w:szCs w:val="21"/>
              </w:rPr>
            </w:pPr>
          </w:p>
        </w:tc>
        <w:tc>
          <w:tcPr>
            <w:tcW w:w="1134" w:type="dxa"/>
            <w:gridSpan w:val="2"/>
            <w:vMerge w:val="continue"/>
            <w:vAlign w:val="center"/>
          </w:tcPr>
          <w:p w14:paraId="14A6B068">
            <w:pPr>
              <w:adjustRightInd w:val="0"/>
              <w:snapToGrid w:val="0"/>
              <w:jc w:val="center"/>
              <w:rPr>
                <w:kern w:val="0"/>
                <w:szCs w:val="21"/>
              </w:rPr>
            </w:pPr>
          </w:p>
        </w:tc>
        <w:tc>
          <w:tcPr>
            <w:tcW w:w="1276" w:type="dxa"/>
            <w:vAlign w:val="center"/>
          </w:tcPr>
          <w:p w14:paraId="59CA2F84">
            <w:pPr>
              <w:adjustRightInd w:val="0"/>
              <w:snapToGrid w:val="0"/>
              <w:jc w:val="center"/>
            </w:pPr>
            <w:r>
              <w:rPr>
                <w:rFonts w:hint="eastAsia"/>
              </w:rPr>
              <w:t>硫化氢</w:t>
            </w:r>
          </w:p>
        </w:tc>
        <w:tc>
          <w:tcPr>
            <w:tcW w:w="2530" w:type="dxa"/>
            <w:vMerge w:val="continue"/>
            <w:vAlign w:val="center"/>
          </w:tcPr>
          <w:p w14:paraId="3C8DBB76">
            <w:pPr>
              <w:adjustRightInd w:val="0"/>
              <w:snapToGrid w:val="0"/>
              <w:jc w:val="center"/>
            </w:pPr>
          </w:p>
        </w:tc>
        <w:tc>
          <w:tcPr>
            <w:tcW w:w="2917" w:type="dxa"/>
            <w:vMerge w:val="restart"/>
            <w:vAlign w:val="center"/>
          </w:tcPr>
          <w:p w14:paraId="245D75E9">
            <w:pPr>
              <w:autoSpaceDE w:val="0"/>
              <w:autoSpaceDN w:val="0"/>
              <w:adjustRightInd w:val="0"/>
              <w:snapToGrid w:val="0"/>
              <w:jc w:val="center"/>
              <w:rPr>
                <w:szCs w:val="21"/>
              </w:rPr>
            </w:pPr>
            <w:r>
              <w:rPr>
                <w:rFonts w:hint="eastAsia"/>
                <w:bCs/>
                <w:szCs w:val="21"/>
              </w:rPr>
              <w:t>《恶臭污染物排放标准》（GB 14554-93）表1中硫化氢0.06</w:t>
            </w:r>
            <w:r>
              <w:rPr>
                <w:bCs/>
                <w:szCs w:val="21"/>
              </w:rPr>
              <w:t>mg/m</w:t>
            </w:r>
            <w:r>
              <w:rPr>
                <w:bCs/>
                <w:szCs w:val="21"/>
                <w:vertAlign w:val="superscript"/>
              </w:rPr>
              <w:t>3</w:t>
            </w:r>
            <w:r>
              <w:rPr>
                <w:bCs/>
                <w:szCs w:val="21"/>
              </w:rPr>
              <w:t>、臭气浓度</w:t>
            </w:r>
            <w:r>
              <w:rPr>
                <w:rFonts w:hint="eastAsia"/>
                <w:bCs/>
                <w:szCs w:val="21"/>
              </w:rPr>
              <w:t>20</w:t>
            </w:r>
            <w:r>
              <w:rPr>
                <w:bCs/>
                <w:szCs w:val="21"/>
              </w:rPr>
              <w:t>（</w:t>
            </w:r>
            <w:r>
              <w:rPr>
                <w:rFonts w:hint="eastAsia"/>
                <w:bCs/>
                <w:szCs w:val="21"/>
              </w:rPr>
              <w:t>无量纲</w:t>
            </w:r>
            <w:r>
              <w:rPr>
                <w:bCs/>
                <w:szCs w:val="21"/>
              </w:rPr>
              <w:t>）</w:t>
            </w:r>
            <w:r>
              <w:rPr>
                <w:rFonts w:hint="eastAsia"/>
                <w:szCs w:val="21"/>
              </w:rPr>
              <w:t>的限值要求</w:t>
            </w:r>
          </w:p>
        </w:tc>
      </w:tr>
      <w:tr w14:paraId="68B089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6A0B3A1B">
            <w:pPr>
              <w:adjustRightInd w:val="0"/>
              <w:snapToGrid w:val="0"/>
              <w:jc w:val="center"/>
              <w:rPr>
                <w:rFonts w:cs="宋体"/>
                <w:szCs w:val="21"/>
                <w:highlight w:val="yellow"/>
              </w:rPr>
            </w:pPr>
          </w:p>
        </w:tc>
        <w:tc>
          <w:tcPr>
            <w:tcW w:w="425" w:type="dxa"/>
            <w:vMerge w:val="continue"/>
            <w:vAlign w:val="center"/>
          </w:tcPr>
          <w:p w14:paraId="4BC114B8">
            <w:pPr>
              <w:adjustRightInd w:val="0"/>
              <w:snapToGrid w:val="0"/>
              <w:jc w:val="center"/>
              <w:rPr>
                <w:kern w:val="0"/>
                <w:szCs w:val="21"/>
              </w:rPr>
            </w:pPr>
          </w:p>
        </w:tc>
        <w:tc>
          <w:tcPr>
            <w:tcW w:w="1134" w:type="dxa"/>
            <w:gridSpan w:val="2"/>
            <w:vMerge w:val="continue"/>
            <w:vAlign w:val="center"/>
          </w:tcPr>
          <w:p w14:paraId="4944BACC">
            <w:pPr>
              <w:adjustRightInd w:val="0"/>
              <w:snapToGrid w:val="0"/>
              <w:jc w:val="center"/>
              <w:rPr>
                <w:kern w:val="0"/>
                <w:szCs w:val="21"/>
              </w:rPr>
            </w:pPr>
          </w:p>
        </w:tc>
        <w:tc>
          <w:tcPr>
            <w:tcW w:w="1276" w:type="dxa"/>
            <w:vAlign w:val="center"/>
          </w:tcPr>
          <w:p w14:paraId="6CBF09C9">
            <w:pPr>
              <w:adjustRightInd w:val="0"/>
              <w:snapToGrid w:val="0"/>
              <w:jc w:val="center"/>
            </w:pPr>
            <w:r>
              <w:rPr>
                <w:rFonts w:hint="eastAsia"/>
              </w:rPr>
              <w:t>臭气浓度</w:t>
            </w:r>
          </w:p>
        </w:tc>
        <w:tc>
          <w:tcPr>
            <w:tcW w:w="2530" w:type="dxa"/>
            <w:vMerge w:val="continue"/>
            <w:vAlign w:val="center"/>
          </w:tcPr>
          <w:p w14:paraId="77E75083">
            <w:pPr>
              <w:adjustRightInd w:val="0"/>
              <w:snapToGrid w:val="0"/>
              <w:jc w:val="center"/>
            </w:pPr>
          </w:p>
        </w:tc>
        <w:tc>
          <w:tcPr>
            <w:tcW w:w="2917" w:type="dxa"/>
            <w:vMerge w:val="continue"/>
            <w:vAlign w:val="center"/>
          </w:tcPr>
          <w:p w14:paraId="0008B265">
            <w:pPr>
              <w:autoSpaceDE w:val="0"/>
              <w:autoSpaceDN w:val="0"/>
              <w:adjustRightInd w:val="0"/>
              <w:snapToGrid w:val="0"/>
              <w:jc w:val="center"/>
              <w:rPr>
                <w:szCs w:val="21"/>
              </w:rPr>
            </w:pPr>
          </w:p>
        </w:tc>
      </w:tr>
      <w:tr w14:paraId="520ACE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632" w:hRule="atLeast"/>
          <w:jc w:val="center"/>
        </w:trPr>
        <w:tc>
          <w:tcPr>
            <w:tcW w:w="983" w:type="dxa"/>
            <w:vMerge w:val="restart"/>
            <w:vAlign w:val="center"/>
          </w:tcPr>
          <w:p w14:paraId="520ACED2">
            <w:pPr>
              <w:adjustRightInd w:val="0"/>
              <w:snapToGrid w:val="0"/>
              <w:jc w:val="center"/>
              <w:rPr>
                <w:rFonts w:cs="宋体"/>
                <w:szCs w:val="21"/>
                <w:highlight w:val="yellow"/>
              </w:rPr>
            </w:pPr>
            <w:r>
              <w:rPr>
                <w:rFonts w:hint="eastAsia" w:cs="宋体"/>
                <w:szCs w:val="21"/>
              </w:rPr>
              <w:t>地表水环境</w:t>
            </w:r>
          </w:p>
        </w:tc>
        <w:tc>
          <w:tcPr>
            <w:tcW w:w="425" w:type="dxa"/>
            <w:vMerge w:val="restart"/>
            <w:vAlign w:val="center"/>
          </w:tcPr>
          <w:p w14:paraId="520ACED3">
            <w:pPr>
              <w:pStyle w:val="41"/>
              <w:rPr>
                <w:highlight w:val="yellow"/>
                <w:lang w:val="en-US"/>
              </w:rPr>
            </w:pPr>
            <w:r>
              <w:rPr>
                <w:rFonts w:hint="eastAsia" w:cs="宋体"/>
              </w:rPr>
              <w:t>建设路厂区</w:t>
            </w:r>
          </w:p>
        </w:tc>
        <w:tc>
          <w:tcPr>
            <w:tcW w:w="1134" w:type="dxa"/>
            <w:gridSpan w:val="2"/>
            <w:vAlign w:val="center"/>
          </w:tcPr>
          <w:p w14:paraId="520ACED4">
            <w:pPr>
              <w:pStyle w:val="41"/>
              <w:rPr>
                <w:highlight w:val="yellow"/>
                <w:lang w:val="en-US"/>
              </w:rPr>
            </w:pPr>
            <w:r>
              <w:rPr>
                <w:rFonts w:hint="eastAsia"/>
              </w:rPr>
              <w:t>纯水制备</w:t>
            </w:r>
            <w:r>
              <w:t>废水</w:t>
            </w:r>
          </w:p>
        </w:tc>
        <w:tc>
          <w:tcPr>
            <w:tcW w:w="1276" w:type="dxa"/>
            <w:vAlign w:val="center"/>
          </w:tcPr>
          <w:p w14:paraId="520ACED5">
            <w:pPr>
              <w:pStyle w:val="41"/>
              <w:rPr>
                <w:highlight w:val="yellow"/>
                <w:lang w:val="en-US"/>
              </w:rPr>
            </w:pPr>
            <w:r>
              <w:rPr>
                <w:rFonts w:hint="eastAsia"/>
                <w:lang w:val="en-US"/>
              </w:rPr>
              <w:t>COD、SS</w:t>
            </w:r>
          </w:p>
        </w:tc>
        <w:tc>
          <w:tcPr>
            <w:tcW w:w="2530" w:type="dxa"/>
            <w:vMerge w:val="restart"/>
            <w:vAlign w:val="center"/>
          </w:tcPr>
          <w:p w14:paraId="520ACED6">
            <w:pPr>
              <w:pStyle w:val="41"/>
              <w:rPr>
                <w:highlight w:val="yellow"/>
                <w:lang w:val="en-US"/>
              </w:rPr>
            </w:pPr>
            <w:r>
              <w:rPr>
                <w:bCs/>
              </w:rPr>
              <w:t>进入厂区现有综合废水污水处理</w:t>
            </w:r>
            <w:r>
              <w:rPr>
                <w:rFonts w:hint="eastAsia"/>
                <w:bCs/>
              </w:rPr>
              <w:t>设施</w:t>
            </w:r>
            <w:r>
              <w:t>（格栅渠-隔油池</w:t>
            </w:r>
            <w:r>
              <w:rPr>
                <w:rFonts w:hint="eastAsia"/>
              </w:rPr>
              <w:t>-</w:t>
            </w:r>
            <w:r>
              <w:t>调节池-混凝反应池-沉淀池1-水解酸化池-接触氧化池-沉淀池2-沉淀池3-清水池）处理后经厂区总排口排入小尚庄污水处</w:t>
            </w:r>
            <w:r>
              <w:rPr>
                <w:rFonts w:hint="eastAsia"/>
              </w:rPr>
              <w:t>理</w:t>
            </w:r>
            <w:r>
              <w:t>厂</w:t>
            </w:r>
          </w:p>
        </w:tc>
        <w:tc>
          <w:tcPr>
            <w:tcW w:w="2917" w:type="dxa"/>
            <w:vMerge w:val="restart"/>
            <w:vAlign w:val="center"/>
          </w:tcPr>
          <w:p w14:paraId="520ACED7">
            <w:pPr>
              <w:adjustRightInd w:val="0"/>
              <w:snapToGrid w:val="0"/>
              <w:jc w:val="center"/>
              <w:rPr>
                <w:rFonts w:cs="宋体"/>
                <w:szCs w:val="21"/>
                <w:highlight w:val="yellow"/>
              </w:rPr>
            </w:pPr>
            <w:r>
              <w:rPr>
                <w:rFonts w:hint="eastAsia"/>
              </w:rPr>
              <w:t>小尚庄污水处理厂pH</w:t>
            </w:r>
            <w:r>
              <w:t xml:space="preserve"> </w:t>
            </w:r>
            <w:r>
              <w:rPr>
                <w:rFonts w:hint="eastAsia"/>
              </w:rPr>
              <w:t>6~9、COD 350mg/L、SS 250mg/L、NH</w:t>
            </w:r>
            <w:r>
              <w:rPr>
                <w:rFonts w:hint="eastAsia"/>
                <w:vertAlign w:val="subscript"/>
              </w:rPr>
              <w:t>3</w:t>
            </w:r>
            <w:r>
              <w:rPr>
                <w:rFonts w:hint="eastAsia"/>
              </w:rPr>
              <w:t>-N 30mg/L、TP 3mg/L、TN 40mg/L的收水标准要求和《污水综合排放标准》（GB8978-1996）表4二级pH</w:t>
            </w:r>
            <w:r>
              <w:t xml:space="preserve"> </w:t>
            </w:r>
            <w:r>
              <w:rPr>
                <w:rFonts w:hint="eastAsia"/>
              </w:rPr>
              <w:t>6~9、COD</w:t>
            </w:r>
            <w:r>
              <w:t xml:space="preserve"> </w:t>
            </w:r>
            <w:r>
              <w:rPr>
                <w:rFonts w:hint="eastAsia"/>
              </w:rPr>
              <w:t>150mg/L、SS</w:t>
            </w:r>
            <w:r>
              <w:t xml:space="preserve"> </w:t>
            </w:r>
            <w:r>
              <w:rPr>
                <w:rFonts w:hint="eastAsia"/>
              </w:rPr>
              <w:t>150mg/L、NH</w:t>
            </w:r>
            <w:r>
              <w:rPr>
                <w:rFonts w:hint="eastAsia"/>
                <w:vertAlign w:val="subscript"/>
              </w:rPr>
              <w:t>3</w:t>
            </w:r>
            <w:r>
              <w:rPr>
                <w:rFonts w:hint="eastAsia"/>
              </w:rPr>
              <w:t>-N</w:t>
            </w:r>
            <w:r>
              <w:t xml:space="preserve"> </w:t>
            </w:r>
            <w:r>
              <w:rPr>
                <w:rFonts w:hint="eastAsia"/>
              </w:rPr>
              <w:t>25mg/L、TP</w:t>
            </w:r>
            <w:r>
              <w:t xml:space="preserve"> </w:t>
            </w:r>
            <w:r>
              <w:rPr>
                <w:rFonts w:hint="eastAsia"/>
              </w:rPr>
              <w:t>1.0mg/L的排放标准要求，</w:t>
            </w:r>
            <w:r>
              <w:rPr>
                <w:rFonts w:hint="eastAsia"/>
                <w:szCs w:val="21"/>
              </w:rPr>
              <w:t>《电镀污染物排放标准》（GB21900-2008）表2企业废水总排放口石油类3.0mg/L的限值要求</w:t>
            </w:r>
          </w:p>
        </w:tc>
      </w:tr>
      <w:tr w14:paraId="520ACE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632" w:hRule="atLeast"/>
          <w:jc w:val="center"/>
        </w:trPr>
        <w:tc>
          <w:tcPr>
            <w:tcW w:w="983" w:type="dxa"/>
            <w:vMerge w:val="continue"/>
            <w:vAlign w:val="center"/>
          </w:tcPr>
          <w:p w14:paraId="520ACED9">
            <w:pPr>
              <w:adjustRightInd w:val="0"/>
              <w:snapToGrid w:val="0"/>
              <w:jc w:val="center"/>
              <w:rPr>
                <w:rFonts w:cs="宋体"/>
                <w:szCs w:val="21"/>
              </w:rPr>
            </w:pPr>
          </w:p>
        </w:tc>
        <w:tc>
          <w:tcPr>
            <w:tcW w:w="425" w:type="dxa"/>
            <w:vMerge w:val="continue"/>
            <w:vAlign w:val="center"/>
          </w:tcPr>
          <w:p w14:paraId="520ACEDA">
            <w:pPr>
              <w:pStyle w:val="41"/>
              <w:rPr>
                <w:rFonts w:cs="宋体"/>
                <w:lang w:val="en-US"/>
              </w:rPr>
            </w:pPr>
          </w:p>
        </w:tc>
        <w:tc>
          <w:tcPr>
            <w:tcW w:w="1134" w:type="dxa"/>
            <w:gridSpan w:val="2"/>
            <w:vAlign w:val="center"/>
          </w:tcPr>
          <w:p w14:paraId="520ACEDB">
            <w:pPr>
              <w:pStyle w:val="41"/>
              <w:rPr>
                <w:highlight w:val="yellow"/>
                <w:lang w:val="en-US"/>
              </w:rPr>
            </w:pPr>
            <w:r>
              <w:rPr>
                <w:rFonts w:hint="eastAsia"/>
              </w:rPr>
              <w:t>蒸汽发生器排污水</w:t>
            </w:r>
          </w:p>
        </w:tc>
        <w:tc>
          <w:tcPr>
            <w:tcW w:w="1276" w:type="dxa"/>
            <w:vAlign w:val="center"/>
          </w:tcPr>
          <w:p w14:paraId="520ACEDC">
            <w:pPr>
              <w:pStyle w:val="41"/>
              <w:rPr>
                <w:highlight w:val="yellow"/>
                <w:lang w:val="en-US"/>
              </w:rPr>
            </w:pPr>
            <w:r>
              <w:rPr>
                <w:rFonts w:hint="eastAsia"/>
                <w:lang w:val="en-US"/>
              </w:rPr>
              <w:t>COD、SS</w:t>
            </w:r>
          </w:p>
        </w:tc>
        <w:tc>
          <w:tcPr>
            <w:tcW w:w="2530" w:type="dxa"/>
            <w:vMerge w:val="continue"/>
            <w:vAlign w:val="center"/>
          </w:tcPr>
          <w:p w14:paraId="520ACEDD">
            <w:pPr>
              <w:pStyle w:val="41"/>
              <w:rPr>
                <w:highlight w:val="yellow"/>
                <w:lang w:val="en-US"/>
              </w:rPr>
            </w:pPr>
          </w:p>
        </w:tc>
        <w:tc>
          <w:tcPr>
            <w:tcW w:w="2917" w:type="dxa"/>
            <w:vMerge w:val="continue"/>
            <w:vAlign w:val="center"/>
          </w:tcPr>
          <w:p w14:paraId="520ACEDE">
            <w:pPr>
              <w:adjustRightInd w:val="0"/>
              <w:snapToGrid w:val="0"/>
              <w:jc w:val="center"/>
              <w:rPr>
                <w:highlight w:val="yellow"/>
              </w:rPr>
            </w:pPr>
          </w:p>
        </w:tc>
      </w:tr>
      <w:tr w14:paraId="520ACE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restart"/>
            <w:vAlign w:val="center"/>
          </w:tcPr>
          <w:p w14:paraId="520ACEE0">
            <w:pPr>
              <w:adjustRightInd w:val="0"/>
              <w:snapToGrid w:val="0"/>
              <w:jc w:val="center"/>
              <w:rPr>
                <w:rFonts w:cs="宋体"/>
                <w:szCs w:val="21"/>
                <w:highlight w:val="yellow"/>
              </w:rPr>
            </w:pPr>
            <w:r>
              <w:rPr>
                <w:rFonts w:hint="eastAsia" w:cs="宋体"/>
                <w:szCs w:val="21"/>
              </w:rPr>
              <w:t>声环境</w:t>
            </w:r>
          </w:p>
        </w:tc>
        <w:tc>
          <w:tcPr>
            <w:tcW w:w="425" w:type="dxa"/>
            <w:vAlign w:val="center"/>
          </w:tcPr>
          <w:p w14:paraId="520ACEE1">
            <w:pPr>
              <w:adjustRightInd w:val="0"/>
              <w:snapToGrid w:val="0"/>
              <w:jc w:val="center"/>
              <w:rPr>
                <w:rFonts w:cs="宋体"/>
                <w:szCs w:val="21"/>
                <w:highlight w:val="yellow"/>
              </w:rPr>
            </w:pPr>
            <w:r>
              <w:rPr>
                <w:rFonts w:hint="eastAsia" w:cs="宋体"/>
                <w:szCs w:val="21"/>
              </w:rPr>
              <w:t>建设路厂区</w:t>
            </w:r>
          </w:p>
        </w:tc>
        <w:tc>
          <w:tcPr>
            <w:tcW w:w="1134" w:type="dxa"/>
            <w:gridSpan w:val="2"/>
            <w:vAlign w:val="center"/>
          </w:tcPr>
          <w:p w14:paraId="520ACEE2">
            <w:pPr>
              <w:adjustRightInd w:val="0"/>
              <w:snapToGrid w:val="0"/>
              <w:jc w:val="center"/>
              <w:rPr>
                <w:rFonts w:cs="宋体"/>
                <w:szCs w:val="21"/>
              </w:rPr>
            </w:pPr>
            <w:r>
              <w:rPr>
                <w:rFonts w:hint="eastAsia" w:cs="宋体"/>
                <w:szCs w:val="21"/>
              </w:rPr>
              <w:t>卧式加工中心（四轴）、滑油冲洗试验台、液压高低压冲击试验台等</w:t>
            </w:r>
          </w:p>
        </w:tc>
        <w:tc>
          <w:tcPr>
            <w:tcW w:w="1276" w:type="dxa"/>
            <w:vAlign w:val="center"/>
          </w:tcPr>
          <w:p w14:paraId="520ACEE3">
            <w:pPr>
              <w:jc w:val="center"/>
              <w:rPr>
                <w:szCs w:val="21"/>
              </w:rPr>
            </w:pPr>
            <w:r>
              <w:rPr>
                <w:szCs w:val="21"/>
              </w:rPr>
              <w:t>噪声</w:t>
            </w:r>
          </w:p>
        </w:tc>
        <w:tc>
          <w:tcPr>
            <w:tcW w:w="2530" w:type="dxa"/>
            <w:vAlign w:val="center"/>
          </w:tcPr>
          <w:p w14:paraId="520ACEE4">
            <w:pPr>
              <w:jc w:val="center"/>
              <w:rPr>
                <w:szCs w:val="21"/>
              </w:rPr>
            </w:pPr>
            <w:r>
              <w:rPr>
                <w:szCs w:val="21"/>
              </w:rPr>
              <w:t>基础减振、厂房隔声等</w:t>
            </w:r>
          </w:p>
        </w:tc>
        <w:tc>
          <w:tcPr>
            <w:tcW w:w="2917" w:type="dxa"/>
            <w:vMerge w:val="restart"/>
            <w:vAlign w:val="center"/>
          </w:tcPr>
          <w:p w14:paraId="520ACEE5">
            <w:pPr>
              <w:adjustRightInd w:val="0"/>
              <w:snapToGrid w:val="0"/>
              <w:jc w:val="center"/>
              <w:rPr>
                <w:szCs w:val="21"/>
              </w:rPr>
            </w:pPr>
            <w:r>
              <w:rPr>
                <w:szCs w:val="21"/>
              </w:rPr>
              <w:t>《工业企业厂界环境噪声排放标准》（GB12348-2008）</w:t>
            </w:r>
            <w:r>
              <w:rPr>
                <w:rFonts w:hint="eastAsia"/>
                <w:bCs/>
                <w:szCs w:val="21"/>
              </w:rPr>
              <w:t>2</w:t>
            </w:r>
            <w:r>
              <w:rPr>
                <w:bCs/>
                <w:szCs w:val="21"/>
              </w:rPr>
              <w:t>类</w:t>
            </w:r>
          </w:p>
        </w:tc>
      </w:tr>
      <w:tr w14:paraId="520ACE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520ACEE7">
            <w:pPr>
              <w:adjustRightInd w:val="0"/>
              <w:snapToGrid w:val="0"/>
              <w:jc w:val="center"/>
              <w:rPr>
                <w:rFonts w:cs="宋体"/>
                <w:szCs w:val="21"/>
                <w:highlight w:val="yellow"/>
              </w:rPr>
            </w:pPr>
          </w:p>
        </w:tc>
        <w:tc>
          <w:tcPr>
            <w:tcW w:w="425" w:type="dxa"/>
            <w:vAlign w:val="center"/>
          </w:tcPr>
          <w:p w14:paraId="520ACEE8">
            <w:pPr>
              <w:adjustRightInd w:val="0"/>
              <w:snapToGrid w:val="0"/>
              <w:jc w:val="center"/>
              <w:rPr>
                <w:rFonts w:cs="宋体"/>
                <w:szCs w:val="21"/>
                <w:highlight w:val="yellow"/>
              </w:rPr>
            </w:pPr>
            <w:r>
              <w:rPr>
                <w:rFonts w:hint="eastAsia" w:cs="宋体"/>
                <w:szCs w:val="21"/>
              </w:rPr>
              <w:t>解放路厂区</w:t>
            </w:r>
          </w:p>
        </w:tc>
        <w:tc>
          <w:tcPr>
            <w:tcW w:w="1134" w:type="dxa"/>
            <w:gridSpan w:val="2"/>
            <w:vAlign w:val="center"/>
          </w:tcPr>
          <w:p w14:paraId="520ACEE9">
            <w:pPr>
              <w:adjustRightInd w:val="0"/>
              <w:snapToGrid w:val="0"/>
              <w:jc w:val="center"/>
              <w:rPr>
                <w:rFonts w:cs="宋体"/>
                <w:szCs w:val="21"/>
                <w:highlight w:val="yellow"/>
              </w:rPr>
            </w:pPr>
            <w:r>
              <w:rPr>
                <w:szCs w:val="21"/>
              </w:rPr>
              <w:t>高温硫化机</w:t>
            </w:r>
          </w:p>
        </w:tc>
        <w:tc>
          <w:tcPr>
            <w:tcW w:w="1276" w:type="dxa"/>
            <w:vAlign w:val="center"/>
          </w:tcPr>
          <w:p w14:paraId="520ACEEA">
            <w:pPr>
              <w:jc w:val="center"/>
              <w:rPr>
                <w:szCs w:val="21"/>
                <w:highlight w:val="yellow"/>
              </w:rPr>
            </w:pPr>
            <w:r>
              <w:rPr>
                <w:szCs w:val="21"/>
              </w:rPr>
              <w:t>噪声</w:t>
            </w:r>
          </w:p>
        </w:tc>
        <w:tc>
          <w:tcPr>
            <w:tcW w:w="2530" w:type="dxa"/>
            <w:vAlign w:val="center"/>
          </w:tcPr>
          <w:p w14:paraId="520ACEEB">
            <w:pPr>
              <w:jc w:val="center"/>
              <w:rPr>
                <w:szCs w:val="21"/>
                <w:highlight w:val="yellow"/>
              </w:rPr>
            </w:pPr>
            <w:r>
              <w:rPr>
                <w:szCs w:val="21"/>
              </w:rPr>
              <w:t>基础减振、厂房隔声等</w:t>
            </w:r>
          </w:p>
        </w:tc>
        <w:tc>
          <w:tcPr>
            <w:tcW w:w="2917" w:type="dxa"/>
            <w:vMerge w:val="continue"/>
            <w:vAlign w:val="center"/>
          </w:tcPr>
          <w:p w14:paraId="520ACEEC">
            <w:pPr>
              <w:adjustRightInd w:val="0"/>
              <w:snapToGrid w:val="0"/>
              <w:jc w:val="center"/>
              <w:rPr>
                <w:szCs w:val="21"/>
                <w:highlight w:val="yellow"/>
              </w:rPr>
            </w:pPr>
          </w:p>
        </w:tc>
      </w:tr>
      <w:tr w14:paraId="520ACE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Align w:val="center"/>
          </w:tcPr>
          <w:p w14:paraId="520ACEEE">
            <w:pPr>
              <w:adjustRightInd w:val="0"/>
              <w:snapToGrid w:val="0"/>
              <w:jc w:val="center"/>
              <w:rPr>
                <w:rFonts w:cs="宋体"/>
                <w:szCs w:val="21"/>
              </w:rPr>
            </w:pPr>
            <w:r>
              <w:rPr>
                <w:rFonts w:hint="eastAsia" w:cs="宋体"/>
                <w:szCs w:val="21"/>
              </w:rPr>
              <w:t>电磁辐射</w:t>
            </w:r>
          </w:p>
        </w:tc>
        <w:tc>
          <w:tcPr>
            <w:tcW w:w="1559" w:type="dxa"/>
            <w:gridSpan w:val="3"/>
            <w:vAlign w:val="center"/>
          </w:tcPr>
          <w:p w14:paraId="520ACEEF">
            <w:pPr>
              <w:adjustRightInd w:val="0"/>
              <w:snapToGrid w:val="0"/>
              <w:jc w:val="center"/>
              <w:rPr>
                <w:rFonts w:cs="宋体"/>
                <w:szCs w:val="21"/>
              </w:rPr>
            </w:pPr>
            <w:r>
              <w:rPr>
                <w:rFonts w:hint="eastAsia" w:cs="宋体"/>
                <w:szCs w:val="21"/>
              </w:rPr>
              <w:t>/</w:t>
            </w:r>
          </w:p>
        </w:tc>
        <w:tc>
          <w:tcPr>
            <w:tcW w:w="1276" w:type="dxa"/>
            <w:vAlign w:val="center"/>
          </w:tcPr>
          <w:p w14:paraId="520ACEF0">
            <w:pPr>
              <w:adjustRightInd w:val="0"/>
              <w:snapToGrid w:val="0"/>
              <w:jc w:val="center"/>
              <w:rPr>
                <w:rFonts w:cs="宋体"/>
                <w:szCs w:val="21"/>
              </w:rPr>
            </w:pPr>
            <w:r>
              <w:rPr>
                <w:rFonts w:hint="eastAsia" w:cs="宋体"/>
                <w:szCs w:val="21"/>
              </w:rPr>
              <w:t>/</w:t>
            </w:r>
          </w:p>
        </w:tc>
        <w:tc>
          <w:tcPr>
            <w:tcW w:w="2530" w:type="dxa"/>
            <w:vAlign w:val="center"/>
          </w:tcPr>
          <w:p w14:paraId="520ACEF1">
            <w:pPr>
              <w:adjustRightInd w:val="0"/>
              <w:snapToGrid w:val="0"/>
              <w:jc w:val="center"/>
              <w:rPr>
                <w:rFonts w:cs="宋体"/>
                <w:szCs w:val="21"/>
              </w:rPr>
            </w:pPr>
            <w:r>
              <w:rPr>
                <w:rFonts w:hint="eastAsia" w:cs="宋体"/>
                <w:szCs w:val="21"/>
              </w:rPr>
              <w:t>/</w:t>
            </w:r>
          </w:p>
        </w:tc>
        <w:tc>
          <w:tcPr>
            <w:tcW w:w="2917" w:type="dxa"/>
            <w:vAlign w:val="center"/>
          </w:tcPr>
          <w:p w14:paraId="520ACEF2">
            <w:pPr>
              <w:adjustRightInd w:val="0"/>
              <w:snapToGrid w:val="0"/>
              <w:jc w:val="center"/>
              <w:rPr>
                <w:rFonts w:cs="宋体"/>
                <w:szCs w:val="21"/>
              </w:rPr>
            </w:pPr>
            <w:r>
              <w:rPr>
                <w:rFonts w:hint="eastAsia" w:cs="宋体"/>
                <w:szCs w:val="21"/>
              </w:rPr>
              <w:t>/</w:t>
            </w:r>
          </w:p>
        </w:tc>
      </w:tr>
      <w:tr w14:paraId="520ACE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restart"/>
            <w:vAlign w:val="center"/>
          </w:tcPr>
          <w:p w14:paraId="520ACEF4">
            <w:pPr>
              <w:adjustRightInd w:val="0"/>
              <w:snapToGrid w:val="0"/>
              <w:jc w:val="center"/>
              <w:rPr>
                <w:rFonts w:cs="宋体"/>
                <w:szCs w:val="21"/>
                <w:highlight w:val="yellow"/>
              </w:rPr>
            </w:pPr>
            <w:r>
              <w:rPr>
                <w:rFonts w:hint="eastAsia" w:cs="宋体"/>
                <w:szCs w:val="21"/>
              </w:rPr>
              <w:t>固体废物</w:t>
            </w:r>
          </w:p>
        </w:tc>
        <w:tc>
          <w:tcPr>
            <w:tcW w:w="425" w:type="dxa"/>
            <w:vMerge w:val="restart"/>
            <w:vAlign w:val="center"/>
          </w:tcPr>
          <w:p w14:paraId="520ACEF5">
            <w:pPr>
              <w:adjustRightInd w:val="0"/>
              <w:snapToGrid w:val="0"/>
              <w:jc w:val="center"/>
              <w:rPr>
                <w:rFonts w:cs="宋体"/>
                <w:szCs w:val="21"/>
              </w:rPr>
            </w:pPr>
            <w:r>
              <w:rPr>
                <w:rFonts w:hint="eastAsia" w:cs="宋体"/>
                <w:szCs w:val="21"/>
              </w:rPr>
              <w:t>建设路厂区</w:t>
            </w:r>
          </w:p>
        </w:tc>
        <w:tc>
          <w:tcPr>
            <w:tcW w:w="1134" w:type="dxa"/>
            <w:gridSpan w:val="2"/>
            <w:vAlign w:val="center"/>
          </w:tcPr>
          <w:p w14:paraId="520ACEF6">
            <w:pPr>
              <w:adjustRightInd w:val="0"/>
              <w:snapToGrid w:val="0"/>
              <w:jc w:val="center"/>
              <w:rPr>
                <w:rFonts w:cs="宋体"/>
                <w:szCs w:val="21"/>
              </w:rPr>
            </w:pPr>
            <w:r>
              <w:rPr>
                <w:rFonts w:hint="eastAsia"/>
                <w:bCs/>
              </w:rPr>
              <w:t>机加工</w:t>
            </w:r>
          </w:p>
        </w:tc>
        <w:tc>
          <w:tcPr>
            <w:tcW w:w="1276" w:type="dxa"/>
            <w:vAlign w:val="center"/>
          </w:tcPr>
          <w:p w14:paraId="520ACEF7">
            <w:pPr>
              <w:adjustRightInd w:val="0"/>
              <w:snapToGrid w:val="0"/>
              <w:jc w:val="center"/>
              <w:rPr>
                <w:rFonts w:cs="宋体"/>
                <w:szCs w:val="21"/>
              </w:rPr>
            </w:pPr>
            <w:r>
              <w:rPr>
                <w:rFonts w:hint="eastAsia"/>
                <w:bCs/>
              </w:rPr>
              <w:t>废切削液</w:t>
            </w:r>
          </w:p>
        </w:tc>
        <w:tc>
          <w:tcPr>
            <w:tcW w:w="2530" w:type="dxa"/>
            <w:vAlign w:val="center"/>
          </w:tcPr>
          <w:p w14:paraId="520ACEF8">
            <w:pPr>
              <w:adjustRightInd w:val="0"/>
              <w:snapToGrid w:val="0"/>
              <w:jc w:val="center"/>
              <w:rPr>
                <w:rFonts w:cs="宋体"/>
                <w:szCs w:val="21"/>
              </w:rPr>
            </w:pPr>
            <w:r>
              <w:rPr>
                <w:szCs w:val="21"/>
              </w:rPr>
              <w:t>危废</w:t>
            </w:r>
            <w:r>
              <w:rPr>
                <w:rFonts w:hint="eastAsia"/>
                <w:szCs w:val="21"/>
              </w:rPr>
              <w:t>贮存库WF-004</w:t>
            </w:r>
            <w:r>
              <w:rPr>
                <w:rFonts w:cs="宋体"/>
                <w:szCs w:val="21"/>
              </w:rPr>
              <w:t>（</w:t>
            </w:r>
            <w:r>
              <w:rPr>
                <w:rFonts w:hint="eastAsia" w:cs="宋体"/>
                <w:szCs w:val="21"/>
              </w:rPr>
              <w:t>25</w:t>
            </w:r>
            <w:r>
              <w:rPr>
                <w:rFonts w:cs="宋体"/>
                <w:szCs w:val="21"/>
              </w:rPr>
              <w:t>m</w:t>
            </w:r>
            <w:r>
              <w:rPr>
                <w:rFonts w:cs="宋体"/>
                <w:szCs w:val="21"/>
                <w:vertAlign w:val="superscript"/>
              </w:rPr>
              <w:t>2</w:t>
            </w:r>
            <w:r>
              <w:rPr>
                <w:rFonts w:cs="宋体"/>
                <w:szCs w:val="21"/>
              </w:rPr>
              <w:t>）</w:t>
            </w:r>
          </w:p>
        </w:tc>
        <w:tc>
          <w:tcPr>
            <w:tcW w:w="2917" w:type="dxa"/>
            <w:vMerge w:val="restart"/>
            <w:vAlign w:val="center"/>
          </w:tcPr>
          <w:p w14:paraId="520ACEF9">
            <w:pPr>
              <w:adjustRightInd w:val="0"/>
              <w:snapToGrid w:val="0"/>
              <w:jc w:val="center"/>
              <w:rPr>
                <w:rFonts w:cs="宋体"/>
                <w:szCs w:val="21"/>
              </w:rPr>
            </w:pPr>
            <w:r>
              <w:rPr>
                <w:rFonts w:hint="eastAsia" w:cs="宋体"/>
                <w:szCs w:val="21"/>
              </w:rPr>
              <w:t>《危险废物贮存污染控制标准》（GB18597-2023）</w:t>
            </w:r>
          </w:p>
        </w:tc>
      </w:tr>
      <w:tr w14:paraId="520ACF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520ACEFB">
            <w:pPr>
              <w:adjustRightInd w:val="0"/>
              <w:snapToGrid w:val="0"/>
              <w:jc w:val="center"/>
              <w:rPr>
                <w:rFonts w:cs="宋体"/>
                <w:szCs w:val="21"/>
                <w:highlight w:val="yellow"/>
              </w:rPr>
            </w:pPr>
          </w:p>
        </w:tc>
        <w:tc>
          <w:tcPr>
            <w:tcW w:w="425" w:type="dxa"/>
            <w:vMerge w:val="continue"/>
            <w:vAlign w:val="center"/>
          </w:tcPr>
          <w:p w14:paraId="520ACEFC">
            <w:pPr>
              <w:adjustRightInd w:val="0"/>
              <w:snapToGrid w:val="0"/>
              <w:jc w:val="center"/>
              <w:rPr>
                <w:rFonts w:cs="宋体"/>
                <w:szCs w:val="21"/>
              </w:rPr>
            </w:pPr>
          </w:p>
        </w:tc>
        <w:tc>
          <w:tcPr>
            <w:tcW w:w="1134" w:type="dxa"/>
            <w:gridSpan w:val="2"/>
            <w:vMerge w:val="restart"/>
            <w:vAlign w:val="center"/>
          </w:tcPr>
          <w:p w14:paraId="520ACEFD">
            <w:pPr>
              <w:adjustRightInd w:val="0"/>
              <w:snapToGrid w:val="0"/>
              <w:jc w:val="center"/>
              <w:rPr>
                <w:rFonts w:cs="宋体"/>
                <w:szCs w:val="21"/>
              </w:rPr>
            </w:pPr>
            <w:r>
              <w:rPr>
                <w:rFonts w:hint="eastAsia"/>
                <w:bCs/>
                <w:szCs w:val="21"/>
              </w:rPr>
              <w:t>油类试验</w:t>
            </w:r>
          </w:p>
        </w:tc>
        <w:tc>
          <w:tcPr>
            <w:tcW w:w="1276" w:type="dxa"/>
            <w:vAlign w:val="center"/>
          </w:tcPr>
          <w:p w14:paraId="520ACEFE">
            <w:pPr>
              <w:adjustRightInd w:val="0"/>
              <w:snapToGrid w:val="0"/>
              <w:jc w:val="center"/>
              <w:rPr>
                <w:rFonts w:cs="宋体"/>
                <w:szCs w:val="21"/>
              </w:rPr>
            </w:pPr>
            <w:r>
              <w:rPr>
                <w:rFonts w:hint="eastAsia"/>
                <w:bCs/>
                <w:szCs w:val="21"/>
              </w:rPr>
              <w:t>废液压油</w:t>
            </w:r>
          </w:p>
        </w:tc>
        <w:tc>
          <w:tcPr>
            <w:tcW w:w="2530" w:type="dxa"/>
            <w:vMerge w:val="restart"/>
            <w:vAlign w:val="center"/>
          </w:tcPr>
          <w:p w14:paraId="520ACEFF">
            <w:pPr>
              <w:adjustRightInd w:val="0"/>
              <w:snapToGrid w:val="0"/>
              <w:jc w:val="center"/>
              <w:rPr>
                <w:rFonts w:cs="宋体"/>
                <w:szCs w:val="21"/>
              </w:rPr>
            </w:pPr>
            <w:r>
              <w:rPr>
                <w:szCs w:val="21"/>
              </w:rPr>
              <w:t>危废</w:t>
            </w:r>
            <w:r>
              <w:rPr>
                <w:rFonts w:hint="eastAsia"/>
                <w:szCs w:val="21"/>
              </w:rPr>
              <w:t>贮存库WF-002</w:t>
            </w:r>
            <w:r>
              <w:rPr>
                <w:rFonts w:cs="宋体"/>
                <w:szCs w:val="21"/>
              </w:rPr>
              <w:t>（</w:t>
            </w:r>
            <w:r>
              <w:rPr>
                <w:rFonts w:hint="eastAsia" w:cs="宋体"/>
                <w:szCs w:val="21"/>
              </w:rPr>
              <w:t>25</w:t>
            </w:r>
            <w:r>
              <w:rPr>
                <w:rFonts w:cs="宋体"/>
                <w:szCs w:val="21"/>
              </w:rPr>
              <w:t>m</w:t>
            </w:r>
            <w:r>
              <w:rPr>
                <w:rFonts w:cs="宋体"/>
                <w:szCs w:val="21"/>
                <w:vertAlign w:val="superscript"/>
              </w:rPr>
              <w:t>2</w:t>
            </w:r>
            <w:r>
              <w:rPr>
                <w:rFonts w:cs="宋体"/>
                <w:szCs w:val="21"/>
              </w:rPr>
              <w:t>）</w:t>
            </w:r>
          </w:p>
        </w:tc>
        <w:tc>
          <w:tcPr>
            <w:tcW w:w="2917" w:type="dxa"/>
            <w:vMerge w:val="continue"/>
            <w:vAlign w:val="center"/>
          </w:tcPr>
          <w:p w14:paraId="520ACF00">
            <w:pPr>
              <w:adjustRightInd w:val="0"/>
              <w:snapToGrid w:val="0"/>
              <w:jc w:val="center"/>
              <w:rPr>
                <w:rFonts w:cs="宋体"/>
                <w:szCs w:val="21"/>
                <w:highlight w:val="yellow"/>
              </w:rPr>
            </w:pPr>
          </w:p>
        </w:tc>
      </w:tr>
      <w:tr w14:paraId="520ACF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520ACF02">
            <w:pPr>
              <w:adjustRightInd w:val="0"/>
              <w:snapToGrid w:val="0"/>
              <w:jc w:val="center"/>
              <w:rPr>
                <w:rFonts w:cs="宋体"/>
                <w:szCs w:val="21"/>
                <w:highlight w:val="yellow"/>
              </w:rPr>
            </w:pPr>
          </w:p>
        </w:tc>
        <w:tc>
          <w:tcPr>
            <w:tcW w:w="425" w:type="dxa"/>
            <w:vMerge w:val="continue"/>
            <w:vAlign w:val="center"/>
          </w:tcPr>
          <w:p w14:paraId="520ACF03">
            <w:pPr>
              <w:adjustRightInd w:val="0"/>
              <w:snapToGrid w:val="0"/>
              <w:jc w:val="center"/>
              <w:rPr>
                <w:bCs/>
                <w:szCs w:val="21"/>
                <w:highlight w:val="yellow"/>
              </w:rPr>
            </w:pPr>
          </w:p>
        </w:tc>
        <w:tc>
          <w:tcPr>
            <w:tcW w:w="1134" w:type="dxa"/>
            <w:gridSpan w:val="2"/>
            <w:vMerge w:val="continue"/>
            <w:vAlign w:val="center"/>
          </w:tcPr>
          <w:p w14:paraId="520ACF04">
            <w:pPr>
              <w:adjustRightInd w:val="0"/>
              <w:snapToGrid w:val="0"/>
              <w:jc w:val="center"/>
              <w:rPr>
                <w:bCs/>
                <w:szCs w:val="21"/>
                <w:highlight w:val="yellow"/>
              </w:rPr>
            </w:pPr>
          </w:p>
        </w:tc>
        <w:tc>
          <w:tcPr>
            <w:tcW w:w="1276" w:type="dxa"/>
            <w:vAlign w:val="center"/>
          </w:tcPr>
          <w:p w14:paraId="520ACF05">
            <w:pPr>
              <w:adjustRightInd w:val="0"/>
              <w:snapToGrid w:val="0"/>
              <w:jc w:val="center"/>
              <w:rPr>
                <w:bCs/>
                <w:szCs w:val="21"/>
                <w:highlight w:val="yellow"/>
              </w:rPr>
            </w:pPr>
            <w:r>
              <w:rPr>
                <w:rFonts w:hint="eastAsia"/>
                <w:bCs/>
                <w:szCs w:val="21"/>
              </w:rPr>
              <w:t>废滑油</w:t>
            </w:r>
          </w:p>
        </w:tc>
        <w:tc>
          <w:tcPr>
            <w:tcW w:w="2530" w:type="dxa"/>
            <w:vMerge w:val="continue"/>
            <w:vAlign w:val="center"/>
          </w:tcPr>
          <w:p w14:paraId="520ACF06">
            <w:pPr>
              <w:adjustRightInd w:val="0"/>
              <w:snapToGrid w:val="0"/>
              <w:jc w:val="center"/>
              <w:rPr>
                <w:szCs w:val="21"/>
                <w:highlight w:val="yellow"/>
              </w:rPr>
            </w:pPr>
          </w:p>
        </w:tc>
        <w:tc>
          <w:tcPr>
            <w:tcW w:w="2917" w:type="dxa"/>
            <w:vMerge w:val="continue"/>
            <w:vAlign w:val="center"/>
          </w:tcPr>
          <w:p w14:paraId="520ACF07">
            <w:pPr>
              <w:adjustRightInd w:val="0"/>
              <w:snapToGrid w:val="0"/>
              <w:jc w:val="center"/>
              <w:rPr>
                <w:rFonts w:cs="宋体"/>
                <w:szCs w:val="21"/>
                <w:highlight w:val="yellow"/>
              </w:rPr>
            </w:pPr>
          </w:p>
        </w:tc>
      </w:tr>
      <w:tr w14:paraId="520ACF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520ACF09">
            <w:pPr>
              <w:adjustRightInd w:val="0"/>
              <w:snapToGrid w:val="0"/>
              <w:jc w:val="center"/>
              <w:rPr>
                <w:rFonts w:cs="宋体"/>
                <w:szCs w:val="21"/>
                <w:highlight w:val="yellow"/>
              </w:rPr>
            </w:pPr>
          </w:p>
        </w:tc>
        <w:tc>
          <w:tcPr>
            <w:tcW w:w="425" w:type="dxa"/>
            <w:vMerge w:val="continue"/>
            <w:vAlign w:val="center"/>
          </w:tcPr>
          <w:p w14:paraId="520ACF0A">
            <w:pPr>
              <w:adjustRightInd w:val="0"/>
              <w:snapToGrid w:val="0"/>
              <w:jc w:val="center"/>
              <w:rPr>
                <w:bCs/>
                <w:szCs w:val="21"/>
              </w:rPr>
            </w:pPr>
          </w:p>
        </w:tc>
        <w:tc>
          <w:tcPr>
            <w:tcW w:w="1134" w:type="dxa"/>
            <w:gridSpan w:val="2"/>
            <w:vAlign w:val="center"/>
          </w:tcPr>
          <w:p w14:paraId="520ACF0B">
            <w:pPr>
              <w:adjustRightInd w:val="0"/>
              <w:snapToGrid w:val="0"/>
              <w:jc w:val="center"/>
              <w:rPr>
                <w:bCs/>
                <w:szCs w:val="21"/>
              </w:rPr>
            </w:pPr>
            <w:r>
              <w:rPr>
                <w:rFonts w:hint="eastAsia"/>
                <w:bCs/>
              </w:rPr>
              <w:t>有机废气治理措施</w:t>
            </w:r>
          </w:p>
        </w:tc>
        <w:tc>
          <w:tcPr>
            <w:tcW w:w="1276" w:type="dxa"/>
            <w:vAlign w:val="center"/>
          </w:tcPr>
          <w:p w14:paraId="520ACF0C">
            <w:pPr>
              <w:adjustRightInd w:val="0"/>
              <w:snapToGrid w:val="0"/>
              <w:jc w:val="center"/>
              <w:rPr>
                <w:bCs/>
                <w:szCs w:val="21"/>
              </w:rPr>
            </w:pPr>
            <w:r>
              <w:rPr>
                <w:rFonts w:hint="eastAsia"/>
                <w:bCs/>
              </w:rPr>
              <w:t>废活性炭</w:t>
            </w:r>
          </w:p>
        </w:tc>
        <w:tc>
          <w:tcPr>
            <w:tcW w:w="2530" w:type="dxa"/>
            <w:vAlign w:val="center"/>
          </w:tcPr>
          <w:p w14:paraId="520ACF0D">
            <w:pPr>
              <w:adjustRightInd w:val="0"/>
              <w:snapToGrid w:val="0"/>
              <w:jc w:val="center"/>
              <w:rPr>
                <w:rFonts w:cs="宋体"/>
                <w:szCs w:val="21"/>
              </w:rPr>
            </w:pPr>
            <w:r>
              <w:rPr>
                <w:szCs w:val="21"/>
              </w:rPr>
              <w:t>危废</w:t>
            </w:r>
            <w:r>
              <w:rPr>
                <w:rFonts w:hint="eastAsia"/>
                <w:szCs w:val="21"/>
              </w:rPr>
              <w:t>贮存库WF-003</w:t>
            </w:r>
            <w:r>
              <w:rPr>
                <w:rFonts w:cs="宋体"/>
                <w:szCs w:val="21"/>
              </w:rPr>
              <w:t>（</w:t>
            </w:r>
            <w:r>
              <w:rPr>
                <w:rFonts w:hint="eastAsia" w:cs="宋体"/>
                <w:szCs w:val="21"/>
              </w:rPr>
              <w:t>25</w:t>
            </w:r>
            <w:r>
              <w:rPr>
                <w:rFonts w:cs="宋体"/>
                <w:szCs w:val="21"/>
              </w:rPr>
              <w:t>m</w:t>
            </w:r>
            <w:r>
              <w:rPr>
                <w:rFonts w:cs="宋体"/>
                <w:szCs w:val="21"/>
                <w:vertAlign w:val="superscript"/>
              </w:rPr>
              <w:t>2</w:t>
            </w:r>
            <w:r>
              <w:rPr>
                <w:rFonts w:cs="宋体"/>
                <w:szCs w:val="21"/>
              </w:rPr>
              <w:t>）</w:t>
            </w:r>
          </w:p>
        </w:tc>
        <w:tc>
          <w:tcPr>
            <w:tcW w:w="2917" w:type="dxa"/>
            <w:vMerge w:val="continue"/>
            <w:vAlign w:val="center"/>
          </w:tcPr>
          <w:p w14:paraId="520ACF0E">
            <w:pPr>
              <w:adjustRightInd w:val="0"/>
              <w:snapToGrid w:val="0"/>
              <w:jc w:val="center"/>
              <w:rPr>
                <w:rFonts w:cs="宋体"/>
                <w:szCs w:val="21"/>
                <w:highlight w:val="yellow"/>
              </w:rPr>
            </w:pPr>
          </w:p>
        </w:tc>
      </w:tr>
      <w:tr w14:paraId="520ACF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520ACF10">
            <w:pPr>
              <w:adjustRightInd w:val="0"/>
              <w:snapToGrid w:val="0"/>
              <w:jc w:val="center"/>
              <w:rPr>
                <w:rFonts w:cs="宋体"/>
                <w:szCs w:val="21"/>
                <w:highlight w:val="yellow"/>
              </w:rPr>
            </w:pPr>
          </w:p>
        </w:tc>
        <w:tc>
          <w:tcPr>
            <w:tcW w:w="425" w:type="dxa"/>
            <w:vAlign w:val="center"/>
          </w:tcPr>
          <w:p w14:paraId="520ACF11">
            <w:pPr>
              <w:adjustRightInd w:val="0"/>
              <w:snapToGrid w:val="0"/>
              <w:jc w:val="center"/>
              <w:rPr>
                <w:bCs/>
                <w:szCs w:val="21"/>
              </w:rPr>
            </w:pPr>
            <w:r>
              <w:rPr>
                <w:rFonts w:hint="eastAsia" w:cs="宋体"/>
                <w:szCs w:val="21"/>
              </w:rPr>
              <w:t>解放路厂区</w:t>
            </w:r>
          </w:p>
        </w:tc>
        <w:tc>
          <w:tcPr>
            <w:tcW w:w="1134" w:type="dxa"/>
            <w:gridSpan w:val="2"/>
            <w:vAlign w:val="center"/>
          </w:tcPr>
          <w:p w14:paraId="520ACF12">
            <w:pPr>
              <w:adjustRightInd w:val="0"/>
              <w:snapToGrid w:val="0"/>
              <w:jc w:val="center"/>
              <w:rPr>
                <w:bCs/>
              </w:rPr>
            </w:pPr>
            <w:r>
              <w:rPr>
                <w:rFonts w:hint="eastAsia"/>
                <w:bCs/>
              </w:rPr>
              <w:t>硫化机液压系统</w:t>
            </w:r>
          </w:p>
        </w:tc>
        <w:tc>
          <w:tcPr>
            <w:tcW w:w="1276" w:type="dxa"/>
            <w:vAlign w:val="center"/>
          </w:tcPr>
          <w:p w14:paraId="520ACF13">
            <w:pPr>
              <w:adjustRightInd w:val="0"/>
              <w:snapToGrid w:val="0"/>
              <w:jc w:val="center"/>
              <w:rPr>
                <w:bCs/>
              </w:rPr>
            </w:pPr>
            <w:r>
              <w:rPr>
                <w:rFonts w:hint="eastAsia"/>
                <w:bCs/>
                <w:szCs w:val="21"/>
              </w:rPr>
              <w:t>废液压油</w:t>
            </w:r>
          </w:p>
        </w:tc>
        <w:tc>
          <w:tcPr>
            <w:tcW w:w="2530" w:type="dxa"/>
            <w:vAlign w:val="center"/>
          </w:tcPr>
          <w:p w14:paraId="520ACF14">
            <w:pPr>
              <w:adjustRightInd w:val="0"/>
              <w:snapToGrid w:val="0"/>
              <w:jc w:val="center"/>
              <w:rPr>
                <w:szCs w:val="21"/>
              </w:rPr>
            </w:pPr>
            <w:r>
              <w:rPr>
                <w:rFonts w:hint="eastAsia"/>
              </w:rPr>
              <w:t>危废贮存库（216</w:t>
            </w:r>
            <w:r>
              <w:rPr>
                <w:rFonts w:cs="宋体"/>
                <w:szCs w:val="21"/>
              </w:rPr>
              <w:t>m</w:t>
            </w:r>
            <w:r>
              <w:rPr>
                <w:rFonts w:cs="宋体"/>
                <w:szCs w:val="21"/>
                <w:vertAlign w:val="superscript"/>
              </w:rPr>
              <w:t>2</w:t>
            </w:r>
            <w:r>
              <w:rPr>
                <w:rFonts w:hint="eastAsia"/>
              </w:rPr>
              <w:t>）</w:t>
            </w:r>
          </w:p>
        </w:tc>
        <w:tc>
          <w:tcPr>
            <w:tcW w:w="2917" w:type="dxa"/>
            <w:vMerge w:val="continue"/>
            <w:vAlign w:val="center"/>
          </w:tcPr>
          <w:p w14:paraId="520ACF15">
            <w:pPr>
              <w:adjustRightInd w:val="0"/>
              <w:snapToGrid w:val="0"/>
              <w:jc w:val="center"/>
              <w:rPr>
                <w:rFonts w:cs="宋体"/>
                <w:szCs w:val="21"/>
                <w:highlight w:val="yellow"/>
              </w:rPr>
            </w:pPr>
          </w:p>
        </w:tc>
      </w:tr>
      <w:tr w14:paraId="520ACF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Align w:val="center"/>
          </w:tcPr>
          <w:p w14:paraId="520ACF17">
            <w:pPr>
              <w:adjustRightInd w:val="0"/>
              <w:snapToGrid w:val="0"/>
              <w:jc w:val="center"/>
              <w:rPr>
                <w:rFonts w:cs="宋体"/>
                <w:szCs w:val="21"/>
              </w:rPr>
            </w:pPr>
            <w:r>
              <w:rPr>
                <w:rFonts w:hint="eastAsia" w:cs="宋体"/>
                <w:szCs w:val="21"/>
              </w:rPr>
              <w:t>土壤及地下水污染防治措施</w:t>
            </w:r>
          </w:p>
        </w:tc>
        <w:tc>
          <w:tcPr>
            <w:tcW w:w="8282" w:type="dxa"/>
            <w:gridSpan w:val="6"/>
            <w:vAlign w:val="center"/>
          </w:tcPr>
          <w:p w14:paraId="520ACF18">
            <w:pPr>
              <w:adjustRightInd w:val="0"/>
              <w:snapToGrid w:val="0"/>
              <w:jc w:val="center"/>
              <w:rPr>
                <w:rFonts w:cs="宋体"/>
                <w:bCs/>
                <w:szCs w:val="21"/>
              </w:rPr>
            </w:pPr>
            <w:r>
              <w:rPr>
                <w:rFonts w:hint="eastAsia"/>
                <w:bCs/>
                <w:kern w:val="0"/>
                <w:szCs w:val="21"/>
              </w:rPr>
              <w:t>危险废物于危废贮存库（间）内暂存，危险废物采用密闭容器收集，并置于托盘上，确保不渗漏；危废贮存库（间）地面已采取硬化和防腐防渗措施，其中存放液态危废废物的危废贮存间内设置有导流沟，危险废物一旦产生散落、泄漏，可及时收集倒入专用桶内</w:t>
            </w:r>
          </w:p>
        </w:tc>
      </w:tr>
      <w:tr w14:paraId="520ACF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Align w:val="center"/>
          </w:tcPr>
          <w:p w14:paraId="520ACF1A">
            <w:pPr>
              <w:adjustRightInd w:val="0"/>
              <w:snapToGrid w:val="0"/>
              <w:jc w:val="center"/>
              <w:rPr>
                <w:rFonts w:cs="宋体"/>
                <w:szCs w:val="21"/>
              </w:rPr>
            </w:pPr>
            <w:r>
              <w:rPr>
                <w:rFonts w:hint="eastAsia" w:cs="宋体"/>
                <w:szCs w:val="21"/>
              </w:rPr>
              <w:t>生态保护措施</w:t>
            </w:r>
          </w:p>
        </w:tc>
        <w:tc>
          <w:tcPr>
            <w:tcW w:w="8282" w:type="dxa"/>
            <w:gridSpan w:val="6"/>
            <w:vAlign w:val="center"/>
          </w:tcPr>
          <w:p w14:paraId="520ACF1B">
            <w:pPr>
              <w:adjustRightInd w:val="0"/>
              <w:snapToGrid w:val="0"/>
              <w:jc w:val="center"/>
              <w:rPr>
                <w:rFonts w:cs="宋体"/>
                <w:szCs w:val="21"/>
              </w:rPr>
            </w:pPr>
            <w:r>
              <w:rPr>
                <w:rFonts w:hint="eastAsia" w:cs="宋体"/>
                <w:szCs w:val="21"/>
              </w:rPr>
              <w:t>/</w:t>
            </w:r>
          </w:p>
        </w:tc>
      </w:tr>
      <w:tr w14:paraId="520ACF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Align w:val="center"/>
          </w:tcPr>
          <w:p w14:paraId="520ACF1D">
            <w:pPr>
              <w:adjustRightInd w:val="0"/>
              <w:snapToGrid w:val="0"/>
              <w:jc w:val="center"/>
              <w:rPr>
                <w:rFonts w:cs="宋体"/>
                <w:spacing w:val="-8"/>
                <w:szCs w:val="21"/>
              </w:rPr>
            </w:pPr>
            <w:r>
              <w:rPr>
                <w:rFonts w:hint="eastAsia" w:cs="宋体"/>
                <w:spacing w:val="-8"/>
                <w:szCs w:val="21"/>
              </w:rPr>
              <w:t>环境风险</w:t>
            </w:r>
          </w:p>
          <w:p w14:paraId="520ACF1E">
            <w:pPr>
              <w:adjustRightInd w:val="0"/>
              <w:snapToGrid w:val="0"/>
              <w:jc w:val="center"/>
              <w:rPr>
                <w:rFonts w:cs="宋体"/>
                <w:spacing w:val="-8"/>
                <w:szCs w:val="21"/>
              </w:rPr>
            </w:pPr>
            <w:r>
              <w:rPr>
                <w:rFonts w:hint="eastAsia" w:cs="宋体"/>
                <w:spacing w:val="-8"/>
                <w:szCs w:val="21"/>
              </w:rPr>
              <w:t>防范措施</w:t>
            </w:r>
          </w:p>
        </w:tc>
        <w:tc>
          <w:tcPr>
            <w:tcW w:w="8282" w:type="dxa"/>
            <w:gridSpan w:val="6"/>
            <w:vAlign w:val="center"/>
          </w:tcPr>
          <w:p w14:paraId="520ACF1F">
            <w:pPr>
              <w:adjustRightInd w:val="0"/>
              <w:snapToGrid w:val="0"/>
              <w:rPr>
                <w:kern w:val="0"/>
                <w:szCs w:val="21"/>
              </w:rPr>
            </w:pPr>
            <w:r>
              <w:rPr>
                <w:kern w:val="0"/>
                <w:szCs w:val="21"/>
              </w:rPr>
              <w:t>（1）建立健全本单位的安全生产责任制、安全生产规章制度和操作规程，明确各岗位人员的职责。</w:t>
            </w:r>
          </w:p>
          <w:p w14:paraId="520ACF20">
            <w:pPr>
              <w:adjustRightInd w:val="0"/>
              <w:snapToGrid w:val="0"/>
              <w:rPr>
                <w:kern w:val="0"/>
                <w:szCs w:val="21"/>
              </w:rPr>
            </w:pPr>
            <w:r>
              <w:rPr>
                <w:kern w:val="0"/>
                <w:szCs w:val="21"/>
              </w:rPr>
              <w:t>（2）项目试生产（使用）前，应严格按照有关规定制定试生产（使用）方案办理相关手续。操作人员经岗前培训合格，方可参加操作。工程项目验收时，应同时验收安全设施。</w:t>
            </w:r>
          </w:p>
          <w:p w14:paraId="520ACF21">
            <w:pPr>
              <w:adjustRightInd w:val="0"/>
              <w:snapToGrid w:val="0"/>
              <w:rPr>
                <w:b/>
                <w:bCs/>
                <w:kern w:val="0"/>
                <w:szCs w:val="21"/>
                <w:u w:val="single"/>
              </w:rPr>
            </w:pPr>
            <w:r>
              <w:rPr>
                <w:kern w:val="0"/>
                <w:szCs w:val="21"/>
              </w:rPr>
              <w:t>（3）油类物质储存于阴凉、通风的库房。远离火种、热源。库温不宜超过30℃，可设置防晒、冷却水喷淋降温设施或有良好的绝热保温设施。设置的电气设施和防雷、防静电装置必须符合国家标准、规范的要求并定期检查及监测。原料入库时应检查是否有泄漏现象，在贮存期定期检查，发现泄漏，及时处理；搬运时轻装轻卸，防止储桶破损。</w:t>
            </w:r>
            <w:r>
              <w:rPr>
                <w:rFonts w:hint="eastAsia"/>
                <w:kern w:val="0"/>
                <w:szCs w:val="21"/>
              </w:rPr>
              <w:t>现有建设路厂区油库、危废贮存库措施：配备了灭火器、消防栓、高压水枪以及消防沙池等；油库及废油库外设置了3个泡沫灭火装置；油库顶部设置若干6kg悬挂式超细干粉灭火器；油库下方设置1座12.42m</w:t>
            </w:r>
            <w:r>
              <w:rPr>
                <w:rFonts w:hint="eastAsia"/>
                <w:kern w:val="0"/>
                <w:szCs w:val="21"/>
                <w:vertAlign w:val="superscript"/>
              </w:rPr>
              <w:t>3</w:t>
            </w:r>
            <w:r>
              <w:rPr>
                <w:rFonts w:hint="eastAsia"/>
                <w:kern w:val="0"/>
                <w:szCs w:val="21"/>
              </w:rPr>
              <w:t>（4.6m×1.5m×1.8m）应急池、1座9.72m</w:t>
            </w:r>
            <w:r>
              <w:rPr>
                <w:rFonts w:hint="eastAsia"/>
                <w:kern w:val="0"/>
                <w:szCs w:val="21"/>
                <w:vertAlign w:val="superscript"/>
              </w:rPr>
              <w:t>3</w:t>
            </w:r>
            <w:r>
              <w:rPr>
                <w:rFonts w:hint="eastAsia"/>
                <w:kern w:val="0"/>
                <w:szCs w:val="21"/>
              </w:rPr>
              <w:t>（3.6m×1.5m×1.8m）事故池；危废贮存库下方设置1座64.38m</w:t>
            </w:r>
            <w:r>
              <w:rPr>
                <w:rFonts w:hint="eastAsia"/>
                <w:kern w:val="0"/>
                <w:szCs w:val="21"/>
                <w:vertAlign w:val="superscript"/>
              </w:rPr>
              <w:t>3</w:t>
            </w:r>
            <w:r>
              <w:rPr>
                <w:rFonts w:hint="eastAsia"/>
                <w:kern w:val="0"/>
                <w:szCs w:val="21"/>
              </w:rPr>
              <w:t>（7.4m×5.8m×1.5m）事故水池；防毒面具等消防设备储备完善；各关键位置设置若干警示牌。现有解放路厂区</w:t>
            </w:r>
            <w:r>
              <w:rPr>
                <w:kern w:val="0"/>
                <w:szCs w:val="21"/>
              </w:rPr>
              <w:t>油库、</w:t>
            </w:r>
            <w:r>
              <w:rPr>
                <w:rFonts w:hint="eastAsia"/>
                <w:kern w:val="0"/>
                <w:szCs w:val="21"/>
              </w:rPr>
              <w:t>危废贮存库措施</w:t>
            </w:r>
            <w:r>
              <w:rPr>
                <w:kern w:val="0"/>
                <w:szCs w:val="21"/>
              </w:rPr>
              <w:t>：</w:t>
            </w:r>
            <w:r>
              <w:rPr>
                <w:rFonts w:hint="eastAsia"/>
                <w:kern w:val="0"/>
                <w:szCs w:val="21"/>
              </w:rPr>
              <w:t>配备了灭火器、灭火毯、容器盖</w:t>
            </w:r>
            <w:r>
              <w:rPr>
                <w:kern w:val="0"/>
                <w:szCs w:val="21"/>
              </w:rPr>
              <w:t>消防沙池等；油库</w:t>
            </w:r>
            <w:r>
              <w:rPr>
                <w:rFonts w:hint="eastAsia"/>
                <w:kern w:val="0"/>
                <w:szCs w:val="21"/>
              </w:rPr>
              <w:t>内设置有2套七氟丙烷气体灭火系统、2套可燃气体报警系统、若干</w:t>
            </w:r>
            <w:r>
              <w:rPr>
                <w:kern w:val="0"/>
                <w:szCs w:val="21"/>
              </w:rPr>
              <w:t>6kg悬挂式超细干粉灭火器；</w:t>
            </w:r>
            <w:r>
              <w:rPr>
                <w:rFonts w:hint="eastAsia"/>
                <w:kern w:val="0"/>
                <w:szCs w:val="21"/>
              </w:rPr>
              <w:t>危废贮存库</w:t>
            </w:r>
            <w:r>
              <w:rPr>
                <w:kern w:val="0"/>
                <w:szCs w:val="21"/>
              </w:rPr>
              <w:t>配备了灭火器、消防沙池等，</w:t>
            </w:r>
            <w:r>
              <w:rPr>
                <w:rFonts w:hint="eastAsia"/>
                <w:kern w:val="0"/>
                <w:szCs w:val="21"/>
              </w:rPr>
              <w:t>地面采取了硬化和防腐防渗设施，满足《危险废物贮存污染控制标准》（GB18597-2023）防风、防晒、防雨淋的“三防”要求。</w:t>
            </w:r>
            <w:r>
              <w:rPr>
                <w:kern w:val="0"/>
                <w:szCs w:val="21"/>
              </w:rPr>
              <w:t>防毒面具等消防设备储备完善；各关键位置设置若干警示牌。</w:t>
            </w:r>
          </w:p>
          <w:p w14:paraId="520ACF22">
            <w:pPr>
              <w:adjustRightInd w:val="0"/>
              <w:snapToGrid w:val="0"/>
              <w:rPr>
                <w:kern w:val="0"/>
                <w:szCs w:val="21"/>
              </w:rPr>
            </w:pPr>
            <w:r>
              <w:rPr>
                <w:kern w:val="0"/>
                <w:szCs w:val="21"/>
              </w:rPr>
              <w:t>（4）</w:t>
            </w:r>
            <w:r>
              <w:rPr>
                <w:rFonts w:hint="eastAsia"/>
                <w:kern w:val="0"/>
                <w:szCs w:val="21"/>
              </w:rPr>
              <w:t>建设路厂区及解放路厂区的</w:t>
            </w:r>
            <w:r>
              <w:rPr>
                <w:kern w:val="0"/>
                <w:szCs w:val="21"/>
              </w:rPr>
              <w:t>油类物质的贮存区域四周建设防泄漏围堰，高度不低于0.2m或者设置防泄漏托盘。及时将泄漏出的液体截留收集，避免大量挥发或引发火灾等。</w:t>
            </w:r>
          </w:p>
          <w:p w14:paraId="520ACF23">
            <w:pPr>
              <w:adjustRightInd w:val="0"/>
              <w:snapToGrid w:val="0"/>
              <w:rPr>
                <w:rFonts w:cs="宋体"/>
                <w:szCs w:val="21"/>
              </w:rPr>
            </w:pPr>
            <w:r>
              <w:rPr>
                <w:kern w:val="0"/>
                <w:szCs w:val="21"/>
              </w:rPr>
              <w:t>（5）油类物质泄漏后及时采取防火措施，迅速清除泄漏区的所有火源和易燃物，禁止一切明火靠近，并加强通风。</w:t>
            </w:r>
          </w:p>
        </w:tc>
      </w:tr>
      <w:tr w14:paraId="520ACF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restart"/>
            <w:vAlign w:val="center"/>
          </w:tcPr>
          <w:p w14:paraId="520ACF25">
            <w:pPr>
              <w:adjustRightInd w:val="0"/>
              <w:snapToGrid w:val="0"/>
              <w:jc w:val="center"/>
              <w:rPr>
                <w:rFonts w:cs="宋体"/>
                <w:spacing w:val="-8"/>
                <w:szCs w:val="21"/>
                <w:highlight w:val="yellow"/>
              </w:rPr>
            </w:pPr>
            <w:r>
              <w:rPr>
                <w:rFonts w:hint="eastAsia" w:cs="宋体"/>
                <w:spacing w:val="-8"/>
                <w:szCs w:val="21"/>
              </w:rPr>
              <w:t>其他环境管理要求</w:t>
            </w:r>
          </w:p>
        </w:tc>
        <w:tc>
          <w:tcPr>
            <w:tcW w:w="8282" w:type="dxa"/>
            <w:gridSpan w:val="6"/>
            <w:vAlign w:val="center"/>
          </w:tcPr>
          <w:p w14:paraId="520ACF26">
            <w:pPr>
              <w:adjustRightInd w:val="0"/>
              <w:snapToGrid w:val="0"/>
              <w:jc w:val="center"/>
              <w:rPr>
                <w:rFonts w:cs="宋体"/>
                <w:szCs w:val="21"/>
              </w:rPr>
            </w:pPr>
            <w:r>
              <w:rPr>
                <w:rFonts w:hint="eastAsia"/>
                <w:bCs/>
                <w:szCs w:val="21"/>
              </w:rPr>
              <w:t>按照排污许可技术规范、年度污染防治攻坚方案、专项整治方案以及绩效分级评级指南等要求安装相关环保监控、监测设备</w:t>
            </w:r>
          </w:p>
        </w:tc>
      </w:tr>
      <w:tr w14:paraId="520ACF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83" w:type="dxa"/>
            <w:vMerge w:val="continue"/>
            <w:vAlign w:val="center"/>
          </w:tcPr>
          <w:p w14:paraId="520ACF28">
            <w:pPr>
              <w:adjustRightInd w:val="0"/>
              <w:snapToGrid w:val="0"/>
              <w:jc w:val="center"/>
              <w:rPr>
                <w:rFonts w:cs="宋体"/>
                <w:spacing w:val="-8"/>
                <w:szCs w:val="21"/>
                <w:highlight w:val="yellow"/>
              </w:rPr>
            </w:pPr>
          </w:p>
        </w:tc>
        <w:tc>
          <w:tcPr>
            <w:tcW w:w="8282" w:type="dxa"/>
            <w:gridSpan w:val="6"/>
            <w:vAlign w:val="center"/>
          </w:tcPr>
          <w:p w14:paraId="520ACF29">
            <w:pPr>
              <w:adjustRightInd w:val="0"/>
              <w:snapToGrid w:val="0"/>
              <w:spacing w:line="360" w:lineRule="exact"/>
              <w:ind w:firstLine="420" w:firstLineChars="200"/>
              <w:rPr>
                <w:bCs/>
                <w:szCs w:val="21"/>
              </w:rPr>
            </w:pPr>
            <w:r>
              <w:rPr>
                <w:rFonts w:hint="eastAsia"/>
                <w:bCs/>
                <w:szCs w:val="21"/>
              </w:rPr>
              <w:t>根据本项目实际情况及现有工程排污许可证自行监测要求，并参照《排污许可证申请与核发技术规范 铁路、船舶、航空航天和其他运输设备制造业》（HJ 1124-2020）、《排污单位自行监测技术指南 橡胶和塑料制品》</w:t>
            </w:r>
            <w:r>
              <w:fldChar w:fldCharType="begin"/>
            </w:r>
            <w:r>
              <w:instrText xml:space="preserve"> HYPERLINK "https://www.mee.gov.cn/ywgz/fgbz/bz/bzwb/jcffbz/202112/W020211206547863741730.pdf" </w:instrText>
            </w:r>
            <w:r>
              <w:fldChar w:fldCharType="separate"/>
            </w:r>
            <w:r>
              <w:rPr>
                <w:rStyle w:val="22"/>
                <w:rFonts w:hint="eastAsia"/>
                <w:bCs/>
                <w:color w:val="auto"/>
                <w:szCs w:val="21"/>
              </w:rPr>
              <w:t>（HJ 1207—2021）</w:t>
            </w:r>
            <w:r>
              <w:rPr>
                <w:rStyle w:val="22"/>
                <w:rFonts w:hint="eastAsia"/>
                <w:bCs/>
                <w:color w:val="auto"/>
                <w:szCs w:val="21"/>
              </w:rPr>
              <w:fldChar w:fldCharType="end"/>
            </w:r>
            <w:r>
              <w:rPr>
                <w:rFonts w:hint="eastAsia"/>
                <w:bCs/>
                <w:szCs w:val="21"/>
              </w:rPr>
              <w:t>、《排污许可证申请与核发技术规范  工业噪声》（HJ 1301-2023），本项目在生产运行阶段的污染源监测计划见下表。</w:t>
            </w:r>
          </w:p>
          <w:p w14:paraId="520ACF2A">
            <w:pPr>
              <w:tabs>
                <w:tab w:val="left" w:pos="8370"/>
                <w:tab w:val="left" w:pos="8600"/>
              </w:tabs>
              <w:jc w:val="center"/>
              <w:rPr>
                <w:szCs w:val="21"/>
              </w:rPr>
            </w:pPr>
            <w:r>
              <w:rPr>
                <w:rFonts w:hint="eastAsia"/>
                <w:szCs w:val="21"/>
              </w:rPr>
              <w:t>污染源自行监测计划表</w:t>
            </w:r>
          </w:p>
          <w:tbl>
            <w:tblPr>
              <w:tblStyle w:val="18"/>
              <w:tblW w:w="5000"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78"/>
              <w:gridCol w:w="691"/>
              <w:gridCol w:w="712"/>
              <w:gridCol w:w="1139"/>
              <w:gridCol w:w="997"/>
              <w:gridCol w:w="4188"/>
            </w:tblGrid>
            <w:tr w14:paraId="520ACF3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Align w:val="center"/>
                </w:tcPr>
                <w:p w14:paraId="520ACF2B">
                  <w:pPr>
                    <w:autoSpaceDE w:val="0"/>
                    <w:autoSpaceDN w:val="0"/>
                    <w:adjustRightInd w:val="0"/>
                    <w:snapToGrid w:val="0"/>
                    <w:jc w:val="center"/>
                    <w:rPr>
                      <w:b/>
                      <w:szCs w:val="21"/>
                    </w:rPr>
                  </w:pPr>
                  <w:r>
                    <w:rPr>
                      <w:rFonts w:hint="eastAsia"/>
                      <w:b/>
                      <w:szCs w:val="21"/>
                    </w:rPr>
                    <w:t>监控类别</w:t>
                  </w:r>
                </w:p>
              </w:tc>
              <w:tc>
                <w:tcPr>
                  <w:tcW w:w="1397" w:type="dxa"/>
                  <w:gridSpan w:val="2"/>
                  <w:tcMar>
                    <w:top w:w="0" w:type="dxa"/>
                    <w:left w:w="28" w:type="dxa"/>
                    <w:bottom w:w="0" w:type="dxa"/>
                    <w:right w:w="28" w:type="dxa"/>
                  </w:tcMar>
                  <w:vAlign w:val="center"/>
                </w:tcPr>
                <w:p w14:paraId="520ACF2C">
                  <w:pPr>
                    <w:autoSpaceDE w:val="0"/>
                    <w:autoSpaceDN w:val="0"/>
                    <w:adjustRightInd w:val="0"/>
                    <w:snapToGrid w:val="0"/>
                    <w:jc w:val="center"/>
                    <w:rPr>
                      <w:b/>
                      <w:szCs w:val="21"/>
                    </w:rPr>
                  </w:pPr>
                  <w:r>
                    <w:rPr>
                      <w:rFonts w:hint="eastAsia"/>
                      <w:b/>
                      <w:szCs w:val="21"/>
                    </w:rPr>
                    <w:t>监测指标</w:t>
                  </w:r>
                </w:p>
              </w:tc>
              <w:tc>
                <w:tcPr>
                  <w:tcW w:w="1134" w:type="dxa"/>
                  <w:tcMar>
                    <w:top w:w="0" w:type="dxa"/>
                    <w:left w:w="28" w:type="dxa"/>
                    <w:bottom w:w="0" w:type="dxa"/>
                    <w:right w:w="28" w:type="dxa"/>
                  </w:tcMar>
                  <w:vAlign w:val="center"/>
                </w:tcPr>
                <w:p w14:paraId="520ACF2D">
                  <w:pPr>
                    <w:autoSpaceDE w:val="0"/>
                    <w:autoSpaceDN w:val="0"/>
                    <w:adjustRightInd w:val="0"/>
                    <w:snapToGrid w:val="0"/>
                    <w:jc w:val="center"/>
                    <w:rPr>
                      <w:b/>
                      <w:szCs w:val="21"/>
                    </w:rPr>
                  </w:pPr>
                  <w:r>
                    <w:rPr>
                      <w:rFonts w:hint="eastAsia"/>
                      <w:b/>
                      <w:szCs w:val="21"/>
                    </w:rPr>
                    <w:t>监测点位</w:t>
                  </w:r>
                </w:p>
              </w:tc>
              <w:tc>
                <w:tcPr>
                  <w:tcW w:w="992" w:type="dxa"/>
                  <w:tcMar>
                    <w:top w:w="0" w:type="dxa"/>
                    <w:left w:w="28" w:type="dxa"/>
                    <w:bottom w:w="0" w:type="dxa"/>
                    <w:right w:w="28" w:type="dxa"/>
                  </w:tcMar>
                  <w:vAlign w:val="center"/>
                </w:tcPr>
                <w:p w14:paraId="520ACF2E">
                  <w:pPr>
                    <w:autoSpaceDE w:val="0"/>
                    <w:autoSpaceDN w:val="0"/>
                    <w:adjustRightInd w:val="0"/>
                    <w:snapToGrid w:val="0"/>
                    <w:jc w:val="center"/>
                    <w:rPr>
                      <w:b/>
                      <w:szCs w:val="21"/>
                    </w:rPr>
                  </w:pPr>
                  <w:r>
                    <w:rPr>
                      <w:rFonts w:hint="eastAsia"/>
                      <w:b/>
                      <w:szCs w:val="21"/>
                    </w:rPr>
                    <w:t>监测频次</w:t>
                  </w:r>
                </w:p>
              </w:tc>
              <w:tc>
                <w:tcPr>
                  <w:tcW w:w="4169" w:type="dxa"/>
                  <w:tcMar>
                    <w:top w:w="0" w:type="dxa"/>
                    <w:left w:w="28" w:type="dxa"/>
                    <w:bottom w:w="0" w:type="dxa"/>
                    <w:right w:w="28" w:type="dxa"/>
                  </w:tcMar>
                  <w:vAlign w:val="center"/>
                </w:tcPr>
                <w:p w14:paraId="520ACF2F">
                  <w:pPr>
                    <w:autoSpaceDE w:val="0"/>
                    <w:autoSpaceDN w:val="0"/>
                    <w:adjustRightInd w:val="0"/>
                    <w:snapToGrid w:val="0"/>
                    <w:jc w:val="center"/>
                    <w:rPr>
                      <w:b/>
                      <w:szCs w:val="21"/>
                    </w:rPr>
                  </w:pPr>
                  <w:r>
                    <w:rPr>
                      <w:rFonts w:hint="eastAsia"/>
                      <w:b/>
                      <w:szCs w:val="21"/>
                    </w:rPr>
                    <w:t>执行排放标准</w:t>
                  </w:r>
                </w:p>
              </w:tc>
            </w:tr>
            <w:tr w14:paraId="3D309BB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267" w:type="dxa"/>
                  <w:gridSpan w:val="6"/>
                  <w:vAlign w:val="center"/>
                </w:tcPr>
                <w:p w14:paraId="614207C3">
                  <w:pPr>
                    <w:autoSpaceDE w:val="0"/>
                    <w:autoSpaceDN w:val="0"/>
                    <w:adjustRightInd w:val="0"/>
                    <w:snapToGrid w:val="0"/>
                    <w:jc w:val="center"/>
                    <w:rPr>
                      <w:b/>
                      <w:szCs w:val="21"/>
                    </w:rPr>
                  </w:pPr>
                  <w:r>
                    <w:rPr>
                      <w:rFonts w:hint="eastAsia"/>
                      <w:b/>
                      <w:szCs w:val="21"/>
                    </w:rPr>
                    <w:t>建设路厂区</w:t>
                  </w:r>
                </w:p>
              </w:tc>
            </w:tr>
            <w:tr w14:paraId="520ACF3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tcMar>
                    <w:top w:w="0" w:type="dxa"/>
                    <w:left w:w="28" w:type="dxa"/>
                    <w:bottom w:w="0" w:type="dxa"/>
                    <w:right w:w="28" w:type="dxa"/>
                  </w:tcMar>
                  <w:vAlign w:val="center"/>
                </w:tcPr>
                <w:p w14:paraId="520ACF31">
                  <w:pPr>
                    <w:autoSpaceDE w:val="0"/>
                    <w:autoSpaceDN w:val="0"/>
                    <w:adjustRightInd w:val="0"/>
                    <w:snapToGrid w:val="0"/>
                    <w:jc w:val="center"/>
                    <w:rPr>
                      <w:szCs w:val="21"/>
                    </w:rPr>
                  </w:pPr>
                  <w:r>
                    <w:rPr>
                      <w:rFonts w:hint="eastAsia"/>
                      <w:szCs w:val="21"/>
                    </w:rPr>
                    <w:t>噪声</w:t>
                  </w:r>
                </w:p>
              </w:tc>
              <w:tc>
                <w:tcPr>
                  <w:tcW w:w="1397" w:type="dxa"/>
                  <w:gridSpan w:val="2"/>
                  <w:tcMar>
                    <w:top w:w="0" w:type="dxa"/>
                    <w:left w:w="28" w:type="dxa"/>
                    <w:bottom w:w="0" w:type="dxa"/>
                    <w:right w:w="28" w:type="dxa"/>
                  </w:tcMar>
                  <w:vAlign w:val="center"/>
                </w:tcPr>
                <w:p w14:paraId="520ACF32">
                  <w:pPr>
                    <w:autoSpaceDE w:val="0"/>
                    <w:autoSpaceDN w:val="0"/>
                    <w:adjustRightInd w:val="0"/>
                    <w:snapToGrid w:val="0"/>
                    <w:jc w:val="center"/>
                    <w:rPr>
                      <w:szCs w:val="21"/>
                    </w:rPr>
                  </w:pPr>
                  <w:r>
                    <w:rPr>
                      <w:rFonts w:hint="eastAsia"/>
                      <w:szCs w:val="21"/>
                    </w:rPr>
                    <w:t>等效连续</w:t>
                  </w:r>
                  <w:r>
                    <w:rPr>
                      <w:szCs w:val="21"/>
                    </w:rPr>
                    <w:t>A</w:t>
                  </w:r>
                  <w:r>
                    <w:rPr>
                      <w:rFonts w:hint="eastAsia"/>
                      <w:szCs w:val="21"/>
                    </w:rPr>
                    <w:t>声级</w:t>
                  </w:r>
                </w:p>
              </w:tc>
              <w:tc>
                <w:tcPr>
                  <w:tcW w:w="1134" w:type="dxa"/>
                  <w:tcMar>
                    <w:top w:w="0" w:type="dxa"/>
                    <w:left w:w="28" w:type="dxa"/>
                    <w:bottom w:w="0" w:type="dxa"/>
                    <w:right w:w="28" w:type="dxa"/>
                  </w:tcMar>
                  <w:vAlign w:val="center"/>
                </w:tcPr>
                <w:p w14:paraId="520ACF33">
                  <w:pPr>
                    <w:autoSpaceDE w:val="0"/>
                    <w:autoSpaceDN w:val="0"/>
                    <w:adjustRightInd w:val="0"/>
                    <w:snapToGrid w:val="0"/>
                    <w:jc w:val="center"/>
                    <w:rPr>
                      <w:szCs w:val="21"/>
                    </w:rPr>
                  </w:pPr>
                  <w:r>
                    <w:rPr>
                      <w:rFonts w:hint="eastAsia"/>
                      <w:szCs w:val="21"/>
                    </w:rPr>
                    <w:t>厂区四周厂界外</w:t>
                  </w:r>
                  <w:r>
                    <w:rPr>
                      <w:szCs w:val="21"/>
                    </w:rPr>
                    <w:t>1m</w:t>
                  </w:r>
                  <w:r>
                    <w:rPr>
                      <w:rFonts w:hint="eastAsia"/>
                      <w:szCs w:val="21"/>
                    </w:rPr>
                    <w:t>处</w:t>
                  </w:r>
                </w:p>
              </w:tc>
              <w:tc>
                <w:tcPr>
                  <w:tcW w:w="992" w:type="dxa"/>
                  <w:tcMar>
                    <w:top w:w="0" w:type="dxa"/>
                    <w:left w:w="28" w:type="dxa"/>
                    <w:bottom w:w="0" w:type="dxa"/>
                    <w:right w:w="28" w:type="dxa"/>
                  </w:tcMar>
                  <w:vAlign w:val="center"/>
                </w:tcPr>
                <w:p w14:paraId="520ACF34">
                  <w:pPr>
                    <w:autoSpaceDE w:val="0"/>
                    <w:autoSpaceDN w:val="0"/>
                    <w:adjustRightInd w:val="0"/>
                    <w:snapToGrid w:val="0"/>
                    <w:jc w:val="center"/>
                    <w:rPr>
                      <w:szCs w:val="21"/>
                    </w:rPr>
                  </w:pPr>
                  <w:r>
                    <w:rPr>
                      <w:rFonts w:hint="eastAsia"/>
                      <w:kern w:val="0"/>
                      <w:szCs w:val="21"/>
                    </w:rPr>
                    <w:t>1次/季度</w:t>
                  </w:r>
                </w:p>
              </w:tc>
              <w:tc>
                <w:tcPr>
                  <w:tcW w:w="4169" w:type="dxa"/>
                  <w:tcMar>
                    <w:top w:w="0" w:type="dxa"/>
                    <w:left w:w="28" w:type="dxa"/>
                    <w:bottom w:w="0" w:type="dxa"/>
                    <w:right w:w="28" w:type="dxa"/>
                  </w:tcMar>
                  <w:vAlign w:val="center"/>
                </w:tcPr>
                <w:p w14:paraId="520ACF35">
                  <w:pPr>
                    <w:autoSpaceDE w:val="0"/>
                    <w:autoSpaceDN w:val="0"/>
                    <w:adjustRightInd w:val="0"/>
                    <w:snapToGrid w:val="0"/>
                    <w:jc w:val="center"/>
                    <w:rPr>
                      <w:szCs w:val="21"/>
                    </w:rPr>
                  </w:pPr>
                  <w:r>
                    <w:rPr>
                      <w:kern w:val="0"/>
                      <w:szCs w:val="21"/>
                    </w:rPr>
                    <w:t>《工业企业厂界环境噪声排放标准》（GB12348-2008）</w:t>
                  </w:r>
                  <w:r>
                    <w:rPr>
                      <w:rFonts w:hint="eastAsia"/>
                      <w:bCs/>
                      <w:kern w:val="0"/>
                      <w:szCs w:val="21"/>
                    </w:rPr>
                    <w:t>2</w:t>
                  </w:r>
                  <w:r>
                    <w:rPr>
                      <w:bCs/>
                      <w:kern w:val="0"/>
                      <w:szCs w:val="21"/>
                    </w:rPr>
                    <w:t>类</w:t>
                  </w:r>
                </w:p>
              </w:tc>
            </w:tr>
            <w:tr w14:paraId="520ACF3C">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restart"/>
                  <w:tcMar>
                    <w:top w:w="0" w:type="dxa"/>
                    <w:left w:w="28" w:type="dxa"/>
                    <w:bottom w:w="0" w:type="dxa"/>
                    <w:right w:w="28" w:type="dxa"/>
                  </w:tcMar>
                  <w:vAlign w:val="center"/>
                </w:tcPr>
                <w:p w14:paraId="520ACF37">
                  <w:pPr>
                    <w:autoSpaceDE w:val="0"/>
                    <w:autoSpaceDN w:val="0"/>
                    <w:adjustRightInd w:val="0"/>
                    <w:snapToGrid w:val="0"/>
                    <w:jc w:val="center"/>
                    <w:rPr>
                      <w:szCs w:val="21"/>
                    </w:rPr>
                  </w:pPr>
                  <w:r>
                    <w:rPr>
                      <w:rFonts w:hint="eastAsia"/>
                      <w:szCs w:val="21"/>
                    </w:rPr>
                    <w:t>废水</w:t>
                  </w:r>
                </w:p>
              </w:tc>
              <w:tc>
                <w:tcPr>
                  <w:tcW w:w="1397" w:type="dxa"/>
                  <w:gridSpan w:val="2"/>
                  <w:tcMar>
                    <w:top w:w="0" w:type="dxa"/>
                    <w:left w:w="28" w:type="dxa"/>
                    <w:bottom w:w="0" w:type="dxa"/>
                    <w:right w:w="28" w:type="dxa"/>
                  </w:tcMar>
                  <w:vAlign w:val="center"/>
                </w:tcPr>
                <w:p w14:paraId="520ACF38">
                  <w:pPr>
                    <w:autoSpaceDE w:val="0"/>
                    <w:autoSpaceDN w:val="0"/>
                    <w:adjustRightInd w:val="0"/>
                    <w:snapToGrid w:val="0"/>
                    <w:jc w:val="center"/>
                    <w:rPr>
                      <w:szCs w:val="21"/>
                    </w:rPr>
                  </w:pPr>
                  <w:r>
                    <w:rPr>
                      <w:rFonts w:hint="eastAsia"/>
                    </w:rPr>
                    <w:t>流量、</w:t>
                  </w:r>
                  <w:r>
                    <w:t>COD</w:t>
                  </w:r>
                </w:p>
              </w:tc>
              <w:tc>
                <w:tcPr>
                  <w:tcW w:w="1134" w:type="dxa"/>
                  <w:vMerge w:val="restart"/>
                  <w:tcMar>
                    <w:top w:w="0" w:type="dxa"/>
                    <w:left w:w="28" w:type="dxa"/>
                    <w:bottom w:w="0" w:type="dxa"/>
                    <w:right w:w="28" w:type="dxa"/>
                  </w:tcMar>
                  <w:vAlign w:val="center"/>
                </w:tcPr>
                <w:p w14:paraId="520ACF39">
                  <w:pPr>
                    <w:autoSpaceDE w:val="0"/>
                    <w:autoSpaceDN w:val="0"/>
                    <w:adjustRightInd w:val="0"/>
                    <w:snapToGrid w:val="0"/>
                    <w:jc w:val="center"/>
                    <w:rPr>
                      <w:szCs w:val="21"/>
                    </w:rPr>
                  </w:pPr>
                  <w:r>
                    <w:rPr>
                      <w:rFonts w:hint="eastAsia"/>
                    </w:rPr>
                    <w:t>厂区总排口</w:t>
                  </w:r>
                </w:p>
              </w:tc>
              <w:tc>
                <w:tcPr>
                  <w:tcW w:w="992" w:type="dxa"/>
                  <w:tcMar>
                    <w:top w:w="0" w:type="dxa"/>
                    <w:left w:w="28" w:type="dxa"/>
                    <w:bottom w:w="0" w:type="dxa"/>
                    <w:right w:w="28" w:type="dxa"/>
                  </w:tcMar>
                  <w:vAlign w:val="center"/>
                </w:tcPr>
                <w:p w14:paraId="520ACF3A">
                  <w:pPr>
                    <w:autoSpaceDE w:val="0"/>
                    <w:autoSpaceDN w:val="0"/>
                    <w:adjustRightInd w:val="0"/>
                    <w:snapToGrid w:val="0"/>
                    <w:jc w:val="center"/>
                    <w:rPr>
                      <w:kern w:val="0"/>
                      <w:szCs w:val="21"/>
                    </w:rPr>
                  </w:pPr>
                  <w:r>
                    <w:t>自动监测</w:t>
                  </w:r>
                </w:p>
              </w:tc>
              <w:tc>
                <w:tcPr>
                  <w:tcW w:w="4169" w:type="dxa"/>
                  <w:vMerge w:val="restart"/>
                  <w:tcMar>
                    <w:top w:w="0" w:type="dxa"/>
                    <w:left w:w="28" w:type="dxa"/>
                    <w:bottom w:w="0" w:type="dxa"/>
                    <w:right w:w="28" w:type="dxa"/>
                  </w:tcMar>
                  <w:vAlign w:val="center"/>
                </w:tcPr>
                <w:p w14:paraId="520ACF3B">
                  <w:pPr>
                    <w:autoSpaceDE w:val="0"/>
                    <w:autoSpaceDN w:val="0"/>
                    <w:adjustRightInd w:val="0"/>
                    <w:snapToGrid w:val="0"/>
                    <w:jc w:val="center"/>
                    <w:rPr>
                      <w:kern w:val="0"/>
                      <w:szCs w:val="21"/>
                    </w:rPr>
                  </w:pPr>
                  <w:r>
                    <w:rPr>
                      <w:rFonts w:hint="eastAsia"/>
                    </w:rPr>
                    <w:t>小尚庄污水处理厂pH</w:t>
                  </w:r>
                  <w:r>
                    <w:t xml:space="preserve"> </w:t>
                  </w:r>
                  <w:r>
                    <w:rPr>
                      <w:rFonts w:hint="eastAsia"/>
                    </w:rPr>
                    <w:t>6~9、COD 350mg/L、SS 250mg/L、NH</w:t>
                  </w:r>
                  <w:r>
                    <w:rPr>
                      <w:rFonts w:hint="eastAsia"/>
                      <w:vertAlign w:val="subscript"/>
                    </w:rPr>
                    <w:t>3</w:t>
                  </w:r>
                  <w:r>
                    <w:rPr>
                      <w:rFonts w:hint="eastAsia"/>
                    </w:rPr>
                    <w:t>-N 30mg/L、TP 3mg/L、TN 40mg/L的收水标准要求和《污水综合排放标准》（GB8978-1996）表4二级pH</w:t>
                  </w:r>
                  <w:r>
                    <w:t xml:space="preserve"> </w:t>
                  </w:r>
                  <w:r>
                    <w:rPr>
                      <w:rFonts w:hint="eastAsia"/>
                    </w:rPr>
                    <w:t>6~9、COD</w:t>
                  </w:r>
                  <w:r>
                    <w:t xml:space="preserve"> </w:t>
                  </w:r>
                  <w:r>
                    <w:rPr>
                      <w:rFonts w:hint="eastAsia"/>
                    </w:rPr>
                    <w:t>150mg/L、SS</w:t>
                  </w:r>
                  <w:r>
                    <w:t xml:space="preserve"> </w:t>
                  </w:r>
                  <w:r>
                    <w:rPr>
                      <w:rFonts w:hint="eastAsia"/>
                    </w:rPr>
                    <w:t>150mg/L、NH</w:t>
                  </w:r>
                  <w:r>
                    <w:rPr>
                      <w:rFonts w:hint="eastAsia"/>
                      <w:vertAlign w:val="subscript"/>
                    </w:rPr>
                    <w:t>3</w:t>
                  </w:r>
                  <w:r>
                    <w:rPr>
                      <w:rFonts w:hint="eastAsia"/>
                    </w:rPr>
                    <w:t>-N</w:t>
                  </w:r>
                  <w:r>
                    <w:t xml:space="preserve"> </w:t>
                  </w:r>
                  <w:r>
                    <w:rPr>
                      <w:rFonts w:hint="eastAsia"/>
                    </w:rPr>
                    <w:t>25mg/L、TP</w:t>
                  </w:r>
                  <w:r>
                    <w:t xml:space="preserve"> </w:t>
                  </w:r>
                  <w:r>
                    <w:rPr>
                      <w:rFonts w:hint="eastAsia"/>
                    </w:rPr>
                    <w:t>1.0mg/L的排放标准要求</w:t>
                  </w:r>
                </w:p>
              </w:tc>
            </w:tr>
            <w:tr w14:paraId="520ACF4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520ACF3D">
                  <w:pPr>
                    <w:autoSpaceDE w:val="0"/>
                    <w:autoSpaceDN w:val="0"/>
                    <w:adjustRightInd w:val="0"/>
                    <w:snapToGrid w:val="0"/>
                    <w:jc w:val="center"/>
                    <w:rPr>
                      <w:szCs w:val="21"/>
                    </w:rPr>
                  </w:pPr>
                </w:p>
              </w:tc>
              <w:tc>
                <w:tcPr>
                  <w:tcW w:w="1397" w:type="dxa"/>
                  <w:gridSpan w:val="2"/>
                  <w:tcMar>
                    <w:top w:w="0" w:type="dxa"/>
                    <w:left w:w="28" w:type="dxa"/>
                    <w:bottom w:w="0" w:type="dxa"/>
                    <w:right w:w="28" w:type="dxa"/>
                  </w:tcMar>
                  <w:vAlign w:val="center"/>
                </w:tcPr>
                <w:p w14:paraId="520ACF3E">
                  <w:pPr>
                    <w:autoSpaceDE w:val="0"/>
                    <w:autoSpaceDN w:val="0"/>
                    <w:adjustRightInd w:val="0"/>
                    <w:snapToGrid w:val="0"/>
                    <w:jc w:val="center"/>
                    <w:rPr>
                      <w:szCs w:val="21"/>
                    </w:rPr>
                  </w:pPr>
                  <w:r>
                    <w:rPr>
                      <w:rFonts w:hint="eastAsia"/>
                    </w:rPr>
                    <w:t>悬浮物</w:t>
                  </w:r>
                </w:p>
              </w:tc>
              <w:tc>
                <w:tcPr>
                  <w:tcW w:w="1134" w:type="dxa"/>
                  <w:vMerge w:val="continue"/>
                  <w:tcMar>
                    <w:top w:w="0" w:type="dxa"/>
                    <w:left w:w="28" w:type="dxa"/>
                    <w:bottom w:w="0" w:type="dxa"/>
                    <w:right w:w="28" w:type="dxa"/>
                  </w:tcMar>
                  <w:vAlign w:val="center"/>
                </w:tcPr>
                <w:p w14:paraId="520ACF3F">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520ACF40">
                  <w:pPr>
                    <w:autoSpaceDE w:val="0"/>
                    <w:autoSpaceDN w:val="0"/>
                    <w:adjustRightInd w:val="0"/>
                    <w:snapToGrid w:val="0"/>
                    <w:jc w:val="center"/>
                    <w:rPr>
                      <w:kern w:val="0"/>
                      <w:szCs w:val="21"/>
                    </w:rPr>
                  </w:pPr>
                  <w:r>
                    <w:t>1</w:t>
                  </w:r>
                  <w:r>
                    <w:rPr>
                      <w:rFonts w:hint="eastAsia"/>
                    </w:rPr>
                    <w:t>次</w:t>
                  </w:r>
                  <w:r>
                    <w:t>/</w:t>
                  </w:r>
                  <w:r>
                    <w:rPr>
                      <w:rFonts w:hint="eastAsia"/>
                    </w:rPr>
                    <w:t>月</w:t>
                  </w:r>
                </w:p>
              </w:tc>
              <w:tc>
                <w:tcPr>
                  <w:tcW w:w="4169" w:type="dxa"/>
                  <w:vMerge w:val="continue"/>
                  <w:tcMar>
                    <w:top w:w="0" w:type="dxa"/>
                    <w:left w:w="28" w:type="dxa"/>
                    <w:bottom w:w="0" w:type="dxa"/>
                    <w:right w:w="28" w:type="dxa"/>
                  </w:tcMar>
                  <w:vAlign w:val="center"/>
                </w:tcPr>
                <w:p w14:paraId="520ACF41">
                  <w:pPr>
                    <w:autoSpaceDE w:val="0"/>
                    <w:autoSpaceDN w:val="0"/>
                    <w:adjustRightInd w:val="0"/>
                    <w:snapToGrid w:val="0"/>
                    <w:jc w:val="center"/>
                    <w:rPr>
                      <w:kern w:val="0"/>
                      <w:szCs w:val="21"/>
                    </w:rPr>
                  </w:pPr>
                </w:p>
              </w:tc>
            </w:tr>
            <w:tr w14:paraId="520ACF4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520ACF43">
                  <w:pPr>
                    <w:autoSpaceDE w:val="0"/>
                    <w:autoSpaceDN w:val="0"/>
                    <w:adjustRightInd w:val="0"/>
                    <w:snapToGrid w:val="0"/>
                    <w:jc w:val="center"/>
                    <w:rPr>
                      <w:szCs w:val="21"/>
                    </w:rPr>
                  </w:pPr>
                </w:p>
              </w:tc>
              <w:tc>
                <w:tcPr>
                  <w:tcW w:w="1397" w:type="dxa"/>
                  <w:gridSpan w:val="2"/>
                  <w:tcMar>
                    <w:top w:w="0" w:type="dxa"/>
                    <w:left w:w="28" w:type="dxa"/>
                    <w:bottom w:w="0" w:type="dxa"/>
                    <w:right w:w="28" w:type="dxa"/>
                  </w:tcMar>
                  <w:vAlign w:val="center"/>
                </w:tcPr>
                <w:p w14:paraId="520ACF44">
                  <w:pPr>
                    <w:autoSpaceDE w:val="0"/>
                    <w:autoSpaceDN w:val="0"/>
                    <w:adjustRightInd w:val="0"/>
                    <w:snapToGrid w:val="0"/>
                    <w:jc w:val="center"/>
                  </w:pPr>
                  <w:r>
                    <w:rPr>
                      <w:rFonts w:hint="eastAsia"/>
                    </w:rPr>
                    <w:t>石油类</w:t>
                  </w:r>
                </w:p>
              </w:tc>
              <w:tc>
                <w:tcPr>
                  <w:tcW w:w="1134" w:type="dxa"/>
                  <w:vMerge w:val="continue"/>
                  <w:tcMar>
                    <w:top w:w="0" w:type="dxa"/>
                    <w:left w:w="28" w:type="dxa"/>
                    <w:bottom w:w="0" w:type="dxa"/>
                    <w:right w:w="28" w:type="dxa"/>
                  </w:tcMar>
                  <w:vAlign w:val="center"/>
                </w:tcPr>
                <w:p w14:paraId="520ACF45">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520ACF46">
                  <w:pPr>
                    <w:autoSpaceDE w:val="0"/>
                    <w:autoSpaceDN w:val="0"/>
                    <w:adjustRightInd w:val="0"/>
                    <w:snapToGrid w:val="0"/>
                    <w:jc w:val="center"/>
                  </w:pPr>
                  <w:r>
                    <w:t>1</w:t>
                  </w:r>
                  <w:r>
                    <w:rPr>
                      <w:rFonts w:hint="eastAsia"/>
                    </w:rPr>
                    <w:t>次</w:t>
                  </w:r>
                  <w:r>
                    <w:t>/</w:t>
                  </w:r>
                  <w:r>
                    <w:rPr>
                      <w:rFonts w:hint="eastAsia"/>
                    </w:rPr>
                    <w:t>月</w:t>
                  </w:r>
                </w:p>
              </w:tc>
              <w:tc>
                <w:tcPr>
                  <w:tcW w:w="4169" w:type="dxa"/>
                  <w:tcMar>
                    <w:top w:w="0" w:type="dxa"/>
                    <w:left w:w="28" w:type="dxa"/>
                    <w:bottom w:w="0" w:type="dxa"/>
                    <w:right w:w="28" w:type="dxa"/>
                  </w:tcMar>
                  <w:vAlign w:val="center"/>
                </w:tcPr>
                <w:p w14:paraId="520ACF47">
                  <w:pPr>
                    <w:autoSpaceDE w:val="0"/>
                    <w:autoSpaceDN w:val="0"/>
                    <w:adjustRightInd w:val="0"/>
                    <w:snapToGrid w:val="0"/>
                    <w:jc w:val="center"/>
                    <w:rPr>
                      <w:kern w:val="0"/>
                      <w:szCs w:val="21"/>
                    </w:rPr>
                  </w:pPr>
                  <w:r>
                    <w:rPr>
                      <w:rFonts w:hint="eastAsia"/>
                      <w:szCs w:val="21"/>
                    </w:rPr>
                    <w:t>《电镀污染物排放标准》（GB21900-2008）表2企业废水总排放口石油类3.0mg/L的限值要求</w:t>
                  </w:r>
                </w:p>
              </w:tc>
            </w:tr>
            <w:tr w14:paraId="520ACF4B">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restart"/>
                  <w:tcMar>
                    <w:top w:w="0" w:type="dxa"/>
                    <w:left w:w="28" w:type="dxa"/>
                    <w:bottom w:w="0" w:type="dxa"/>
                    <w:right w:w="28" w:type="dxa"/>
                  </w:tcMar>
                  <w:vAlign w:val="center"/>
                </w:tcPr>
                <w:p w14:paraId="520ACF49">
                  <w:pPr>
                    <w:autoSpaceDE w:val="0"/>
                    <w:autoSpaceDN w:val="0"/>
                    <w:adjustRightInd w:val="0"/>
                    <w:snapToGrid w:val="0"/>
                    <w:jc w:val="center"/>
                    <w:rPr>
                      <w:szCs w:val="21"/>
                    </w:rPr>
                  </w:pPr>
                  <w:r>
                    <w:rPr>
                      <w:rFonts w:hint="eastAsia"/>
                      <w:szCs w:val="21"/>
                    </w:rPr>
                    <w:t>废气</w:t>
                  </w:r>
                </w:p>
              </w:tc>
              <w:tc>
                <w:tcPr>
                  <w:tcW w:w="7692" w:type="dxa"/>
                  <w:gridSpan w:val="5"/>
                  <w:tcMar>
                    <w:top w:w="0" w:type="dxa"/>
                    <w:left w:w="28" w:type="dxa"/>
                    <w:bottom w:w="0" w:type="dxa"/>
                    <w:right w:w="28" w:type="dxa"/>
                  </w:tcMar>
                  <w:vAlign w:val="center"/>
                </w:tcPr>
                <w:p w14:paraId="520ACF4A">
                  <w:pPr>
                    <w:autoSpaceDE w:val="0"/>
                    <w:autoSpaceDN w:val="0"/>
                    <w:adjustRightInd w:val="0"/>
                    <w:snapToGrid w:val="0"/>
                    <w:jc w:val="center"/>
                    <w:rPr>
                      <w:b/>
                      <w:szCs w:val="21"/>
                    </w:rPr>
                  </w:pPr>
                  <w:r>
                    <w:rPr>
                      <w:b/>
                      <w:szCs w:val="21"/>
                    </w:rPr>
                    <w:t>有组织废气</w:t>
                  </w:r>
                </w:p>
              </w:tc>
            </w:tr>
            <w:tr w14:paraId="0DEE37A8">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125D38FA">
                  <w:pPr>
                    <w:autoSpaceDE w:val="0"/>
                    <w:autoSpaceDN w:val="0"/>
                    <w:adjustRightInd w:val="0"/>
                    <w:snapToGrid w:val="0"/>
                    <w:jc w:val="center"/>
                    <w:rPr>
                      <w:szCs w:val="21"/>
                    </w:rPr>
                  </w:pPr>
                </w:p>
              </w:tc>
              <w:tc>
                <w:tcPr>
                  <w:tcW w:w="688" w:type="dxa"/>
                  <w:tcMar>
                    <w:top w:w="0" w:type="dxa"/>
                    <w:left w:w="28" w:type="dxa"/>
                    <w:bottom w:w="0" w:type="dxa"/>
                    <w:right w:w="28" w:type="dxa"/>
                  </w:tcMar>
                  <w:vAlign w:val="center"/>
                </w:tcPr>
                <w:p w14:paraId="1D5F8B97">
                  <w:pPr>
                    <w:autoSpaceDE w:val="0"/>
                    <w:autoSpaceDN w:val="0"/>
                    <w:adjustRightInd w:val="0"/>
                    <w:snapToGrid w:val="0"/>
                    <w:jc w:val="center"/>
                    <w:rPr>
                      <w:szCs w:val="21"/>
                      <w:lang w:val="pt-BR"/>
                    </w:rPr>
                  </w:pPr>
                  <w:r>
                    <w:rPr>
                      <w:rFonts w:hint="eastAsia"/>
                      <w:szCs w:val="21"/>
                      <w:lang w:val="pt-BR"/>
                    </w:rPr>
                    <w:t>颗粒物</w:t>
                  </w:r>
                </w:p>
              </w:tc>
              <w:tc>
                <w:tcPr>
                  <w:tcW w:w="709" w:type="dxa"/>
                  <w:vMerge w:val="restart"/>
                  <w:vAlign w:val="center"/>
                </w:tcPr>
                <w:p w14:paraId="757ADF3E">
                  <w:pPr>
                    <w:autoSpaceDE w:val="0"/>
                    <w:autoSpaceDN w:val="0"/>
                    <w:adjustRightInd w:val="0"/>
                    <w:snapToGrid w:val="0"/>
                    <w:jc w:val="center"/>
                    <w:rPr>
                      <w:szCs w:val="21"/>
                    </w:rPr>
                  </w:pPr>
                  <w:r>
                    <w:rPr>
                      <w:szCs w:val="21"/>
                    </w:rPr>
                    <w:t>浓度、速率、废气量</w:t>
                  </w:r>
                </w:p>
              </w:tc>
              <w:tc>
                <w:tcPr>
                  <w:tcW w:w="1134" w:type="dxa"/>
                  <w:tcMar>
                    <w:top w:w="0" w:type="dxa"/>
                    <w:left w:w="28" w:type="dxa"/>
                    <w:bottom w:w="0" w:type="dxa"/>
                    <w:right w:w="28" w:type="dxa"/>
                  </w:tcMar>
                  <w:vAlign w:val="center"/>
                </w:tcPr>
                <w:p w14:paraId="05D340FE">
                  <w:pPr>
                    <w:autoSpaceDE w:val="0"/>
                    <w:autoSpaceDN w:val="0"/>
                    <w:adjustRightInd w:val="0"/>
                    <w:snapToGrid w:val="0"/>
                    <w:jc w:val="center"/>
                    <w:rPr>
                      <w:szCs w:val="21"/>
                    </w:rPr>
                  </w:pPr>
                  <w:r>
                    <w:rPr>
                      <w:rFonts w:hint="eastAsia"/>
                      <w:szCs w:val="21"/>
                    </w:rPr>
                    <w:t>排气筒DA019</w:t>
                  </w:r>
                </w:p>
              </w:tc>
              <w:tc>
                <w:tcPr>
                  <w:tcW w:w="992" w:type="dxa"/>
                  <w:tcMar>
                    <w:top w:w="0" w:type="dxa"/>
                    <w:left w:w="28" w:type="dxa"/>
                    <w:bottom w:w="0" w:type="dxa"/>
                    <w:right w:w="28" w:type="dxa"/>
                  </w:tcMar>
                  <w:vAlign w:val="center"/>
                </w:tcPr>
                <w:p w14:paraId="1471004E">
                  <w:pPr>
                    <w:autoSpaceDE w:val="0"/>
                    <w:autoSpaceDN w:val="0"/>
                    <w:adjustRightInd w:val="0"/>
                    <w:snapToGrid w:val="0"/>
                    <w:jc w:val="center"/>
                    <w:rPr>
                      <w:szCs w:val="21"/>
                    </w:rPr>
                  </w:pPr>
                  <w:r>
                    <w:rPr>
                      <w:rFonts w:hint="eastAsia"/>
                      <w:szCs w:val="21"/>
                    </w:rPr>
                    <w:t>1次/年</w:t>
                  </w:r>
                </w:p>
              </w:tc>
              <w:tc>
                <w:tcPr>
                  <w:tcW w:w="4169" w:type="dxa"/>
                  <w:tcMar>
                    <w:top w:w="0" w:type="dxa"/>
                    <w:left w:w="28" w:type="dxa"/>
                    <w:bottom w:w="0" w:type="dxa"/>
                    <w:right w:w="28" w:type="dxa"/>
                  </w:tcMar>
                  <w:vAlign w:val="center"/>
                </w:tcPr>
                <w:p w14:paraId="4E25745F">
                  <w:pPr>
                    <w:autoSpaceDE w:val="0"/>
                    <w:autoSpaceDN w:val="0"/>
                    <w:adjustRightInd w:val="0"/>
                    <w:snapToGrid w:val="0"/>
                    <w:jc w:val="center"/>
                    <w:rPr>
                      <w:szCs w:val="21"/>
                    </w:rPr>
                  </w:pPr>
                  <w:r>
                    <w:rPr>
                      <w:rFonts w:hint="eastAsia"/>
                      <w:bCs/>
                      <w:szCs w:val="21"/>
                    </w:rPr>
                    <w:t>《大气污染物综合排放标准》（GB16297-1996）表2</w:t>
                  </w:r>
                  <w:r>
                    <w:rPr>
                      <w:rFonts w:hint="eastAsia"/>
                      <w:szCs w:val="21"/>
                    </w:rPr>
                    <w:t>有组织颗粒物排放速率3.5kg/h（15m高排气筒）的标准限值要求，</w:t>
                  </w:r>
                  <w:r>
                    <w:rPr>
                      <w:rFonts w:hint="eastAsia"/>
                      <w:bCs/>
                      <w:szCs w:val="21"/>
                    </w:rPr>
                    <w:t>同时排放浓度均</w:t>
                  </w:r>
                  <w:r>
                    <w:rPr>
                      <w:rFonts w:hint="eastAsia"/>
                      <w:szCs w:val="21"/>
                    </w:rPr>
                    <w:t>满足《新乡市生态环境局关于进一步规范工业企业颗粒物排放限值的通知》有组织颗粒物排放浓度</w:t>
                  </w:r>
                  <w:r>
                    <w:rPr>
                      <w:szCs w:val="21"/>
                    </w:rPr>
                    <w:t>10mg/m</w:t>
                  </w:r>
                  <w:r>
                    <w:rPr>
                      <w:szCs w:val="21"/>
                      <w:vertAlign w:val="superscript"/>
                    </w:rPr>
                    <w:t>3</w:t>
                  </w:r>
                  <w:r>
                    <w:rPr>
                      <w:rFonts w:hint="eastAsia"/>
                      <w:szCs w:val="21"/>
                    </w:rPr>
                    <w:t>的标准限值要求</w:t>
                  </w:r>
                </w:p>
              </w:tc>
            </w:tr>
            <w:tr w14:paraId="520ACF5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520ACF4C">
                  <w:pPr>
                    <w:autoSpaceDE w:val="0"/>
                    <w:autoSpaceDN w:val="0"/>
                    <w:adjustRightInd w:val="0"/>
                    <w:snapToGrid w:val="0"/>
                    <w:jc w:val="center"/>
                    <w:rPr>
                      <w:szCs w:val="21"/>
                    </w:rPr>
                  </w:pPr>
                </w:p>
              </w:tc>
              <w:tc>
                <w:tcPr>
                  <w:tcW w:w="688" w:type="dxa"/>
                  <w:vMerge w:val="restart"/>
                  <w:tcMar>
                    <w:top w:w="0" w:type="dxa"/>
                    <w:left w:w="28" w:type="dxa"/>
                    <w:bottom w:w="0" w:type="dxa"/>
                    <w:right w:w="28" w:type="dxa"/>
                  </w:tcMar>
                  <w:vAlign w:val="center"/>
                </w:tcPr>
                <w:p w14:paraId="520ACF4D">
                  <w:pPr>
                    <w:autoSpaceDE w:val="0"/>
                    <w:autoSpaceDN w:val="0"/>
                    <w:adjustRightInd w:val="0"/>
                    <w:snapToGrid w:val="0"/>
                    <w:jc w:val="center"/>
                    <w:rPr>
                      <w:szCs w:val="21"/>
                    </w:rPr>
                  </w:pPr>
                  <w:r>
                    <w:rPr>
                      <w:rFonts w:hint="eastAsia"/>
                      <w:szCs w:val="21"/>
                      <w:lang w:val="pt-BR"/>
                    </w:rPr>
                    <w:t>非甲烷总烃</w:t>
                  </w:r>
                </w:p>
              </w:tc>
              <w:tc>
                <w:tcPr>
                  <w:tcW w:w="709" w:type="dxa"/>
                  <w:vMerge w:val="continue"/>
                  <w:vAlign w:val="center"/>
                </w:tcPr>
                <w:p w14:paraId="520ACF4E">
                  <w:pPr>
                    <w:autoSpaceDE w:val="0"/>
                    <w:autoSpaceDN w:val="0"/>
                    <w:adjustRightInd w:val="0"/>
                    <w:snapToGrid w:val="0"/>
                    <w:jc w:val="center"/>
                    <w:rPr>
                      <w:szCs w:val="21"/>
                    </w:rPr>
                  </w:pPr>
                </w:p>
              </w:tc>
              <w:tc>
                <w:tcPr>
                  <w:tcW w:w="1134" w:type="dxa"/>
                  <w:tcMar>
                    <w:top w:w="0" w:type="dxa"/>
                    <w:left w:w="28" w:type="dxa"/>
                    <w:bottom w:w="0" w:type="dxa"/>
                    <w:right w:w="28" w:type="dxa"/>
                  </w:tcMar>
                  <w:vAlign w:val="center"/>
                </w:tcPr>
                <w:p w14:paraId="520ACF4F">
                  <w:pPr>
                    <w:autoSpaceDE w:val="0"/>
                    <w:autoSpaceDN w:val="0"/>
                    <w:adjustRightInd w:val="0"/>
                    <w:snapToGrid w:val="0"/>
                    <w:jc w:val="center"/>
                    <w:rPr>
                      <w:szCs w:val="21"/>
                    </w:rPr>
                  </w:pPr>
                  <w:r>
                    <w:rPr>
                      <w:szCs w:val="21"/>
                    </w:rPr>
                    <w:t>排气筒DA03</w:t>
                  </w:r>
                  <w:r>
                    <w:rPr>
                      <w:rFonts w:hint="eastAsia"/>
                      <w:szCs w:val="21"/>
                    </w:rPr>
                    <w:t>0</w:t>
                  </w:r>
                </w:p>
              </w:tc>
              <w:tc>
                <w:tcPr>
                  <w:tcW w:w="992" w:type="dxa"/>
                  <w:tcMar>
                    <w:top w:w="0" w:type="dxa"/>
                    <w:left w:w="28" w:type="dxa"/>
                    <w:bottom w:w="0" w:type="dxa"/>
                    <w:right w:w="28" w:type="dxa"/>
                  </w:tcMar>
                  <w:vAlign w:val="center"/>
                </w:tcPr>
                <w:p w14:paraId="520ACF50">
                  <w:pPr>
                    <w:autoSpaceDE w:val="0"/>
                    <w:autoSpaceDN w:val="0"/>
                    <w:adjustRightInd w:val="0"/>
                    <w:snapToGrid w:val="0"/>
                    <w:jc w:val="center"/>
                    <w:rPr>
                      <w:szCs w:val="21"/>
                    </w:rPr>
                  </w:pPr>
                  <w:r>
                    <w:rPr>
                      <w:rFonts w:hint="eastAsia"/>
                      <w:szCs w:val="21"/>
                    </w:rPr>
                    <w:t>1次/年</w:t>
                  </w:r>
                </w:p>
              </w:tc>
              <w:tc>
                <w:tcPr>
                  <w:tcW w:w="4169" w:type="dxa"/>
                  <w:vMerge w:val="restart"/>
                  <w:tcMar>
                    <w:top w:w="0" w:type="dxa"/>
                    <w:left w:w="28" w:type="dxa"/>
                    <w:bottom w:w="0" w:type="dxa"/>
                    <w:right w:w="28" w:type="dxa"/>
                  </w:tcMar>
                  <w:vAlign w:val="center"/>
                </w:tcPr>
                <w:p w14:paraId="520ACF51">
                  <w:pPr>
                    <w:autoSpaceDE w:val="0"/>
                    <w:autoSpaceDN w:val="0"/>
                    <w:adjustRightInd w:val="0"/>
                    <w:snapToGrid w:val="0"/>
                    <w:jc w:val="center"/>
                    <w:rPr>
                      <w:szCs w:val="21"/>
                    </w:rPr>
                  </w:pPr>
                  <w:r>
                    <w:rPr>
                      <w:rFonts w:hint="eastAsia"/>
                      <w:szCs w:val="21"/>
                    </w:rPr>
                    <w:t>《关于全省开展工业企业挥发性有机物专项治理工作中排放建议限值的通知》（豫环攻坚办[2017]162号）附件1其他行业有机废气排放口非甲烷总烃80mg/m</w:t>
                  </w:r>
                  <w:r>
                    <w:rPr>
                      <w:rFonts w:hint="eastAsia"/>
                      <w:szCs w:val="21"/>
                      <w:vertAlign w:val="superscript"/>
                    </w:rPr>
                    <w:t>3</w:t>
                  </w:r>
                  <w:r>
                    <w:rPr>
                      <w:rFonts w:hint="eastAsia"/>
                      <w:bCs/>
                      <w:szCs w:val="21"/>
                    </w:rPr>
                    <w:t>、处理效率70%</w:t>
                  </w:r>
                  <w:r>
                    <w:rPr>
                      <w:rFonts w:hint="eastAsia"/>
                      <w:szCs w:val="21"/>
                    </w:rPr>
                    <w:t>限值要求，</w:t>
                  </w:r>
                  <w:r>
                    <w:rPr>
                      <w:bCs/>
                      <w:szCs w:val="21"/>
                    </w:rPr>
                    <w:t>《河南省重污染天气通用行业应急减排措施制定技术指南》（2024年修订版）涉VOCs企业</w:t>
                  </w:r>
                  <w:r>
                    <w:rPr>
                      <w:rFonts w:hint="eastAsia"/>
                      <w:szCs w:val="21"/>
                    </w:rPr>
                    <w:t>非甲烷总烃有组织3</w:t>
                  </w:r>
                  <w:r>
                    <w:rPr>
                      <w:szCs w:val="21"/>
                    </w:rPr>
                    <w:t>0mg/m</w:t>
                  </w:r>
                  <w:r>
                    <w:rPr>
                      <w:szCs w:val="21"/>
                      <w:vertAlign w:val="superscript"/>
                    </w:rPr>
                    <w:t>3</w:t>
                  </w:r>
                  <w:r>
                    <w:rPr>
                      <w:rFonts w:hint="eastAsia"/>
                      <w:szCs w:val="21"/>
                    </w:rPr>
                    <w:t>的限值要求，《大气污染物综合排放标准》（GB16297-1996）表2二级非甲烷总烃有组织120mg/m</w:t>
                  </w:r>
                  <w:r>
                    <w:rPr>
                      <w:rFonts w:hint="eastAsia"/>
                      <w:szCs w:val="21"/>
                      <w:vertAlign w:val="superscript"/>
                    </w:rPr>
                    <w:t>3</w:t>
                  </w:r>
                  <w:r>
                    <w:rPr>
                      <w:rFonts w:hint="eastAsia"/>
                      <w:szCs w:val="21"/>
                    </w:rPr>
                    <w:t>、10kg/h（15m高排气筒）的限值要求</w:t>
                  </w:r>
                </w:p>
              </w:tc>
            </w:tr>
            <w:tr w14:paraId="520ACF5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520ACF53">
                  <w:pPr>
                    <w:autoSpaceDE w:val="0"/>
                    <w:autoSpaceDN w:val="0"/>
                    <w:adjustRightInd w:val="0"/>
                    <w:snapToGrid w:val="0"/>
                    <w:jc w:val="center"/>
                    <w:rPr>
                      <w:szCs w:val="21"/>
                    </w:rPr>
                  </w:pPr>
                </w:p>
              </w:tc>
              <w:tc>
                <w:tcPr>
                  <w:tcW w:w="688" w:type="dxa"/>
                  <w:vMerge w:val="continue"/>
                  <w:tcMar>
                    <w:top w:w="0" w:type="dxa"/>
                    <w:left w:w="28" w:type="dxa"/>
                    <w:bottom w:w="0" w:type="dxa"/>
                    <w:right w:w="28" w:type="dxa"/>
                  </w:tcMar>
                  <w:vAlign w:val="center"/>
                </w:tcPr>
                <w:p w14:paraId="520ACF54">
                  <w:pPr>
                    <w:autoSpaceDE w:val="0"/>
                    <w:autoSpaceDN w:val="0"/>
                    <w:adjustRightInd w:val="0"/>
                    <w:snapToGrid w:val="0"/>
                    <w:jc w:val="center"/>
                    <w:rPr>
                      <w:szCs w:val="21"/>
                      <w:lang w:val="pt-BR"/>
                    </w:rPr>
                  </w:pPr>
                </w:p>
              </w:tc>
              <w:tc>
                <w:tcPr>
                  <w:tcW w:w="709" w:type="dxa"/>
                  <w:vMerge w:val="continue"/>
                  <w:vAlign w:val="center"/>
                </w:tcPr>
                <w:p w14:paraId="520ACF55">
                  <w:pPr>
                    <w:autoSpaceDE w:val="0"/>
                    <w:autoSpaceDN w:val="0"/>
                    <w:adjustRightInd w:val="0"/>
                    <w:snapToGrid w:val="0"/>
                    <w:jc w:val="center"/>
                    <w:rPr>
                      <w:szCs w:val="21"/>
                    </w:rPr>
                  </w:pPr>
                </w:p>
              </w:tc>
              <w:tc>
                <w:tcPr>
                  <w:tcW w:w="1134" w:type="dxa"/>
                  <w:tcMar>
                    <w:top w:w="0" w:type="dxa"/>
                    <w:left w:w="28" w:type="dxa"/>
                    <w:bottom w:w="0" w:type="dxa"/>
                    <w:right w:w="28" w:type="dxa"/>
                  </w:tcMar>
                  <w:vAlign w:val="center"/>
                </w:tcPr>
                <w:p w14:paraId="520ACF56">
                  <w:pPr>
                    <w:autoSpaceDE w:val="0"/>
                    <w:autoSpaceDN w:val="0"/>
                    <w:adjustRightInd w:val="0"/>
                    <w:snapToGrid w:val="0"/>
                    <w:jc w:val="center"/>
                    <w:rPr>
                      <w:szCs w:val="21"/>
                    </w:rPr>
                  </w:pPr>
                  <w:r>
                    <w:rPr>
                      <w:szCs w:val="21"/>
                    </w:rPr>
                    <w:t>排气筒DA0</w:t>
                  </w:r>
                  <w:r>
                    <w:rPr>
                      <w:rFonts w:hint="eastAsia"/>
                      <w:szCs w:val="21"/>
                    </w:rPr>
                    <w:t>26</w:t>
                  </w:r>
                </w:p>
              </w:tc>
              <w:tc>
                <w:tcPr>
                  <w:tcW w:w="992" w:type="dxa"/>
                  <w:tcMar>
                    <w:top w:w="0" w:type="dxa"/>
                    <w:left w:w="28" w:type="dxa"/>
                    <w:bottom w:w="0" w:type="dxa"/>
                    <w:right w:w="28" w:type="dxa"/>
                  </w:tcMar>
                  <w:vAlign w:val="center"/>
                </w:tcPr>
                <w:p w14:paraId="520ACF57">
                  <w:pPr>
                    <w:autoSpaceDE w:val="0"/>
                    <w:autoSpaceDN w:val="0"/>
                    <w:adjustRightInd w:val="0"/>
                    <w:snapToGrid w:val="0"/>
                    <w:jc w:val="center"/>
                    <w:rPr>
                      <w:szCs w:val="21"/>
                    </w:rPr>
                  </w:pPr>
                  <w:r>
                    <w:rPr>
                      <w:rFonts w:hint="eastAsia"/>
                      <w:szCs w:val="21"/>
                    </w:rPr>
                    <w:t>1次/年</w:t>
                  </w:r>
                </w:p>
              </w:tc>
              <w:tc>
                <w:tcPr>
                  <w:tcW w:w="4169" w:type="dxa"/>
                  <w:vMerge w:val="continue"/>
                  <w:tcMar>
                    <w:top w:w="0" w:type="dxa"/>
                    <w:left w:w="28" w:type="dxa"/>
                    <w:bottom w:w="0" w:type="dxa"/>
                    <w:right w:w="28" w:type="dxa"/>
                  </w:tcMar>
                  <w:vAlign w:val="center"/>
                </w:tcPr>
                <w:p w14:paraId="520ACF58">
                  <w:pPr>
                    <w:autoSpaceDE w:val="0"/>
                    <w:autoSpaceDN w:val="0"/>
                    <w:adjustRightInd w:val="0"/>
                    <w:snapToGrid w:val="0"/>
                    <w:jc w:val="center"/>
                    <w:rPr>
                      <w:szCs w:val="21"/>
                    </w:rPr>
                  </w:pPr>
                </w:p>
              </w:tc>
            </w:tr>
            <w:tr w14:paraId="520ACF60">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520ACF5A">
                  <w:pPr>
                    <w:autoSpaceDE w:val="0"/>
                    <w:autoSpaceDN w:val="0"/>
                    <w:adjustRightInd w:val="0"/>
                    <w:snapToGrid w:val="0"/>
                    <w:jc w:val="center"/>
                    <w:rPr>
                      <w:szCs w:val="21"/>
                    </w:rPr>
                  </w:pPr>
                </w:p>
              </w:tc>
              <w:tc>
                <w:tcPr>
                  <w:tcW w:w="688" w:type="dxa"/>
                  <w:vMerge w:val="continue"/>
                  <w:tcMar>
                    <w:top w:w="0" w:type="dxa"/>
                    <w:left w:w="28" w:type="dxa"/>
                    <w:bottom w:w="0" w:type="dxa"/>
                    <w:right w:w="28" w:type="dxa"/>
                  </w:tcMar>
                  <w:vAlign w:val="center"/>
                </w:tcPr>
                <w:p w14:paraId="520ACF5B">
                  <w:pPr>
                    <w:autoSpaceDE w:val="0"/>
                    <w:autoSpaceDN w:val="0"/>
                    <w:adjustRightInd w:val="0"/>
                    <w:snapToGrid w:val="0"/>
                    <w:jc w:val="center"/>
                    <w:rPr>
                      <w:szCs w:val="21"/>
                      <w:lang w:val="pt-BR"/>
                    </w:rPr>
                  </w:pPr>
                </w:p>
              </w:tc>
              <w:tc>
                <w:tcPr>
                  <w:tcW w:w="709" w:type="dxa"/>
                  <w:vMerge w:val="continue"/>
                  <w:vAlign w:val="center"/>
                </w:tcPr>
                <w:p w14:paraId="520ACF5C">
                  <w:pPr>
                    <w:autoSpaceDE w:val="0"/>
                    <w:autoSpaceDN w:val="0"/>
                    <w:adjustRightInd w:val="0"/>
                    <w:snapToGrid w:val="0"/>
                    <w:jc w:val="center"/>
                    <w:rPr>
                      <w:szCs w:val="21"/>
                    </w:rPr>
                  </w:pPr>
                </w:p>
              </w:tc>
              <w:tc>
                <w:tcPr>
                  <w:tcW w:w="1134" w:type="dxa"/>
                  <w:tcMar>
                    <w:top w:w="0" w:type="dxa"/>
                    <w:left w:w="28" w:type="dxa"/>
                    <w:bottom w:w="0" w:type="dxa"/>
                    <w:right w:w="28" w:type="dxa"/>
                  </w:tcMar>
                  <w:vAlign w:val="center"/>
                </w:tcPr>
                <w:p w14:paraId="520ACF5D">
                  <w:pPr>
                    <w:autoSpaceDE w:val="0"/>
                    <w:autoSpaceDN w:val="0"/>
                    <w:adjustRightInd w:val="0"/>
                    <w:snapToGrid w:val="0"/>
                    <w:jc w:val="center"/>
                    <w:rPr>
                      <w:szCs w:val="21"/>
                    </w:rPr>
                  </w:pPr>
                  <w:r>
                    <w:rPr>
                      <w:szCs w:val="21"/>
                    </w:rPr>
                    <w:t>排气筒DA0</w:t>
                  </w:r>
                  <w:r>
                    <w:rPr>
                      <w:rFonts w:hint="eastAsia"/>
                      <w:szCs w:val="21"/>
                    </w:rPr>
                    <w:t>25</w:t>
                  </w:r>
                </w:p>
              </w:tc>
              <w:tc>
                <w:tcPr>
                  <w:tcW w:w="992" w:type="dxa"/>
                  <w:tcMar>
                    <w:top w:w="0" w:type="dxa"/>
                    <w:left w:w="28" w:type="dxa"/>
                    <w:bottom w:w="0" w:type="dxa"/>
                    <w:right w:w="28" w:type="dxa"/>
                  </w:tcMar>
                  <w:vAlign w:val="center"/>
                </w:tcPr>
                <w:p w14:paraId="520ACF5E">
                  <w:pPr>
                    <w:autoSpaceDE w:val="0"/>
                    <w:autoSpaceDN w:val="0"/>
                    <w:adjustRightInd w:val="0"/>
                    <w:snapToGrid w:val="0"/>
                    <w:jc w:val="center"/>
                    <w:rPr>
                      <w:szCs w:val="21"/>
                    </w:rPr>
                  </w:pPr>
                  <w:r>
                    <w:rPr>
                      <w:rFonts w:hint="eastAsia"/>
                      <w:szCs w:val="21"/>
                    </w:rPr>
                    <w:t>1次/年</w:t>
                  </w:r>
                </w:p>
              </w:tc>
              <w:tc>
                <w:tcPr>
                  <w:tcW w:w="4169" w:type="dxa"/>
                  <w:vMerge w:val="continue"/>
                  <w:tcMar>
                    <w:top w:w="0" w:type="dxa"/>
                    <w:left w:w="28" w:type="dxa"/>
                    <w:bottom w:w="0" w:type="dxa"/>
                    <w:right w:w="28" w:type="dxa"/>
                  </w:tcMar>
                  <w:vAlign w:val="center"/>
                </w:tcPr>
                <w:p w14:paraId="520ACF5F">
                  <w:pPr>
                    <w:autoSpaceDE w:val="0"/>
                    <w:autoSpaceDN w:val="0"/>
                    <w:adjustRightInd w:val="0"/>
                    <w:snapToGrid w:val="0"/>
                    <w:jc w:val="center"/>
                    <w:rPr>
                      <w:szCs w:val="21"/>
                    </w:rPr>
                  </w:pPr>
                </w:p>
              </w:tc>
            </w:tr>
            <w:tr w14:paraId="520ACF6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520ACF61">
                  <w:pPr>
                    <w:autoSpaceDE w:val="0"/>
                    <w:autoSpaceDN w:val="0"/>
                    <w:adjustRightInd w:val="0"/>
                    <w:snapToGrid w:val="0"/>
                    <w:jc w:val="center"/>
                    <w:rPr>
                      <w:szCs w:val="21"/>
                    </w:rPr>
                  </w:pPr>
                </w:p>
              </w:tc>
              <w:tc>
                <w:tcPr>
                  <w:tcW w:w="7692" w:type="dxa"/>
                  <w:gridSpan w:val="5"/>
                  <w:tcMar>
                    <w:top w:w="0" w:type="dxa"/>
                    <w:left w:w="28" w:type="dxa"/>
                    <w:bottom w:w="0" w:type="dxa"/>
                    <w:right w:w="28" w:type="dxa"/>
                  </w:tcMar>
                  <w:vAlign w:val="center"/>
                </w:tcPr>
                <w:p w14:paraId="520ACF62">
                  <w:pPr>
                    <w:autoSpaceDE w:val="0"/>
                    <w:autoSpaceDN w:val="0"/>
                    <w:adjustRightInd w:val="0"/>
                    <w:snapToGrid w:val="0"/>
                    <w:jc w:val="center"/>
                    <w:rPr>
                      <w:b/>
                      <w:szCs w:val="21"/>
                    </w:rPr>
                  </w:pPr>
                  <w:r>
                    <w:rPr>
                      <w:b/>
                      <w:szCs w:val="21"/>
                    </w:rPr>
                    <w:t>无组织废气</w:t>
                  </w:r>
                </w:p>
              </w:tc>
            </w:tr>
            <w:tr w14:paraId="520ACF6A">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520ACF64">
                  <w:pPr>
                    <w:autoSpaceDE w:val="0"/>
                    <w:autoSpaceDN w:val="0"/>
                    <w:adjustRightInd w:val="0"/>
                    <w:snapToGrid w:val="0"/>
                    <w:jc w:val="center"/>
                    <w:rPr>
                      <w:szCs w:val="21"/>
                    </w:rPr>
                  </w:pPr>
                </w:p>
              </w:tc>
              <w:tc>
                <w:tcPr>
                  <w:tcW w:w="688" w:type="dxa"/>
                  <w:tcMar>
                    <w:top w:w="0" w:type="dxa"/>
                    <w:left w:w="28" w:type="dxa"/>
                    <w:bottom w:w="0" w:type="dxa"/>
                    <w:right w:w="28" w:type="dxa"/>
                  </w:tcMar>
                  <w:vAlign w:val="center"/>
                </w:tcPr>
                <w:p w14:paraId="520ACF65">
                  <w:pPr>
                    <w:autoSpaceDE w:val="0"/>
                    <w:autoSpaceDN w:val="0"/>
                    <w:adjustRightInd w:val="0"/>
                    <w:snapToGrid w:val="0"/>
                    <w:jc w:val="center"/>
                    <w:rPr>
                      <w:szCs w:val="21"/>
                    </w:rPr>
                  </w:pPr>
                  <w:r>
                    <w:rPr>
                      <w:rFonts w:hint="eastAsia"/>
                      <w:szCs w:val="21"/>
                    </w:rPr>
                    <w:t>非甲烷总烃</w:t>
                  </w:r>
                </w:p>
              </w:tc>
              <w:tc>
                <w:tcPr>
                  <w:tcW w:w="709" w:type="dxa"/>
                  <w:vAlign w:val="center"/>
                </w:tcPr>
                <w:p w14:paraId="520ACF66">
                  <w:pPr>
                    <w:autoSpaceDE w:val="0"/>
                    <w:autoSpaceDN w:val="0"/>
                    <w:adjustRightInd w:val="0"/>
                    <w:snapToGrid w:val="0"/>
                    <w:jc w:val="center"/>
                    <w:rPr>
                      <w:szCs w:val="21"/>
                    </w:rPr>
                  </w:pPr>
                  <w:r>
                    <w:rPr>
                      <w:szCs w:val="21"/>
                    </w:rPr>
                    <w:t>排放浓度</w:t>
                  </w:r>
                </w:p>
              </w:tc>
              <w:tc>
                <w:tcPr>
                  <w:tcW w:w="1134" w:type="dxa"/>
                  <w:tcMar>
                    <w:top w:w="0" w:type="dxa"/>
                    <w:left w:w="28" w:type="dxa"/>
                    <w:bottom w:w="0" w:type="dxa"/>
                    <w:right w:w="28" w:type="dxa"/>
                  </w:tcMar>
                  <w:vAlign w:val="center"/>
                </w:tcPr>
                <w:p w14:paraId="520ACF67">
                  <w:pPr>
                    <w:autoSpaceDE w:val="0"/>
                    <w:autoSpaceDN w:val="0"/>
                    <w:adjustRightInd w:val="0"/>
                    <w:snapToGrid w:val="0"/>
                    <w:jc w:val="center"/>
                    <w:rPr>
                      <w:szCs w:val="21"/>
                    </w:rPr>
                  </w:pPr>
                  <w:r>
                    <w:rPr>
                      <w:szCs w:val="21"/>
                    </w:rPr>
                    <w:t>四周厂界</w:t>
                  </w:r>
                </w:p>
              </w:tc>
              <w:tc>
                <w:tcPr>
                  <w:tcW w:w="992" w:type="dxa"/>
                  <w:tcMar>
                    <w:top w:w="0" w:type="dxa"/>
                    <w:left w:w="28" w:type="dxa"/>
                    <w:bottom w:w="0" w:type="dxa"/>
                    <w:right w:w="28" w:type="dxa"/>
                  </w:tcMar>
                  <w:vAlign w:val="center"/>
                </w:tcPr>
                <w:p w14:paraId="520ACF68">
                  <w:pPr>
                    <w:autoSpaceDE w:val="0"/>
                    <w:autoSpaceDN w:val="0"/>
                    <w:adjustRightInd w:val="0"/>
                    <w:snapToGrid w:val="0"/>
                    <w:jc w:val="center"/>
                    <w:rPr>
                      <w:szCs w:val="21"/>
                    </w:rPr>
                  </w:pPr>
                  <w:r>
                    <w:rPr>
                      <w:rFonts w:hint="eastAsia"/>
                      <w:szCs w:val="21"/>
                    </w:rPr>
                    <w:t>1次/半年</w:t>
                  </w:r>
                </w:p>
              </w:tc>
              <w:tc>
                <w:tcPr>
                  <w:tcW w:w="4169" w:type="dxa"/>
                  <w:tcMar>
                    <w:top w:w="0" w:type="dxa"/>
                    <w:left w:w="28" w:type="dxa"/>
                    <w:bottom w:w="0" w:type="dxa"/>
                    <w:right w:w="28" w:type="dxa"/>
                  </w:tcMar>
                  <w:vAlign w:val="center"/>
                </w:tcPr>
                <w:p w14:paraId="520ACF69">
                  <w:pPr>
                    <w:autoSpaceDE w:val="0"/>
                    <w:autoSpaceDN w:val="0"/>
                    <w:adjustRightInd w:val="0"/>
                    <w:snapToGrid w:val="0"/>
                    <w:jc w:val="center"/>
                    <w:rPr>
                      <w:szCs w:val="21"/>
                    </w:rPr>
                  </w:pPr>
                  <w:r>
                    <w:rPr>
                      <w:rFonts w:hint="eastAsia"/>
                      <w:szCs w:val="21"/>
                    </w:rPr>
                    <w:t>《大气污染物综合排放标准》（GB16297-1996）表2二级</w:t>
                  </w:r>
                  <w:r>
                    <w:rPr>
                      <w:rFonts w:hint="eastAsia"/>
                      <w:bCs/>
                      <w:szCs w:val="21"/>
                    </w:rPr>
                    <w:t>非甲烷总烃无组织4</w:t>
                  </w:r>
                  <w:r>
                    <w:rPr>
                      <w:bCs/>
                      <w:szCs w:val="21"/>
                    </w:rPr>
                    <w:t>mg/m</w:t>
                  </w:r>
                  <w:r>
                    <w:rPr>
                      <w:bCs/>
                      <w:szCs w:val="21"/>
                      <w:vertAlign w:val="superscript"/>
                    </w:rPr>
                    <w:t>3</w:t>
                  </w:r>
                  <w:r>
                    <w:rPr>
                      <w:rFonts w:hint="eastAsia"/>
                      <w:szCs w:val="21"/>
                    </w:rPr>
                    <w:t>的限值要求、《关于全省开展工业企业挥发性有机物专项治理工作中排放建议值的通知》（豫环攻坚办[2017]162号）附件2-其他企业边界非甲烷总烃2mg/m</w:t>
                  </w:r>
                  <w:r>
                    <w:rPr>
                      <w:rFonts w:hint="eastAsia"/>
                      <w:szCs w:val="21"/>
                      <w:vertAlign w:val="superscript"/>
                    </w:rPr>
                    <w:t>3</w:t>
                  </w:r>
                  <w:r>
                    <w:rPr>
                      <w:rFonts w:hint="eastAsia"/>
                      <w:szCs w:val="21"/>
                    </w:rPr>
                    <w:t>的限值要求</w:t>
                  </w:r>
                </w:p>
              </w:tc>
            </w:tr>
            <w:tr w14:paraId="07A4F7BF">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8267" w:type="dxa"/>
                  <w:gridSpan w:val="6"/>
                  <w:tcMar>
                    <w:top w:w="0" w:type="dxa"/>
                    <w:left w:w="28" w:type="dxa"/>
                    <w:bottom w:w="0" w:type="dxa"/>
                    <w:right w:w="28" w:type="dxa"/>
                  </w:tcMar>
                  <w:vAlign w:val="center"/>
                </w:tcPr>
                <w:p w14:paraId="76467289">
                  <w:pPr>
                    <w:autoSpaceDE w:val="0"/>
                    <w:autoSpaceDN w:val="0"/>
                    <w:adjustRightInd w:val="0"/>
                    <w:snapToGrid w:val="0"/>
                    <w:jc w:val="center"/>
                    <w:rPr>
                      <w:szCs w:val="21"/>
                    </w:rPr>
                  </w:pPr>
                  <w:r>
                    <w:rPr>
                      <w:rFonts w:hint="eastAsia"/>
                      <w:b/>
                      <w:szCs w:val="21"/>
                    </w:rPr>
                    <w:t>解放路厂区</w:t>
                  </w:r>
                </w:p>
              </w:tc>
            </w:tr>
            <w:tr w14:paraId="3FC079C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tcMar>
                    <w:top w:w="0" w:type="dxa"/>
                    <w:left w:w="28" w:type="dxa"/>
                    <w:bottom w:w="0" w:type="dxa"/>
                    <w:right w:w="28" w:type="dxa"/>
                  </w:tcMar>
                  <w:vAlign w:val="center"/>
                </w:tcPr>
                <w:p w14:paraId="525AE0E9">
                  <w:pPr>
                    <w:autoSpaceDE w:val="0"/>
                    <w:autoSpaceDN w:val="0"/>
                    <w:adjustRightInd w:val="0"/>
                    <w:snapToGrid w:val="0"/>
                    <w:jc w:val="center"/>
                    <w:rPr>
                      <w:szCs w:val="21"/>
                    </w:rPr>
                  </w:pPr>
                  <w:r>
                    <w:rPr>
                      <w:rFonts w:hint="eastAsia"/>
                      <w:szCs w:val="21"/>
                    </w:rPr>
                    <w:t>噪声</w:t>
                  </w:r>
                </w:p>
              </w:tc>
              <w:tc>
                <w:tcPr>
                  <w:tcW w:w="1397" w:type="dxa"/>
                  <w:gridSpan w:val="2"/>
                  <w:tcMar>
                    <w:top w:w="0" w:type="dxa"/>
                    <w:left w:w="28" w:type="dxa"/>
                    <w:bottom w:w="0" w:type="dxa"/>
                    <w:right w:w="28" w:type="dxa"/>
                  </w:tcMar>
                  <w:vAlign w:val="center"/>
                </w:tcPr>
                <w:p w14:paraId="73E3D3DD">
                  <w:pPr>
                    <w:autoSpaceDE w:val="0"/>
                    <w:autoSpaceDN w:val="0"/>
                    <w:adjustRightInd w:val="0"/>
                    <w:snapToGrid w:val="0"/>
                    <w:jc w:val="center"/>
                    <w:rPr>
                      <w:szCs w:val="21"/>
                    </w:rPr>
                  </w:pPr>
                  <w:r>
                    <w:rPr>
                      <w:rFonts w:hint="eastAsia"/>
                      <w:szCs w:val="21"/>
                    </w:rPr>
                    <w:t>等效连续</w:t>
                  </w:r>
                  <w:r>
                    <w:rPr>
                      <w:szCs w:val="21"/>
                    </w:rPr>
                    <w:t>A</w:t>
                  </w:r>
                  <w:r>
                    <w:rPr>
                      <w:rFonts w:hint="eastAsia"/>
                      <w:szCs w:val="21"/>
                    </w:rPr>
                    <w:t>声级</w:t>
                  </w:r>
                </w:p>
              </w:tc>
              <w:tc>
                <w:tcPr>
                  <w:tcW w:w="1134" w:type="dxa"/>
                  <w:tcMar>
                    <w:top w:w="0" w:type="dxa"/>
                    <w:left w:w="28" w:type="dxa"/>
                    <w:bottom w:w="0" w:type="dxa"/>
                    <w:right w:w="28" w:type="dxa"/>
                  </w:tcMar>
                  <w:vAlign w:val="center"/>
                </w:tcPr>
                <w:p w14:paraId="0643AA71">
                  <w:pPr>
                    <w:autoSpaceDE w:val="0"/>
                    <w:autoSpaceDN w:val="0"/>
                    <w:adjustRightInd w:val="0"/>
                    <w:snapToGrid w:val="0"/>
                    <w:jc w:val="center"/>
                    <w:rPr>
                      <w:szCs w:val="21"/>
                    </w:rPr>
                  </w:pPr>
                  <w:r>
                    <w:rPr>
                      <w:rFonts w:hint="eastAsia"/>
                      <w:szCs w:val="21"/>
                    </w:rPr>
                    <w:t>厂区四周厂界外</w:t>
                  </w:r>
                  <w:r>
                    <w:rPr>
                      <w:szCs w:val="21"/>
                    </w:rPr>
                    <w:t>1m</w:t>
                  </w:r>
                  <w:r>
                    <w:rPr>
                      <w:rFonts w:hint="eastAsia"/>
                      <w:szCs w:val="21"/>
                    </w:rPr>
                    <w:t>处</w:t>
                  </w:r>
                </w:p>
              </w:tc>
              <w:tc>
                <w:tcPr>
                  <w:tcW w:w="992" w:type="dxa"/>
                  <w:tcMar>
                    <w:top w:w="0" w:type="dxa"/>
                    <w:left w:w="28" w:type="dxa"/>
                    <w:bottom w:w="0" w:type="dxa"/>
                    <w:right w:w="28" w:type="dxa"/>
                  </w:tcMar>
                  <w:vAlign w:val="center"/>
                </w:tcPr>
                <w:p w14:paraId="6CEE6CEB">
                  <w:pPr>
                    <w:autoSpaceDE w:val="0"/>
                    <w:autoSpaceDN w:val="0"/>
                    <w:adjustRightInd w:val="0"/>
                    <w:snapToGrid w:val="0"/>
                    <w:jc w:val="center"/>
                    <w:rPr>
                      <w:szCs w:val="21"/>
                    </w:rPr>
                  </w:pPr>
                  <w:r>
                    <w:rPr>
                      <w:rFonts w:hint="eastAsia"/>
                      <w:kern w:val="0"/>
                      <w:szCs w:val="21"/>
                    </w:rPr>
                    <w:t>1次/季度</w:t>
                  </w:r>
                </w:p>
              </w:tc>
              <w:tc>
                <w:tcPr>
                  <w:tcW w:w="4169" w:type="dxa"/>
                  <w:tcMar>
                    <w:top w:w="0" w:type="dxa"/>
                    <w:left w:w="28" w:type="dxa"/>
                    <w:bottom w:w="0" w:type="dxa"/>
                    <w:right w:w="28" w:type="dxa"/>
                  </w:tcMar>
                  <w:vAlign w:val="center"/>
                </w:tcPr>
                <w:p w14:paraId="11D5523C">
                  <w:pPr>
                    <w:autoSpaceDE w:val="0"/>
                    <w:autoSpaceDN w:val="0"/>
                    <w:adjustRightInd w:val="0"/>
                    <w:snapToGrid w:val="0"/>
                    <w:jc w:val="center"/>
                    <w:rPr>
                      <w:szCs w:val="21"/>
                    </w:rPr>
                  </w:pPr>
                  <w:r>
                    <w:rPr>
                      <w:kern w:val="0"/>
                      <w:szCs w:val="21"/>
                    </w:rPr>
                    <w:t>《工业企业厂界环境噪声排放标准》（GB12348-2008）</w:t>
                  </w:r>
                  <w:r>
                    <w:rPr>
                      <w:rFonts w:hint="eastAsia"/>
                      <w:bCs/>
                      <w:kern w:val="0"/>
                      <w:szCs w:val="21"/>
                    </w:rPr>
                    <w:t>2</w:t>
                  </w:r>
                  <w:r>
                    <w:rPr>
                      <w:bCs/>
                      <w:kern w:val="0"/>
                      <w:szCs w:val="21"/>
                    </w:rPr>
                    <w:t>类</w:t>
                  </w:r>
                </w:p>
              </w:tc>
            </w:tr>
            <w:tr w14:paraId="39130502">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restart"/>
                  <w:tcMar>
                    <w:top w:w="0" w:type="dxa"/>
                    <w:left w:w="28" w:type="dxa"/>
                    <w:bottom w:w="0" w:type="dxa"/>
                    <w:right w:w="28" w:type="dxa"/>
                  </w:tcMar>
                  <w:vAlign w:val="center"/>
                </w:tcPr>
                <w:p w14:paraId="1385B511">
                  <w:pPr>
                    <w:autoSpaceDE w:val="0"/>
                    <w:autoSpaceDN w:val="0"/>
                    <w:adjustRightInd w:val="0"/>
                    <w:snapToGrid w:val="0"/>
                    <w:jc w:val="center"/>
                    <w:rPr>
                      <w:szCs w:val="21"/>
                    </w:rPr>
                  </w:pPr>
                  <w:r>
                    <w:rPr>
                      <w:rFonts w:hint="eastAsia"/>
                      <w:szCs w:val="21"/>
                    </w:rPr>
                    <w:t>废气</w:t>
                  </w:r>
                </w:p>
              </w:tc>
              <w:tc>
                <w:tcPr>
                  <w:tcW w:w="688" w:type="dxa"/>
                  <w:tcMar>
                    <w:top w:w="0" w:type="dxa"/>
                    <w:left w:w="28" w:type="dxa"/>
                    <w:bottom w:w="0" w:type="dxa"/>
                    <w:right w:w="28" w:type="dxa"/>
                  </w:tcMar>
                  <w:vAlign w:val="center"/>
                </w:tcPr>
                <w:p w14:paraId="0B7FFEA2">
                  <w:pPr>
                    <w:autoSpaceDE w:val="0"/>
                    <w:autoSpaceDN w:val="0"/>
                    <w:adjustRightInd w:val="0"/>
                    <w:snapToGrid w:val="0"/>
                    <w:jc w:val="center"/>
                    <w:rPr>
                      <w:szCs w:val="21"/>
                    </w:rPr>
                  </w:pPr>
                  <w:r>
                    <w:rPr>
                      <w:rFonts w:hint="eastAsia"/>
                      <w:szCs w:val="21"/>
                      <w:lang w:val="pt-BR"/>
                    </w:rPr>
                    <w:t>非甲烷总烃</w:t>
                  </w:r>
                </w:p>
              </w:tc>
              <w:tc>
                <w:tcPr>
                  <w:tcW w:w="709" w:type="dxa"/>
                  <w:vMerge w:val="restart"/>
                  <w:vAlign w:val="center"/>
                </w:tcPr>
                <w:p w14:paraId="48583BD5">
                  <w:pPr>
                    <w:autoSpaceDE w:val="0"/>
                    <w:autoSpaceDN w:val="0"/>
                    <w:adjustRightInd w:val="0"/>
                    <w:snapToGrid w:val="0"/>
                    <w:jc w:val="center"/>
                    <w:rPr>
                      <w:szCs w:val="21"/>
                    </w:rPr>
                  </w:pPr>
                  <w:r>
                    <w:rPr>
                      <w:szCs w:val="21"/>
                    </w:rPr>
                    <w:t>浓度、速率、废气量</w:t>
                  </w:r>
                </w:p>
              </w:tc>
              <w:tc>
                <w:tcPr>
                  <w:tcW w:w="1134" w:type="dxa"/>
                  <w:vMerge w:val="restart"/>
                  <w:tcMar>
                    <w:top w:w="0" w:type="dxa"/>
                    <w:left w:w="28" w:type="dxa"/>
                    <w:bottom w:w="0" w:type="dxa"/>
                    <w:right w:w="28" w:type="dxa"/>
                  </w:tcMar>
                  <w:vAlign w:val="center"/>
                </w:tcPr>
                <w:p w14:paraId="7BFC2FF2">
                  <w:pPr>
                    <w:autoSpaceDE w:val="0"/>
                    <w:autoSpaceDN w:val="0"/>
                    <w:adjustRightInd w:val="0"/>
                    <w:snapToGrid w:val="0"/>
                    <w:jc w:val="center"/>
                    <w:rPr>
                      <w:szCs w:val="21"/>
                    </w:rPr>
                  </w:pPr>
                  <w:r>
                    <w:rPr>
                      <w:szCs w:val="21"/>
                    </w:rPr>
                    <w:t>排气筒DA0</w:t>
                  </w:r>
                  <w:r>
                    <w:rPr>
                      <w:rFonts w:hint="eastAsia"/>
                      <w:szCs w:val="21"/>
                    </w:rPr>
                    <w:t>19</w:t>
                  </w:r>
                </w:p>
              </w:tc>
              <w:tc>
                <w:tcPr>
                  <w:tcW w:w="992" w:type="dxa"/>
                  <w:tcMar>
                    <w:top w:w="0" w:type="dxa"/>
                    <w:left w:w="28" w:type="dxa"/>
                    <w:bottom w:w="0" w:type="dxa"/>
                    <w:right w:w="28" w:type="dxa"/>
                  </w:tcMar>
                  <w:vAlign w:val="center"/>
                </w:tcPr>
                <w:p w14:paraId="14C84164">
                  <w:pPr>
                    <w:autoSpaceDE w:val="0"/>
                    <w:autoSpaceDN w:val="0"/>
                    <w:adjustRightInd w:val="0"/>
                    <w:snapToGrid w:val="0"/>
                    <w:jc w:val="center"/>
                    <w:rPr>
                      <w:szCs w:val="21"/>
                    </w:rPr>
                  </w:pPr>
                  <w:r>
                    <w:rPr>
                      <w:rFonts w:hint="eastAsia"/>
                      <w:szCs w:val="21"/>
                    </w:rPr>
                    <w:t>1次/半年</w:t>
                  </w:r>
                </w:p>
              </w:tc>
              <w:tc>
                <w:tcPr>
                  <w:tcW w:w="4169" w:type="dxa"/>
                  <w:tcMar>
                    <w:top w:w="0" w:type="dxa"/>
                    <w:left w:w="28" w:type="dxa"/>
                    <w:bottom w:w="0" w:type="dxa"/>
                    <w:right w:w="28" w:type="dxa"/>
                  </w:tcMar>
                  <w:vAlign w:val="center"/>
                </w:tcPr>
                <w:p w14:paraId="61815126">
                  <w:pPr>
                    <w:autoSpaceDE w:val="0"/>
                    <w:autoSpaceDN w:val="0"/>
                    <w:adjustRightInd w:val="0"/>
                    <w:snapToGrid w:val="0"/>
                    <w:jc w:val="center"/>
                    <w:rPr>
                      <w:szCs w:val="21"/>
                    </w:rPr>
                  </w:pPr>
                  <w:r>
                    <w:rPr>
                      <w:rFonts w:hint="eastAsia"/>
                      <w:szCs w:val="21"/>
                    </w:rPr>
                    <w:t>《橡胶制品工业污染物排放标准》（GB27632-2011）中非甲烷总烃10</w:t>
                  </w:r>
                  <w:r>
                    <w:rPr>
                      <w:szCs w:val="21"/>
                    </w:rPr>
                    <w:t>mg/m</w:t>
                  </w:r>
                  <w:r>
                    <w:rPr>
                      <w:szCs w:val="21"/>
                      <w:vertAlign w:val="superscript"/>
                    </w:rPr>
                    <w:t>3</w:t>
                  </w:r>
                  <w:r>
                    <w:rPr>
                      <w:rFonts w:hint="eastAsia"/>
                      <w:szCs w:val="21"/>
                    </w:rPr>
                    <w:t>及</w:t>
                  </w:r>
                  <w:r>
                    <w:rPr>
                      <w:rFonts w:hint="eastAsia"/>
                      <w:bCs/>
                      <w:szCs w:val="21"/>
                    </w:rPr>
                    <w:t>基准排气量2000m</w:t>
                  </w:r>
                  <w:r>
                    <w:rPr>
                      <w:rFonts w:hint="eastAsia"/>
                      <w:bCs/>
                      <w:szCs w:val="21"/>
                      <w:vertAlign w:val="superscript"/>
                    </w:rPr>
                    <w:t>3</w:t>
                  </w:r>
                  <w:r>
                    <w:rPr>
                      <w:rFonts w:hint="eastAsia"/>
                      <w:bCs/>
                      <w:szCs w:val="21"/>
                    </w:rPr>
                    <w:t>/t胶</w:t>
                  </w:r>
                  <w:r>
                    <w:rPr>
                      <w:rFonts w:hint="eastAsia"/>
                      <w:szCs w:val="21"/>
                    </w:rPr>
                    <w:t>的标准限值要求</w:t>
                  </w:r>
                  <w:r>
                    <w:rPr>
                      <w:rFonts w:hint="eastAsia"/>
                      <w:bCs/>
                      <w:szCs w:val="21"/>
                    </w:rPr>
                    <w:t>，《关于全省开展工业企业挥发性有机物专项治理工作中排放建议值的通知》（豫环攻坚办[2017]162号）其他行业</w:t>
                  </w:r>
                  <w:r>
                    <w:rPr>
                      <w:rFonts w:hint="eastAsia"/>
                      <w:szCs w:val="21"/>
                    </w:rPr>
                    <w:t>80</w:t>
                  </w:r>
                  <w:r>
                    <w:rPr>
                      <w:szCs w:val="21"/>
                    </w:rPr>
                    <w:t>mg/m</w:t>
                  </w:r>
                  <w:r>
                    <w:rPr>
                      <w:szCs w:val="21"/>
                      <w:vertAlign w:val="superscript"/>
                    </w:rPr>
                    <w:t>3</w:t>
                  </w:r>
                  <w:r>
                    <w:rPr>
                      <w:szCs w:val="21"/>
                    </w:rPr>
                    <w:t>（</w:t>
                  </w:r>
                  <w:r>
                    <w:rPr>
                      <w:rFonts w:hint="eastAsia"/>
                      <w:szCs w:val="21"/>
                    </w:rPr>
                    <w:t>去除效率70%</w:t>
                  </w:r>
                  <w:r>
                    <w:rPr>
                      <w:szCs w:val="21"/>
                    </w:rPr>
                    <w:t>）</w:t>
                  </w:r>
                  <w:r>
                    <w:rPr>
                      <w:rFonts w:hint="eastAsia"/>
                      <w:szCs w:val="21"/>
                    </w:rPr>
                    <w:t>的标准限值要求</w:t>
                  </w:r>
                </w:p>
              </w:tc>
            </w:tr>
            <w:tr w14:paraId="6024273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78B813EA">
                  <w:pPr>
                    <w:autoSpaceDE w:val="0"/>
                    <w:autoSpaceDN w:val="0"/>
                    <w:adjustRightInd w:val="0"/>
                    <w:snapToGrid w:val="0"/>
                    <w:jc w:val="center"/>
                    <w:rPr>
                      <w:szCs w:val="21"/>
                    </w:rPr>
                  </w:pPr>
                </w:p>
              </w:tc>
              <w:tc>
                <w:tcPr>
                  <w:tcW w:w="688" w:type="dxa"/>
                  <w:tcMar>
                    <w:top w:w="0" w:type="dxa"/>
                    <w:left w:w="28" w:type="dxa"/>
                    <w:bottom w:w="0" w:type="dxa"/>
                    <w:right w:w="28" w:type="dxa"/>
                  </w:tcMar>
                  <w:vAlign w:val="center"/>
                </w:tcPr>
                <w:p w14:paraId="48E0E7A7">
                  <w:pPr>
                    <w:autoSpaceDE w:val="0"/>
                    <w:autoSpaceDN w:val="0"/>
                    <w:adjustRightInd w:val="0"/>
                    <w:snapToGrid w:val="0"/>
                    <w:jc w:val="center"/>
                    <w:rPr>
                      <w:szCs w:val="21"/>
                    </w:rPr>
                  </w:pPr>
                  <w:r>
                    <w:rPr>
                      <w:rFonts w:hint="eastAsia"/>
                      <w:szCs w:val="21"/>
                      <w:lang w:val="pt-BR"/>
                    </w:rPr>
                    <w:t>硫化氢</w:t>
                  </w:r>
                </w:p>
              </w:tc>
              <w:tc>
                <w:tcPr>
                  <w:tcW w:w="709" w:type="dxa"/>
                  <w:vMerge w:val="continue"/>
                  <w:vAlign w:val="center"/>
                </w:tcPr>
                <w:p w14:paraId="7723BE04">
                  <w:pPr>
                    <w:autoSpaceDE w:val="0"/>
                    <w:autoSpaceDN w:val="0"/>
                    <w:adjustRightInd w:val="0"/>
                    <w:snapToGrid w:val="0"/>
                    <w:jc w:val="center"/>
                    <w:rPr>
                      <w:szCs w:val="21"/>
                    </w:rPr>
                  </w:pPr>
                </w:p>
              </w:tc>
              <w:tc>
                <w:tcPr>
                  <w:tcW w:w="1134" w:type="dxa"/>
                  <w:vMerge w:val="continue"/>
                  <w:tcMar>
                    <w:top w:w="0" w:type="dxa"/>
                    <w:left w:w="28" w:type="dxa"/>
                    <w:bottom w:w="0" w:type="dxa"/>
                    <w:right w:w="28" w:type="dxa"/>
                  </w:tcMar>
                  <w:vAlign w:val="center"/>
                </w:tcPr>
                <w:p w14:paraId="313DA32E">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24A9DBC7">
                  <w:pPr>
                    <w:autoSpaceDE w:val="0"/>
                    <w:autoSpaceDN w:val="0"/>
                    <w:adjustRightInd w:val="0"/>
                    <w:snapToGrid w:val="0"/>
                    <w:jc w:val="center"/>
                    <w:rPr>
                      <w:szCs w:val="21"/>
                    </w:rPr>
                  </w:pPr>
                  <w:r>
                    <w:rPr>
                      <w:rFonts w:hint="eastAsia"/>
                      <w:szCs w:val="21"/>
                    </w:rPr>
                    <w:t>1次/年</w:t>
                  </w:r>
                </w:p>
              </w:tc>
              <w:tc>
                <w:tcPr>
                  <w:tcW w:w="4169" w:type="dxa"/>
                  <w:tcMar>
                    <w:top w:w="0" w:type="dxa"/>
                    <w:left w:w="28" w:type="dxa"/>
                    <w:bottom w:w="0" w:type="dxa"/>
                    <w:right w:w="28" w:type="dxa"/>
                  </w:tcMar>
                  <w:vAlign w:val="center"/>
                </w:tcPr>
                <w:p w14:paraId="23612062">
                  <w:pPr>
                    <w:autoSpaceDE w:val="0"/>
                    <w:autoSpaceDN w:val="0"/>
                    <w:adjustRightInd w:val="0"/>
                    <w:snapToGrid w:val="0"/>
                    <w:jc w:val="center"/>
                    <w:rPr>
                      <w:szCs w:val="21"/>
                    </w:rPr>
                  </w:pPr>
                  <w:r>
                    <w:rPr>
                      <w:rFonts w:hint="eastAsia"/>
                      <w:bCs/>
                      <w:szCs w:val="21"/>
                    </w:rPr>
                    <w:t>《恶臭污染物排放标准》（GB 14554-93）表2 0.33</w:t>
                  </w:r>
                  <w:r>
                    <w:rPr>
                      <w:bCs/>
                      <w:szCs w:val="21"/>
                    </w:rPr>
                    <w:t>kg/h</w:t>
                  </w:r>
                  <w:r>
                    <w:rPr>
                      <w:rFonts w:hint="eastAsia"/>
                      <w:bCs/>
                      <w:szCs w:val="21"/>
                    </w:rPr>
                    <w:t>的限值要求</w:t>
                  </w:r>
                </w:p>
              </w:tc>
            </w:tr>
            <w:tr w14:paraId="31F20B09">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6B5B2EFB">
                  <w:pPr>
                    <w:autoSpaceDE w:val="0"/>
                    <w:autoSpaceDN w:val="0"/>
                    <w:adjustRightInd w:val="0"/>
                    <w:snapToGrid w:val="0"/>
                    <w:jc w:val="center"/>
                    <w:rPr>
                      <w:szCs w:val="21"/>
                    </w:rPr>
                  </w:pPr>
                </w:p>
              </w:tc>
              <w:tc>
                <w:tcPr>
                  <w:tcW w:w="688" w:type="dxa"/>
                  <w:tcMar>
                    <w:top w:w="0" w:type="dxa"/>
                    <w:left w:w="28" w:type="dxa"/>
                    <w:bottom w:w="0" w:type="dxa"/>
                    <w:right w:w="28" w:type="dxa"/>
                  </w:tcMar>
                  <w:vAlign w:val="center"/>
                </w:tcPr>
                <w:p w14:paraId="24263E8F">
                  <w:pPr>
                    <w:autoSpaceDE w:val="0"/>
                    <w:autoSpaceDN w:val="0"/>
                    <w:adjustRightInd w:val="0"/>
                    <w:snapToGrid w:val="0"/>
                    <w:jc w:val="center"/>
                    <w:rPr>
                      <w:szCs w:val="21"/>
                    </w:rPr>
                  </w:pPr>
                  <w:r>
                    <w:rPr>
                      <w:rFonts w:hint="eastAsia"/>
                      <w:szCs w:val="21"/>
                      <w:lang w:val="pt-BR"/>
                    </w:rPr>
                    <w:t>臭气浓度</w:t>
                  </w:r>
                </w:p>
              </w:tc>
              <w:tc>
                <w:tcPr>
                  <w:tcW w:w="709" w:type="dxa"/>
                  <w:vMerge w:val="continue"/>
                  <w:vAlign w:val="center"/>
                </w:tcPr>
                <w:p w14:paraId="6A3AB2A9">
                  <w:pPr>
                    <w:autoSpaceDE w:val="0"/>
                    <w:autoSpaceDN w:val="0"/>
                    <w:adjustRightInd w:val="0"/>
                    <w:snapToGrid w:val="0"/>
                    <w:jc w:val="center"/>
                    <w:rPr>
                      <w:szCs w:val="21"/>
                    </w:rPr>
                  </w:pPr>
                </w:p>
              </w:tc>
              <w:tc>
                <w:tcPr>
                  <w:tcW w:w="1134" w:type="dxa"/>
                  <w:vMerge w:val="continue"/>
                  <w:tcMar>
                    <w:top w:w="0" w:type="dxa"/>
                    <w:left w:w="28" w:type="dxa"/>
                    <w:bottom w:w="0" w:type="dxa"/>
                    <w:right w:w="28" w:type="dxa"/>
                  </w:tcMar>
                  <w:vAlign w:val="center"/>
                </w:tcPr>
                <w:p w14:paraId="68E4FEDE">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3412860E">
                  <w:pPr>
                    <w:autoSpaceDE w:val="0"/>
                    <w:autoSpaceDN w:val="0"/>
                    <w:adjustRightInd w:val="0"/>
                    <w:snapToGrid w:val="0"/>
                    <w:jc w:val="center"/>
                    <w:rPr>
                      <w:szCs w:val="21"/>
                    </w:rPr>
                  </w:pPr>
                  <w:r>
                    <w:rPr>
                      <w:rFonts w:hint="eastAsia"/>
                      <w:szCs w:val="21"/>
                    </w:rPr>
                    <w:t>1次/年</w:t>
                  </w:r>
                </w:p>
              </w:tc>
              <w:tc>
                <w:tcPr>
                  <w:tcW w:w="4169" w:type="dxa"/>
                  <w:tcMar>
                    <w:top w:w="0" w:type="dxa"/>
                    <w:left w:w="28" w:type="dxa"/>
                    <w:bottom w:w="0" w:type="dxa"/>
                    <w:right w:w="28" w:type="dxa"/>
                  </w:tcMar>
                  <w:vAlign w:val="center"/>
                </w:tcPr>
                <w:p w14:paraId="45ADA725">
                  <w:pPr>
                    <w:autoSpaceDE w:val="0"/>
                    <w:autoSpaceDN w:val="0"/>
                    <w:adjustRightInd w:val="0"/>
                    <w:snapToGrid w:val="0"/>
                    <w:jc w:val="center"/>
                    <w:rPr>
                      <w:szCs w:val="21"/>
                    </w:rPr>
                  </w:pPr>
                  <w:r>
                    <w:rPr>
                      <w:rFonts w:hint="eastAsia"/>
                      <w:bCs/>
                      <w:szCs w:val="21"/>
                    </w:rPr>
                    <w:t>《恶臭污染物排放标准》（GB 14554-93）表2 2000（无量纲）的限值要求</w:t>
                  </w:r>
                </w:p>
              </w:tc>
            </w:tr>
            <w:tr w14:paraId="1DABE46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4B8872C5">
                  <w:pPr>
                    <w:autoSpaceDE w:val="0"/>
                    <w:autoSpaceDN w:val="0"/>
                    <w:adjustRightInd w:val="0"/>
                    <w:snapToGrid w:val="0"/>
                    <w:jc w:val="center"/>
                    <w:rPr>
                      <w:szCs w:val="21"/>
                    </w:rPr>
                  </w:pPr>
                </w:p>
              </w:tc>
              <w:tc>
                <w:tcPr>
                  <w:tcW w:w="688" w:type="dxa"/>
                  <w:tcMar>
                    <w:top w:w="0" w:type="dxa"/>
                    <w:left w:w="28" w:type="dxa"/>
                    <w:bottom w:w="0" w:type="dxa"/>
                    <w:right w:w="28" w:type="dxa"/>
                  </w:tcMar>
                  <w:vAlign w:val="center"/>
                </w:tcPr>
                <w:p w14:paraId="4CA7CBBA">
                  <w:pPr>
                    <w:autoSpaceDE w:val="0"/>
                    <w:autoSpaceDN w:val="0"/>
                    <w:adjustRightInd w:val="0"/>
                    <w:snapToGrid w:val="0"/>
                    <w:jc w:val="center"/>
                    <w:rPr>
                      <w:szCs w:val="21"/>
                    </w:rPr>
                  </w:pPr>
                  <w:r>
                    <w:rPr>
                      <w:rFonts w:hint="eastAsia"/>
                      <w:szCs w:val="21"/>
                    </w:rPr>
                    <w:t>SO</w:t>
                  </w:r>
                  <w:r>
                    <w:rPr>
                      <w:rFonts w:hint="eastAsia"/>
                      <w:szCs w:val="21"/>
                      <w:vertAlign w:val="subscript"/>
                    </w:rPr>
                    <w:t>2</w:t>
                  </w:r>
                </w:p>
              </w:tc>
              <w:tc>
                <w:tcPr>
                  <w:tcW w:w="709" w:type="dxa"/>
                  <w:vMerge w:val="continue"/>
                  <w:vAlign w:val="center"/>
                </w:tcPr>
                <w:p w14:paraId="5C3F8871">
                  <w:pPr>
                    <w:autoSpaceDE w:val="0"/>
                    <w:autoSpaceDN w:val="0"/>
                    <w:adjustRightInd w:val="0"/>
                    <w:snapToGrid w:val="0"/>
                    <w:jc w:val="center"/>
                    <w:rPr>
                      <w:szCs w:val="21"/>
                    </w:rPr>
                  </w:pPr>
                </w:p>
              </w:tc>
              <w:tc>
                <w:tcPr>
                  <w:tcW w:w="1134" w:type="dxa"/>
                  <w:vMerge w:val="continue"/>
                  <w:tcMar>
                    <w:top w:w="0" w:type="dxa"/>
                    <w:left w:w="28" w:type="dxa"/>
                    <w:bottom w:w="0" w:type="dxa"/>
                    <w:right w:w="28" w:type="dxa"/>
                  </w:tcMar>
                  <w:vAlign w:val="center"/>
                </w:tcPr>
                <w:p w14:paraId="0C624A25">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31C320EB">
                  <w:pPr>
                    <w:autoSpaceDE w:val="0"/>
                    <w:autoSpaceDN w:val="0"/>
                    <w:adjustRightInd w:val="0"/>
                    <w:snapToGrid w:val="0"/>
                    <w:jc w:val="center"/>
                    <w:rPr>
                      <w:szCs w:val="21"/>
                    </w:rPr>
                  </w:pPr>
                  <w:r>
                    <w:rPr>
                      <w:rFonts w:hint="eastAsia"/>
                      <w:szCs w:val="21"/>
                    </w:rPr>
                    <w:t>1次/年</w:t>
                  </w:r>
                </w:p>
              </w:tc>
              <w:tc>
                <w:tcPr>
                  <w:tcW w:w="4169" w:type="dxa"/>
                  <w:tcMar>
                    <w:top w:w="0" w:type="dxa"/>
                    <w:left w:w="28" w:type="dxa"/>
                    <w:bottom w:w="0" w:type="dxa"/>
                    <w:right w:w="28" w:type="dxa"/>
                  </w:tcMar>
                  <w:vAlign w:val="center"/>
                </w:tcPr>
                <w:p w14:paraId="25D2A90B">
                  <w:pPr>
                    <w:autoSpaceDE w:val="0"/>
                    <w:autoSpaceDN w:val="0"/>
                    <w:adjustRightInd w:val="0"/>
                    <w:snapToGrid w:val="0"/>
                    <w:jc w:val="center"/>
                    <w:rPr>
                      <w:szCs w:val="21"/>
                    </w:rPr>
                  </w:pPr>
                  <w:r>
                    <w:rPr>
                      <w:rFonts w:hint="eastAsia"/>
                      <w:szCs w:val="21"/>
                    </w:rPr>
                    <w:t>《大气污染物综合排放标准》（GB16297-1996）表2二级</w:t>
                  </w:r>
                  <w:r>
                    <w:rPr>
                      <w:rFonts w:hint="eastAsia"/>
                      <w:bCs/>
                      <w:szCs w:val="21"/>
                    </w:rPr>
                    <w:t>SO</w:t>
                  </w:r>
                  <w:r>
                    <w:rPr>
                      <w:rFonts w:hint="eastAsia"/>
                      <w:bCs/>
                      <w:szCs w:val="21"/>
                      <w:vertAlign w:val="subscript"/>
                    </w:rPr>
                    <w:t>2</w:t>
                  </w:r>
                  <w:r>
                    <w:rPr>
                      <w:rFonts w:hint="eastAsia"/>
                      <w:bCs/>
                      <w:szCs w:val="21"/>
                    </w:rPr>
                    <w:t xml:space="preserve"> 550mg/m</w:t>
                  </w:r>
                  <w:r>
                    <w:rPr>
                      <w:rFonts w:hint="eastAsia"/>
                      <w:bCs/>
                      <w:szCs w:val="21"/>
                      <w:vertAlign w:val="superscript"/>
                    </w:rPr>
                    <w:t>3</w:t>
                  </w:r>
                  <w:r>
                    <w:rPr>
                      <w:rFonts w:hint="eastAsia"/>
                      <w:szCs w:val="21"/>
                    </w:rPr>
                    <w:t>的标准限值要求，同时</w:t>
                  </w:r>
                  <w:r>
                    <w:rPr>
                      <w:bCs/>
                      <w:szCs w:val="21"/>
                    </w:rPr>
                    <w:t>能够满足</w:t>
                  </w:r>
                  <w:r>
                    <w:rPr>
                      <w:rFonts w:hint="eastAsia"/>
                      <w:bCs/>
                      <w:szCs w:val="21"/>
                    </w:rPr>
                    <w:t>《新乡市环境污染防治攻坚指挥部办公室关于规范焚烧炉正常运行的环保管理意见》废气焚烧炉（SO</w:t>
                  </w:r>
                  <w:r>
                    <w:rPr>
                      <w:rFonts w:hint="eastAsia"/>
                      <w:bCs/>
                      <w:szCs w:val="21"/>
                      <w:vertAlign w:val="subscript"/>
                    </w:rPr>
                    <w:t>2</w:t>
                  </w:r>
                  <w:r>
                    <w:rPr>
                      <w:rFonts w:hint="eastAsia"/>
                      <w:bCs/>
                      <w:szCs w:val="21"/>
                    </w:rPr>
                    <w:t xml:space="preserve"> 20mg/m</w:t>
                  </w:r>
                  <w:r>
                    <w:rPr>
                      <w:rFonts w:hint="eastAsia"/>
                      <w:bCs/>
                      <w:szCs w:val="21"/>
                      <w:vertAlign w:val="superscript"/>
                    </w:rPr>
                    <w:t>3</w:t>
                  </w:r>
                  <w:r>
                    <w:rPr>
                      <w:rFonts w:hint="eastAsia"/>
                      <w:bCs/>
                      <w:szCs w:val="21"/>
                    </w:rPr>
                    <w:t>）的限值要求</w:t>
                  </w:r>
                </w:p>
              </w:tc>
            </w:tr>
            <w:tr w14:paraId="164C964D">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4349EF6C">
                  <w:pPr>
                    <w:autoSpaceDE w:val="0"/>
                    <w:autoSpaceDN w:val="0"/>
                    <w:adjustRightInd w:val="0"/>
                    <w:snapToGrid w:val="0"/>
                    <w:jc w:val="center"/>
                    <w:rPr>
                      <w:szCs w:val="21"/>
                    </w:rPr>
                  </w:pPr>
                </w:p>
              </w:tc>
              <w:tc>
                <w:tcPr>
                  <w:tcW w:w="7692" w:type="dxa"/>
                  <w:gridSpan w:val="5"/>
                  <w:tcMar>
                    <w:top w:w="0" w:type="dxa"/>
                    <w:left w:w="28" w:type="dxa"/>
                    <w:bottom w:w="0" w:type="dxa"/>
                    <w:right w:w="28" w:type="dxa"/>
                  </w:tcMar>
                  <w:vAlign w:val="center"/>
                </w:tcPr>
                <w:p w14:paraId="7BCA2DD1">
                  <w:pPr>
                    <w:autoSpaceDE w:val="0"/>
                    <w:autoSpaceDN w:val="0"/>
                    <w:adjustRightInd w:val="0"/>
                    <w:snapToGrid w:val="0"/>
                    <w:jc w:val="center"/>
                    <w:rPr>
                      <w:szCs w:val="21"/>
                    </w:rPr>
                  </w:pPr>
                  <w:r>
                    <w:rPr>
                      <w:b/>
                      <w:szCs w:val="21"/>
                    </w:rPr>
                    <w:t>无组织废气</w:t>
                  </w:r>
                </w:p>
              </w:tc>
            </w:tr>
            <w:tr w14:paraId="05EEDBC3">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3313F56F">
                  <w:pPr>
                    <w:autoSpaceDE w:val="0"/>
                    <w:autoSpaceDN w:val="0"/>
                    <w:adjustRightInd w:val="0"/>
                    <w:snapToGrid w:val="0"/>
                    <w:jc w:val="center"/>
                    <w:rPr>
                      <w:szCs w:val="21"/>
                    </w:rPr>
                  </w:pPr>
                </w:p>
              </w:tc>
              <w:tc>
                <w:tcPr>
                  <w:tcW w:w="688" w:type="dxa"/>
                  <w:tcMar>
                    <w:top w:w="0" w:type="dxa"/>
                    <w:left w:w="28" w:type="dxa"/>
                    <w:bottom w:w="0" w:type="dxa"/>
                    <w:right w:w="28" w:type="dxa"/>
                  </w:tcMar>
                  <w:vAlign w:val="center"/>
                </w:tcPr>
                <w:p w14:paraId="1FBB6377">
                  <w:pPr>
                    <w:autoSpaceDE w:val="0"/>
                    <w:autoSpaceDN w:val="0"/>
                    <w:adjustRightInd w:val="0"/>
                    <w:snapToGrid w:val="0"/>
                    <w:jc w:val="center"/>
                    <w:rPr>
                      <w:szCs w:val="21"/>
                    </w:rPr>
                  </w:pPr>
                  <w:r>
                    <w:rPr>
                      <w:rFonts w:hint="eastAsia"/>
                      <w:szCs w:val="21"/>
                      <w:lang w:val="pt-BR"/>
                    </w:rPr>
                    <w:t>非甲烷总烃</w:t>
                  </w:r>
                </w:p>
              </w:tc>
              <w:tc>
                <w:tcPr>
                  <w:tcW w:w="709" w:type="dxa"/>
                  <w:vMerge w:val="restart"/>
                  <w:vAlign w:val="center"/>
                </w:tcPr>
                <w:p w14:paraId="72E39249">
                  <w:pPr>
                    <w:autoSpaceDE w:val="0"/>
                    <w:autoSpaceDN w:val="0"/>
                    <w:adjustRightInd w:val="0"/>
                    <w:snapToGrid w:val="0"/>
                    <w:jc w:val="center"/>
                    <w:rPr>
                      <w:szCs w:val="21"/>
                    </w:rPr>
                  </w:pPr>
                  <w:r>
                    <w:rPr>
                      <w:szCs w:val="21"/>
                    </w:rPr>
                    <w:t>排放浓度</w:t>
                  </w:r>
                </w:p>
              </w:tc>
              <w:tc>
                <w:tcPr>
                  <w:tcW w:w="1134" w:type="dxa"/>
                  <w:vMerge w:val="restart"/>
                  <w:tcMar>
                    <w:top w:w="0" w:type="dxa"/>
                    <w:left w:w="28" w:type="dxa"/>
                    <w:bottom w:w="0" w:type="dxa"/>
                    <w:right w:w="28" w:type="dxa"/>
                  </w:tcMar>
                  <w:vAlign w:val="center"/>
                </w:tcPr>
                <w:p w14:paraId="1F6FF45B">
                  <w:pPr>
                    <w:autoSpaceDE w:val="0"/>
                    <w:autoSpaceDN w:val="0"/>
                    <w:adjustRightInd w:val="0"/>
                    <w:snapToGrid w:val="0"/>
                    <w:jc w:val="center"/>
                    <w:rPr>
                      <w:szCs w:val="21"/>
                    </w:rPr>
                  </w:pPr>
                  <w:r>
                    <w:rPr>
                      <w:szCs w:val="21"/>
                    </w:rPr>
                    <w:t>四周厂界</w:t>
                  </w:r>
                </w:p>
              </w:tc>
              <w:tc>
                <w:tcPr>
                  <w:tcW w:w="992" w:type="dxa"/>
                  <w:tcMar>
                    <w:top w:w="0" w:type="dxa"/>
                    <w:left w:w="28" w:type="dxa"/>
                    <w:bottom w:w="0" w:type="dxa"/>
                    <w:right w:w="28" w:type="dxa"/>
                  </w:tcMar>
                  <w:vAlign w:val="center"/>
                </w:tcPr>
                <w:p w14:paraId="24FE0806">
                  <w:pPr>
                    <w:autoSpaceDE w:val="0"/>
                    <w:autoSpaceDN w:val="0"/>
                    <w:adjustRightInd w:val="0"/>
                    <w:snapToGrid w:val="0"/>
                    <w:jc w:val="center"/>
                    <w:rPr>
                      <w:szCs w:val="21"/>
                    </w:rPr>
                  </w:pPr>
                  <w:r>
                    <w:rPr>
                      <w:rFonts w:hint="eastAsia"/>
                      <w:szCs w:val="21"/>
                    </w:rPr>
                    <w:t>1次/年</w:t>
                  </w:r>
                </w:p>
              </w:tc>
              <w:tc>
                <w:tcPr>
                  <w:tcW w:w="4169" w:type="dxa"/>
                  <w:tcMar>
                    <w:top w:w="0" w:type="dxa"/>
                    <w:left w:w="28" w:type="dxa"/>
                    <w:bottom w:w="0" w:type="dxa"/>
                    <w:right w:w="28" w:type="dxa"/>
                  </w:tcMar>
                  <w:vAlign w:val="center"/>
                </w:tcPr>
                <w:p w14:paraId="4086942A">
                  <w:pPr>
                    <w:autoSpaceDE w:val="0"/>
                    <w:autoSpaceDN w:val="0"/>
                    <w:adjustRightInd w:val="0"/>
                    <w:snapToGrid w:val="0"/>
                    <w:jc w:val="center"/>
                    <w:rPr>
                      <w:szCs w:val="21"/>
                    </w:rPr>
                  </w:pPr>
                  <w:r>
                    <w:rPr>
                      <w:rFonts w:hint="eastAsia"/>
                      <w:szCs w:val="21"/>
                    </w:rPr>
                    <w:t>《橡胶制品工业污染物排放标准》（GB27632-2011）中</w:t>
                  </w:r>
                  <w:r>
                    <w:rPr>
                      <w:rFonts w:hint="eastAsia"/>
                      <w:bCs/>
                      <w:szCs w:val="21"/>
                    </w:rPr>
                    <w:t>非甲烷总烃无组织4</w:t>
                  </w:r>
                  <w:r>
                    <w:rPr>
                      <w:bCs/>
                      <w:szCs w:val="21"/>
                    </w:rPr>
                    <w:t>mg/m</w:t>
                  </w:r>
                  <w:r>
                    <w:rPr>
                      <w:bCs/>
                      <w:szCs w:val="21"/>
                      <w:vertAlign w:val="superscript"/>
                    </w:rPr>
                    <w:t>3</w:t>
                  </w:r>
                  <w:r>
                    <w:rPr>
                      <w:rFonts w:hint="eastAsia"/>
                      <w:szCs w:val="21"/>
                    </w:rPr>
                    <w:t>的限值要求、同时满足《</w:t>
                  </w:r>
                  <w:r>
                    <w:rPr>
                      <w:szCs w:val="21"/>
                    </w:rPr>
                    <w:t>关于全省开展工业企业挥发性有机物专项治理工作中排放建议值的通知》（豫环攻坚办（2017）162号）</w:t>
                  </w:r>
                  <w:r>
                    <w:rPr>
                      <w:rFonts w:hint="eastAsia"/>
                      <w:szCs w:val="21"/>
                    </w:rPr>
                    <w:t>附件2-其他企业边界2</w:t>
                  </w:r>
                  <w:r>
                    <w:rPr>
                      <w:bCs/>
                      <w:szCs w:val="21"/>
                    </w:rPr>
                    <w:t>mg/m</w:t>
                  </w:r>
                  <w:r>
                    <w:rPr>
                      <w:bCs/>
                      <w:szCs w:val="21"/>
                      <w:vertAlign w:val="superscript"/>
                    </w:rPr>
                    <w:t>3</w:t>
                  </w:r>
                  <w:r>
                    <w:rPr>
                      <w:bCs/>
                      <w:szCs w:val="21"/>
                    </w:rPr>
                    <w:t>的限值要求</w:t>
                  </w:r>
                </w:p>
              </w:tc>
            </w:tr>
            <w:tr w14:paraId="5995BBA1">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07204276">
                  <w:pPr>
                    <w:autoSpaceDE w:val="0"/>
                    <w:autoSpaceDN w:val="0"/>
                    <w:adjustRightInd w:val="0"/>
                    <w:snapToGrid w:val="0"/>
                    <w:jc w:val="center"/>
                    <w:rPr>
                      <w:szCs w:val="21"/>
                    </w:rPr>
                  </w:pPr>
                </w:p>
              </w:tc>
              <w:tc>
                <w:tcPr>
                  <w:tcW w:w="688" w:type="dxa"/>
                  <w:tcMar>
                    <w:top w:w="0" w:type="dxa"/>
                    <w:left w:w="28" w:type="dxa"/>
                    <w:bottom w:w="0" w:type="dxa"/>
                    <w:right w:w="28" w:type="dxa"/>
                  </w:tcMar>
                  <w:vAlign w:val="center"/>
                </w:tcPr>
                <w:p w14:paraId="7BA25034">
                  <w:pPr>
                    <w:autoSpaceDE w:val="0"/>
                    <w:autoSpaceDN w:val="0"/>
                    <w:adjustRightInd w:val="0"/>
                    <w:snapToGrid w:val="0"/>
                    <w:jc w:val="center"/>
                    <w:rPr>
                      <w:szCs w:val="21"/>
                    </w:rPr>
                  </w:pPr>
                  <w:r>
                    <w:rPr>
                      <w:rFonts w:hint="eastAsia"/>
                      <w:szCs w:val="21"/>
                      <w:lang w:val="pt-BR"/>
                    </w:rPr>
                    <w:t>硫化氢</w:t>
                  </w:r>
                </w:p>
              </w:tc>
              <w:tc>
                <w:tcPr>
                  <w:tcW w:w="709" w:type="dxa"/>
                  <w:vMerge w:val="continue"/>
                  <w:vAlign w:val="center"/>
                </w:tcPr>
                <w:p w14:paraId="1CEBC298">
                  <w:pPr>
                    <w:autoSpaceDE w:val="0"/>
                    <w:autoSpaceDN w:val="0"/>
                    <w:adjustRightInd w:val="0"/>
                    <w:snapToGrid w:val="0"/>
                    <w:jc w:val="center"/>
                    <w:rPr>
                      <w:szCs w:val="21"/>
                    </w:rPr>
                  </w:pPr>
                </w:p>
              </w:tc>
              <w:tc>
                <w:tcPr>
                  <w:tcW w:w="1134" w:type="dxa"/>
                  <w:vMerge w:val="continue"/>
                  <w:tcMar>
                    <w:top w:w="0" w:type="dxa"/>
                    <w:left w:w="28" w:type="dxa"/>
                    <w:bottom w:w="0" w:type="dxa"/>
                    <w:right w:w="28" w:type="dxa"/>
                  </w:tcMar>
                  <w:vAlign w:val="center"/>
                </w:tcPr>
                <w:p w14:paraId="1B9503AF">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3EBB0879">
                  <w:pPr>
                    <w:autoSpaceDE w:val="0"/>
                    <w:autoSpaceDN w:val="0"/>
                    <w:adjustRightInd w:val="0"/>
                    <w:snapToGrid w:val="0"/>
                    <w:jc w:val="center"/>
                    <w:rPr>
                      <w:szCs w:val="21"/>
                    </w:rPr>
                  </w:pPr>
                  <w:r>
                    <w:rPr>
                      <w:rFonts w:hint="eastAsia"/>
                      <w:szCs w:val="21"/>
                    </w:rPr>
                    <w:t>1次/年</w:t>
                  </w:r>
                </w:p>
              </w:tc>
              <w:tc>
                <w:tcPr>
                  <w:tcW w:w="4169" w:type="dxa"/>
                  <w:tcMar>
                    <w:top w:w="0" w:type="dxa"/>
                    <w:left w:w="28" w:type="dxa"/>
                    <w:bottom w:w="0" w:type="dxa"/>
                    <w:right w:w="28" w:type="dxa"/>
                  </w:tcMar>
                  <w:vAlign w:val="center"/>
                </w:tcPr>
                <w:p w14:paraId="2840D0C4">
                  <w:pPr>
                    <w:autoSpaceDE w:val="0"/>
                    <w:autoSpaceDN w:val="0"/>
                    <w:adjustRightInd w:val="0"/>
                    <w:snapToGrid w:val="0"/>
                    <w:jc w:val="center"/>
                    <w:rPr>
                      <w:szCs w:val="21"/>
                    </w:rPr>
                  </w:pPr>
                  <w:r>
                    <w:rPr>
                      <w:rFonts w:hint="eastAsia"/>
                      <w:bCs/>
                      <w:szCs w:val="21"/>
                    </w:rPr>
                    <w:t>《恶臭污染物排放标准》（GB 14554-93）表1中硫化氢0.06</w:t>
                  </w:r>
                  <w:r>
                    <w:rPr>
                      <w:bCs/>
                      <w:szCs w:val="21"/>
                    </w:rPr>
                    <w:t>mg/m</w:t>
                  </w:r>
                  <w:r>
                    <w:rPr>
                      <w:bCs/>
                      <w:szCs w:val="21"/>
                      <w:vertAlign w:val="superscript"/>
                    </w:rPr>
                    <w:t>3</w:t>
                  </w:r>
                  <w:r>
                    <w:rPr>
                      <w:rFonts w:hint="eastAsia"/>
                      <w:szCs w:val="21"/>
                    </w:rPr>
                    <w:t>的限值要求</w:t>
                  </w:r>
                </w:p>
              </w:tc>
            </w:tr>
            <w:tr w14:paraId="1306B7E6">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vMerge w:val="continue"/>
                  <w:tcMar>
                    <w:top w:w="0" w:type="dxa"/>
                    <w:left w:w="28" w:type="dxa"/>
                    <w:bottom w:w="0" w:type="dxa"/>
                    <w:right w:w="28" w:type="dxa"/>
                  </w:tcMar>
                  <w:vAlign w:val="center"/>
                </w:tcPr>
                <w:p w14:paraId="38CE2713">
                  <w:pPr>
                    <w:autoSpaceDE w:val="0"/>
                    <w:autoSpaceDN w:val="0"/>
                    <w:adjustRightInd w:val="0"/>
                    <w:snapToGrid w:val="0"/>
                    <w:jc w:val="center"/>
                    <w:rPr>
                      <w:szCs w:val="21"/>
                    </w:rPr>
                  </w:pPr>
                </w:p>
              </w:tc>
              <w:tc>
                <w:tcPr>
                  <w:tcW w:w="688" w:type="dxa"/>
                  <w:tcMar>
                    <w:top w:w="0" w:type="dxa"/>
                    <w:left w:w="28" w:type="dxa"/>
                    <w:bottom w:w="0" w:type="dxa"/>
                    <w:right w:w="28" w:type="dxa"/>
                  </w:tcMar>
                  <w:vAlign w:val="center"/>
                </w:tcPr>
                <w:p w14:paraId="57BDCE88">
                  <w:pPr>
                    <w:autoSpaceDE w:val="0"/>
                    <w:autoSpaceDN w:val="0"/>
                    <w:adjustRightInd w:val="0"/>
                    <w:snapToGrid w:val="0"/>
                    <w:jc w:val="center"/>
                    <w:rPr>
                      <w:szCs w:val="21"/>
                    </w:rPr>
                  </w:pPr>
                  <w:r>
                    <w:rPr>
                      <w:rFonts w:hint="eastAsia"/>
                      <w:szCs w:val="21"/>
                      <w:lang w:val="pt-BR"/>
                    </w:rPr>
                    <w:t>臭气浓度</w:t>
                  </w:r>
                </w:p>
              </w:tc>
              <w:tc>
                <w:tcPr>
                  <w:tcW w:w="709" w:type="dxa"/>
                  <w:vMerge w:val="continue"/>
                  <w:vAlign w:val="center"/>
                </w:tcPr>
                <w:p w14:paraId="27A90DF3">
                  <w:pPr>
                    <w:autoSpaceDE w:val="0"/>
                    <w:autoSpaceDN w:val="0"/>
                    <w:adjustRightInd w:val="0"/>
                    <w:snapToGrid w:val="0"/>
                    <w:jc w:val="center"/>
                    <w:rPr>
                      <w:szCs w:val="21"/>
                    </w:rPr>
                  </w:pPr>
                </w:p>
              </w:tc>
              <w:tc>
                <w:tcPr>
                  <w:tcW w:w="1134" w:type="dxa"/>
                  <w:vMerge w:val="continue"/>
                  <w:tcMar>
                    <w:top w:w="0" w:type="dxa"/>
                    <w:left w:w="28" w:type="dxa"/>
                    <w:bottom w:w="0" w:type="dxa"/>
                    <w:right w:w="28" w:type="dxa"/>
                  </w:tcMar>
                  <w:vAlign w:val="center"/>
                </w:tcPr>
                <w:p w14:paraId="1B88F540">
                  <w:pPr>
                    <w:autoSpaceDE w:val="0"/>
                    <w:autoSpaceDN w:val="0"/>
                    <w:adjustRightInd w:val="0"/>
                    <w:snapToGrid w:val="0"/>
                    <w:jc w:val="center"/>
                    <w:rPr>
                      <w:szCs w:val="21"/>
                    </w:rPr>
                  </w:pPr>
                </w:p>
              </w:tc>
              <w:tc>
                <w:tcPr>
                  <w:tcW w:w="992" w:type="dxa"/>
                  <w:tcMar>
                    <w:top w:w="0" w:type="dxa"/>
                    <w:left w:w="28" w:type="dxa"/>
                    <w:bottom w:w="0" w:type="dxa"/>
                    <w:right w:w="28" w:type="dxa"/>
                  </w:tcMar>
                  <w:vAlign w:val="center"/>
                </w:tcPr>
                <w:p w14:paraId="70356726">
                  <w:pPr>
                    <w:autoSpaceDE w:val="0"/>
                    <w:autoSpaceDN w:val="0"/>
                    <w:adjustRightInd w:val="0"/>
                    <w:snapToGrid w:val="0"/>
                    <w:jc w:val="center"/>
                    <w:rPr>
                      <w:szCs w:val="21"/>
                    </w:rPr>
                  </w:pPr>
                  <w:r>
                    <w:rPr>
                      <w:rFonts w:hint="eastAsia"/>
                      <w:szCs w:val="21"/>
                    </w:rPr>
                    <w:t>1次/年</w:t>
                  </w:r>
                </w:p>
              </w:tc>
              <w:tc>
                <w:tcPr>
                  <w:tcW w:w="4169" w:type="dxa"/>
                  <w:tcMar>
                    <w:top w:w="0" w:type="dxa"/>
                    <w:left w:w="28" w:type="dxa"/>
                    <w:bottom w:w="0" w:type="dxa"/>
                    <w:right w:w="28" w:type="dxa"/>
                  </w:tcMar>
                  <w:vAlign w:val="center"/>
                </w:tcPr>
                <w:p w14:paraId="4BC300E9">
                  <w:pPr>
                    <w:autoSpaceDE w:val="0"/>
                    <w:autoSpaceDN w:val="0"/>
                    <w:adjustRightInd w:val="0"/>
                    <w:snapToGrid w:val="0"/>
                    <w:jc w:val="center"/>
                    <w:rPr>
                      <w:szCs w:val="21"/>
                    </w:rPr>
                  </w:pPr>
                  <w:r>
                    <w:rPr>
                      <w:rFonts w:hint="eastAsia"/>
                      <w:bCs/>
                      <w:szCs w:val="21"/>
                    </w:rPr>
                    <w:t>《恶臭污染物排放标准》（GB 14554-93）表1中</w:t>
                  </w:r>
                  <w:r>
                    <w:rPr>
                      <w:bCs/>
                      <w:szCs w:val="21"/>
                    </w:rPr>
                    <w:t>臭气浓度</w:t>
                  </w:r>
                  <w:r>
                    <w:rPr>
                      <w:rFonts w:hint="eastAsia"/>
                      <w:bCs/>
                      <w:szCs w:val="21"/>
                    </w:rPr>
                    <w:t>20</w:t>
                  </w:r>
                  <w:r>
                    <w:rPr>
                      <w:bCs/>
                      <w:szCs w:val="21"/>
                    </w:rPr>
                    <w:t>（</w:t>
                  </w:r>
                  <w:r>
                    <w:rPr>
                      <w:rFonts w:hint="eastAsia"/>
                      <w:bCs/>
                      <w:szCs w:val="21"/>
                    </w:rPr>
                    <w:t>无量纲</w:t>
                  </w:r>
                  <w:r>
                    <w:rPr>
                      <w:bCs/>
                      <w:szCs w:val="21"/>
                    </w:rPr>
                    <w:t>）</w:t>
                  </w:r>
                  <w:r>
                    <w:rPr>
                      <w:rFonts w:hint="eastAsia"/>
                      <w:szCs w:val="21"/>
                    </w:rPr>
                    <w:t>的限值要求</w:t>
                  </w:r>
                </w:p>
              </w:tc>
            </w:tr>
          </w:tbl>
          <w:p w14:paraId="520ACF6B">
            <w:pPr>
              <w:adjustRightInd w:val="0"/>
              <w:snapToGrid w:val="0"/>
              <w:spacing w:line="460" w:lineRule="exact"/>
              <w:ind w:firstLine="480" w:firstLineChars="200"/>
              <w:rPr>
                <w:sz w:val="24"/>
              </w:rPr>
            </w:pPr>
          </w:p>
          <w:p w14:paraId="520ACF6C">
            <w:pPr>
              <w:adjustRightInd w:val="0"/>
              <w:snapToGrid w:val="0"/>
              <w:spacing w:line="460" w:lineRule="exact"/>
              <w:ind w:firstLine="480" w:firstLineChars="200"/>
              <w:rPr>
                <w:sz w:val="24"/>
              </w:rPr>
            </w:pPr>
          </w:p>
          <w:p w14:paraId="520ACF6D">
            <w:pPr>
              <w:adjustRightInd w:val="0"/>
              <w:snapToGrid w:val="0"/>
              <w:spacing w:line="460" w:lineRule="exact"/>
              <w:ind w:firstLine="480" w:firstLineChars="200"/>
              <w:rPr>
                <w:sz w:val="24"/>
              </w:rPr>
            </w:pPr>
          </w:p>
          <w:p w14:paraId="520ACF6E">
            <w:pPr>
              <w:adjustRightInd w:val="0"/>
              <w:snapToGrid w:val="0"/>
              <w:spacing w:line="460" w:lineRule="exact"/>
              <w:ind w:firstLine="480" w:firstLineChars="200"/>
              <w:rPr>
                <w:sz w:val="24"/>
              </w:rPr>
            </w:pPr>
          </w:p>
          <w:p w14:paraId="520ACF6F">
            <w:pPr>
              <w:adjustRightInd w:val="0"/>
              <w:snapToGrid w:val="0"/>
              <w:spacing w:line="460" w:lineRule="exact"/>
              <w:ind w:firstLine="480" w:firstLineChars="200"/>
              <w:rPr>
                <w:sz w:val="24"/>
              </w:rPr>
            </w:pPr>
          </w:p>
          <w:p w14:paraId="505E37B5">
            <w:pPr>
              <w:autoSpaceDE w:val="0"/>
              <w:autoSpaceDN w:val="0"/>
              <w:spacing w:line="460" w:lineRule="exact"/>
              <w:ind w:firstLine="420" w:firstLineChars="200"/>
              <w:rPr>
                <w:rFonts w:cs="宋体"/>
                <w:szCs w:val="21"/>
              </w:rPr>
            </w:pPr>
          </w:p>
          <w:p w14:paraId="19C2F66D">
            <w:pPr>
              <w:autoSpaceDE w:val="0"/>
              <w:autoSpaceDN w:val="0"/>
              <w:spacing w:line="460" w:lineRule="exact"/>
              <w:ind w:firstLine="420" w:firstLineChars="200"/>
              <w:rPr>
                <w:rFonts w:cs="宋体"/>
                <w:szCs w:val="21"/>
              </w:rPr>
            </w:pPr>
          </w:p>
          <w:p w14:paraId="7B2F6CB4">
            <w:pPr>
              <w:autoSpaceDE w:val="0"/>
              <w:autoSpaceDN w:val="0"/>
              <w:spacing w:line="460" w:lineRule="exact"/>
              <w:ind w:firstLine="420" w:firstLineChars="200"/>
              <w:rPr>
                <w:rFonts w:cs="宋体"/>
                <w:szCs w:val="21"/>
              </w:rPr>
            </w:pPr>
          </w:p>
          <w:p w14:paraId="36D6171F">
            <w:pPr>
              <w:autoSpaceDE w:val="0"/>
              <w:autoSpaceDN w:val="0"/>
              <w:spacing w:line="460" w:lineRule="exact"/>
              <w:ind w:firstLine="420" w:firstLineChars="200"/>
              <w:rPr>
                <w:rFonts w:cs="宋体"/>
                <w:szCs w:val="21"/>
              </w:rPr>
            </w:pPr>
          </w:p>
          <w:p w14:paraId="4E3C55EB">
            <w:pPr>
              <w:autoSpaceDE w:val="0"/>
              <w:autoSpaceDN w:val="0"/>
              <w:spacing w:line="460" w:lineRule="exact"/>
              <w:ind w:firstLine="420" w:firstLineChars="200"/>
              <w:rPr>
                <w:rFonts w:cs="宋体"/>
                <w:szCs w:val="21"/>
              </w:rPr>
            </w:pPr>
          </w:p>
          <w:p w14:paraId="1F00B518">
            <w:pPr>
              <w:autoSpaceDE w:val="0"/>
              <w:autoSpaceDN w:val="0"/>
              <w:spacing w:line="460" w:lineRule="exact"/>
              <w:ind w:firstLine="420" w:firstLineChars="200"/>
              <w:rPr>
                <w:rFonts w:cs="宋体"/>
                <w:szCs w:val="21"/>
              </w:rPr>
            </w:pPr>
          </w:p>
          <w:p w14:paraId="520ACF70">
            <w:pPr>
              <w:autoSpaceDE w:val="0"/>
              <w:autoSpaceDN w:val="0"/>
              <w:spacing w:line="460" w:lineRule="exact"/>
              <w:ind w:firstLine="420" w:firstLineChars="200"/>
              <w:rPr>
                <w:rFonts w:cs="宋体"/>
                <w:szCs w:val="21"/>
              </w:rPr>
            </w:pPr>
          </w:p>
        </w:tc>
      </w:tr>
    </w:tbl>
    <w:p w14:paraId="520ACF72">
      <w:pPr>
        <w:pStyle w:val="16"/>
        <w:adjustRightInd w:val="0"/>
        <w:snapToGrid w:val="0"/>
        <w:spacing w:before="0" w:beforeAutospacing="0" w:after="0" w:afterAutospacing="0"/>
        <w:jc w:val="center"/>
        <w:rPr>
          <w:rFonts w:hint="eastAsia"/>
          <w:snapToGrid w:val="0"/>
          <w:sz w:val="15"/>
          <w:szCs w:val="15"/>
          <w:highlight w:val="yellow"/>
        </w:rPr>
        <w:sectPr>
          <w:pgSz w:w="11906" w:h="16838"/>
          <w:pgMar w:top="1701" w:right="1531" w:bottom="1701" w:left="1531" w:header="851" w:footer="851" w:gutter="0"/>
          <w:cols w:space="720" w:num="1"/>
          <w:docGrid w:linePitch="312" w:charSpace="0"/>
        </w:sectPr>
      </w:pPr>
    </w:p>
    <w:p w14:paraId="520ACF73">
      <w:pPr>
        <w:pStyle w:val="16"/>
        <w:jc w:val="center"/>
        <w:outlineLvl w:val="0"/>
        <w:rPr>
          <w:rFonts w:hint="eastAsia" w:ascii="黑体" w:hAnsi="黑体" w:eastAsia="黑体"/>
          <w:snapToGrid w:val="0"/>
          <w:sz w:val="30"/>
          <w:szCs w:val="30"/>
        </w:rPr>
      </w:pPr>
      <w:r>
        <w:rPr>
          <w:rFonts w:hint="eastAsia" w:ascii="黑体" w:hAnsi="黑体" w:eastAsia="黑体"/>
          <w:snapToGrid w:val="0"/>
          <w:sz w:val="30"/>
          <w:szCs w:val="30"/>
        </w:rPr>
        <w:t>六、结论</w:t>
      </w:r>
    </w:p>
    <w:tbl>
      <w:tblPr>
        <w:tblStyle w:val="1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520ACF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14:paraId="217FD396">
            <w:pPr>
              <w:adjustRightInd w:val="0"/>
              <w:snapToGrid w:val="0"/>
              <w:rPr>
                <w:sz w:val="24"/>
              </w:rPr>
            </w:pPr>
            <w:r>
              <w:drawing>
                <wp:inline distT="0" distB="0" distL="0" distR="0">
                  <wp:extent cx="5528310" cy="2601595"/>
                  <wp:effectExtent l="0" t="0" r="15240" b="8255"/>
                  <wp:docPr id="11582289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228924" name="图片 1"/>
                          <pic:cNvPicPr>
                            <a:picLocks noChangeAspect="1"/>
                          </pic:cNvPicPr>
                        </pic:nvPicPr>
                        <pic:blipFill>
                          <a:blip r:embed="rId44"/>
                          <a:stretch>
                            <a:fillRect/>
                          </a:stretch>
                        </pic:blipFill>
                        <pic:spPr>
                          <a:xfrm>
                            <a:off x="0" y="0"/>
                            <a:ext cx="5537533" cy="2601595"/>
                          </a:xfrm>
                          <a:prstGeom prst="rect">
                            <a:avLst/>
                          </a:prstGeom>
                        </pic:spPr>
                      </pic:pic>
                    </a:graphicData>
                  </a:graphic>
                </wp:inline>
              </w:drawing>
            </w:r>
          </w:p>
          <w:p w14:paraId="48B9C08B">
            <w:pPr>
              <w:adjustRightInd w:val="0"/>
              <w:snapToGrid w:val="0"/>
              <w:spacing w:line="460" w:lineRule="exact"/>
              <w:ind w:firstLine="480" w:firstLineChars="200"/>
              <w:rPr>
                <w:sz w:val="24"/>
              </w:rPr>
            </w:pPr>
          </w:p>
          <w:p w14:paraId="520ACF74">
            <w:pPr>
              <w:adjustRightInd w:val="0"/>
              <w:snapToGrid w:val="0"/>
              <w:spacing w:line="460" w:lineRule="exact"/>
              <w:ind w:firstLine="480" w:firstLineChars="200"/>
              <w:rPr>
                <w:sz w:val="24"/>
              </w:rPr>
            </w:pPr>
          </w:p>
          <w:p w14:paraId="520ACF75">
            <w:pPr>
              <w:adjustRightInd w:val="0"/>
              <w:snapToGrid w:val="0"/>
              <w:spacing w:line="460" w:lineRule="exact"/>
              <w:ind w:firstLine="420" w:firstLineChars="200"/>
            </w:pPr>
          </w:p>
          <w:p w14:paraId="520ACF77">
            <w:pPr>
              <w:wordWrap w:val="0"/>
              <w:adjustRightInd w:val="0"/>
              <w:snapToGrid w:val="0"/>
              <w:spacing w:line="460" w:lineRule="exact"/>
              <w:jc w:val="right"/>
              <w:rPr>
                <w:sz w:val="24"/>
              </w:rPr>
            </w:pPr>
            <w:r>
              <w:rPr>
                <w:rFonts w:hint="eastAsia"/>
                <w:sz w:val="24"/>
              </w:rPr>
              <w:t xml:space="preserve">      </w:t>
            </w:r>
          </w:p>
          <w:p w14:paraId="520ACF78">
            <w:pPr>
              <w:spacing w:line="360" w:lineRule="auto"/>
              <w:rPr>
                <w:rFonts w:ascii="宋体" w:cs="宋体"/>
                <w:sz w:val="24"/>
                <w:highlight w:val="yellow"/>
              </w:rPr>
            </w:pPr>
          </w:p>
        </w:tc>
      </w:tr>
    </w:tbl>
    <w:p w14:paraId="520ACF7A">
      <w:pPr>
        <w:adjustRightInd w:val="0"/>
        <w:snapToGrid w:val="0"/>
        <w:rPr>
          <w:rFonts w:ascii="宋体"/>
          <w:sz w:val="15"/>
          <w:szCs w:val="15"/>
          <w:highlight w:val="yellow"/>
        </w:rPr>
        <w:sectPr>
          <w:pgSz w:w="11906" w:h="16838"/>
          <w:pgMar w:top="1701" w:right="1531" w:bottom="1701" w:left="1531" w:header="851" w:footer="851" w:gutter="0"/>
          <w:cols w:space="720" w:num="1"/>
          <w:docGrid w:linePitch="312" w:charSpace="0"/>
        </w:sectPr>
      </w:pPr>
    </w:p>
    <w:p w14:paraId="520ACF7B">
      <w:pPr>
        <w:pStyle w:val="16"/>
        <w:adjustRightInd w:val="0"/>
        <w:snapToGrid w:val="0"/>
        <w:spacing w:before="0" w:beforeAutospacing="0" w:after="0" w:afterAutospacing="0"/>
        <w:outlineLvl w:val="0"/>
        <w:rPr>
          <w:rFonts w:hint="eastAsia" w:ascii="黑体" w:hAnsi="黑体" w:eastAsia="黑体"/>
          <w:snapToGrid w:val="0"/>
          <w:sz w:val="32"/>
          <w:szCs w:val="32"/>
        </w:rPr>
      </w:pPr>
      <w:r>
        <w:rPr>
          <w:rFonts w:hint="eastAsia" w:ascii="黑体" w:hAnsi="黑体" w:eastAsia="黑体"/>
          <w:snapToGrid w:val="0"/>
          <w:sz w:val="32"/>
          <w:szCs w:val="32"/>
        </w:rPr>
        <w:t>附表</w:t>
      </w:r>
    </w:p>
    <w:p w14:paraId="520ACF7C">
      <w:pPr>
        <w:pStyle w:val="16"/>
        <w:adjustRightInd w:val="0"/>
        <w:snapToGrid w:val="0"/>
        <w:spacing w:before="0" w:beforeAutospacing="0" w:after="0" w:afterAutospacing="0"/>
        <w:jc w:val="center"/>
        <w:outlineLvl w:val="0"/>
        <w:rPr>
          <w:rFonts w:hint="eastAsia" w:ascii="方正小标宋_GBK" w:hAnsi="黑体" w:eastAsia="方正小标宋_GBK"/>
          <w:snapToGrid w:val="0"/>
          <w:sz w:val="38"/>
          <w:szCs w:val="38"/>
        </w:rPr>
      </w:pPr>
      <w:r>
        <w:rPr>
          <w:rFonts w:hint="eastAsia" w:ascii="方正小标宋_GBK" w:hAnsi="黑体" w:eastAsia="方正小标宋_GBK"/>
          <w:snapToGrid w:val="0"/>
          <w:sz w:val="38"/>
          <w:szCs w:val="38"/>
        </w:rPr>
        <w:t>建设项目污染物排放量汇总表</w:t>
      </w:r>
    </w:p>
    <w:p w14:paraId="520ACF7D">
      <w:pPr>
        <w:pStyle w:val="16"/>
        <w:wordWrap w:val="0"/>
        <w:adjustRightInd w:val="0"/>
        <w:snapToGrid w:val="0"/>
        <w:spacing w:before="0" w:beforeAutospacing="0" w:after="0" w:afterAutospacing="0"/>
        <w:jc w:val="right"/>
        <w:outlineLvl w:val="0"/>
        <w:rPr>
          <w:rFonts w:ascii="Times New Roman" w:hAnsi="Times New Roman" w:eastAsia="方正小标宋_GBK"/>
          <w:snapToGrid w:val="0"/>
          <w:sz w:val="21"/>
          <w:szCs w:val="21"/>
        </w:rPr>
      </w:pPr>
      <w:r>
        <w:rPr>
          <w:rFonts w:hint="eastAsia" w:ascii="Times New Roman" w:hAnsi="Times New Roman" w:eastAsia="方正小标宋_GBK"/>
          <w:snapToGrid w:val="0"/>
          <w:sz w:val="21"/>
          <w:szCs w:val="21"/>
        </w:rPr>
        <w:t>单位：t</w:t>
      </w:r>
      <w:r>
        <w:rPr>
          <w:rFonts w:ascii="Times New Roman" w:hAnsi="Times New Roman" w:eastAsia="方正小标宋_GBK"/>
          <w:snapToGrid w:val="0"/>
          <w:sz w:val="21"/>
          <w:szCs w:val="21"/>
        </w:rPr>
        <w:t xml:space="preserve">/a </w:t>
      </w:r>
    </w:p>
    <w:tbl>
      <w:tblPr>
        <w:tblStyle w:val="18"/>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1124"/>
        <w:gridCol w:w="1418"/>
        <w:gridCol w:w="1606"/>
        <w:gridCol w:w="1607"/>
        <w:gridCol w:w="1606"/>
        <w:gridCol w:w="1607"/>
        <w:gridCol w:w="1606"/>
        <w:gridCol w:w="1607"/>
        <w:gridCol w:w="1607"/>
      </w:tblGrid>
      <w:tr w14:paraId="520ACF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tcBorders>
              <w:tl2br w:val="single" w:color="auto" w:sz="4" w:space="0"/>
            </w:tcBorders>
            <w:tcMar>
              <w:left w:w="28" w:type="dxa"/>
              <w:right w:w="28" w:type="dxa"/>
            </w:tcMar>
            <w:vAlign w:val="center"/>
          </w:tcPr>
          <w:p w14:paraId="520ACF7E">
            <w:pPr>
              <w:pStyle w:val="32"/>
              <w:spacing w:beforeLines="0" w:afterLines="0" w:line="240" w:lineRule="auto"/>
              <w:jc w:val="right"/>
              <w:rPr>
                <w:rFonts w:ascii="Times New Roman" w:eastAsia="黑体"/>
                <w:snapToGrid w:val="0"/>
                <w:spacing w:val="-6"/>
                <w:kern w:val="21"/>
                <w:szCs w:val="21"/>
                <w:lang w:val="en-US"/>
              </w:rPr>
            </w:pPr>
            <w:r>
              <w:rPr>
                <w:rFonts w:ascii="Times New Roman" w:eastAsia="黑体"/>
                <w:snapToGrid w:val="0"/>
                <w:spacing w:val="-6"/>
                <w:kern w:val="21"/>
                <w:szCs w:val="21"/>
                <w:lang w:val="en-US"/>
              </w:rPr>
              <w:t>项目</w:t>
            </w:r>
          </w:p>
          <w:p w14:paraId="520ACF7F">
            <w:pPr>
              <w:pStyle w:val="32"/>
              <w:spacing w:beforeLines="0" w:afterLines="0" w:line="240" w:lineRule="auto"/>
              <w:jc w:val="left"/>
              <w:rPr>
                <w:rFonts w:ascii="Times New Roman" w:eastAsia="黑体"/>
                <w:snapToGrid w:val="0"/>
                <w:spacing w:val="-6"/>
                <w:kern w:val="21"/>
                <w:szCs w:val="21"/>
                <w:lang w:val="en-US"/>
              </w:rPr>
            </w:pPr>
            <w:r>
              <w:rPr>
                <w:rFonts w:ascii="Times New Roman" w:eastAsia="黑体"/>
                <w:snapToGrid w:val="0"/>
                <w:spacing w:val="-6"/>
                <w:kern w:val="21"/>
                <w:szCs w:val="21"/>
                <w:lang w:val="en-US"/>
              </w:rPr>
              <w:t>分类</w:t>
            </w:r>
          </w:p>
        </w:tc>
        <w:tc>
          <w:tcPr>
            <w:tcW w:w="1418" w:type="dxa"/>
            <w:tcMar>
              <w:left w:w="28" w:type="dxa"/>
              <w:right w:w="28" w:type="dxa"/>
            </w:tcMar>
            <w:vAlign w:val="center"/>
          </w:tcPr>
          <w:p w14:paraId="520ACF80">
            <w:pPr>
              <w:pStyle w:val="32"/>
              <w:spacing w:beforeLines="0" w:afterLines="0" w:line="240" w:lineRule="auto"/>
              <w:rPr>
                <w:rFonts w:ascii="Times New Roman" w:eastAsia="黑体"/>
                <w:snapToGrid w:val="0"/>
                <w:spacing w:val="-6"/>
                <w:kern w:val="21"/>
                <w:szCs w:val="21"/>
                <w:lang w:val="en-US"/>
              </w:rPr>
            </w:pPr>
            <w:r>
              <w:rPr>
                <w:rFonts w:ascii="Times New Roman" w:eastAsia="黑体"/>
                <w:snapToGrid w:val="0"/>
                <w:spacing w:val="-6"/>
                <w:kern w:val="21"/>
                <w:szCs w:val="21"/>
                <w:lang w:val="en-US"/>
              </w:rPr>
              <w:t>污染物名称</w:t>
            </w:r>
          </w:p>
        </w:tc>
        <w:tc>
          <w:tcPr>
            <w:tcW w:w="1606" w:type="dxa"/>
            <w:tcMar>
              <w:left w:w="28" w:type="dxa"/>
              <w:right w:w="28" w:type="dxa"/>
            </w:tcMar>
            <w:vAlign w:val="center"/>
          </w:tcPr>
          <w:p w14:paraId="520ACF81">
            <w:pPr>
              <w:pStyle w:val="32"/>
              <w:spacing w:beforeLines="0" w:afterLines="0" w:line="240" w:lineRule="auto"/>
              <w:rPr>
                <w:rFonts w:ascii="Times New Roman" w:eastAsia="黑体"/>
                <w:snapToGrid w:val="0"/>
                <w:spacing w:val="-6"/>
                <w:kern w:val="21"/>
                <w:szCs w:val="21"/>
                <w:lang w:val="en-US"/>
              </w:rPr>
            </w:pPr>
            <w:r>
              <w:rPr>
                <w:rFonts w:ascii="Times New Roman" w:eastAsia="黑体"/>
                <w:snapToGrid w:val="0"/>
                <w:spacing w:val="-6"/>
                <w:kern w:val="21"/>
                <w:szCs w:val="21"/>
                <w:lang w:val="en-US"/>
              </w:rPr>
              <w:t>现有工程</w:t>
            </w:r>
          </w:p>
          <w:p w14:paraId="520ACF82">
            <w:pPr>
              <w:pStyle w:val="32"/>
              <w:spacing w:beforeLines="0" w:afterLines="0" w:line="240" w:lineRule="auto"/>
              <w:rPr>
                <w:rFonts w:ascii="Times New Roman" w:eastAsia="黑体"/>
                <w:snapToGrid w:val="0"/>
                <w:spacing w:val="-6"/>
                <w:kern w:val="21"/>
                <w:szCs w:val="21"/>
                <w:lang w:val="en-US"/>
              </w:rPr>
            </w:pPr>
            <w:r>
              <w:rPr>
                <w:rFonts w:ascii="Times New Roman" w:eastAsia="黑体"/>
                <w:snapToGrid w:val="0"/>
                <w:spacing w:val="-6"/>
                <w:kern w:val="21"/>
                <w:szCs w:val="21"/>
                <w:lang w:val="en-US"/>
              </w:rPr>
              <w:t>排放量（固体废物产生量）</w:t>
            </w:r>
            <w:r>
              <w:rPr>
                <w:rFonts w:ascii="Times New Roman" w:eastAsia="黑体"/>
                <w:snapToGrid w:val="0"/>
                <w:spacing w:val="-6"/>
                <w:kern w:val="21"/>
                <w:szCs w:val="21"/>
                <w:lang w:val="en-US"/>
              </w:rPr>
              <w:fldChar w:fldCharType="begin"/>
            </w:r>
            <w:r>
              <w:rPr>
                <w:rFonts w:ascii="Times New Roman" w:eastAsia="黑体"/>
                <w:snapToGrid w:val="0"/>
                <w:spacing w:val="-6"/>
                <w:kern w:val="21"/>
                <w:szCs w:val="21"/>
                <w:lang w:val="en-US"/>
              </w:rPr>
              <w:instrText xml:space="preserve"> = 1 \* GB3 \* MERGEFORMAT </w:instrText>
            </w:r>
            <w:r>
              <w:rPr>
                <w:rFonts w:ascii="Times New Roman" w:eastAsia="黑体"/>
                <w:snapToGrid w:val="0"/>
                <w:spacing w:val="-6"/>
                <w:kern w:val="21"/>
                <w:szCs w:val="21"/>
                <w:lang w:val="en-US"/>
              </w:rPr>
              <w:fldChar w:fldCharType="separate"/>
            </w:r>
            <w:r>
              <w:rPr>
                <w:rFonts w:hint="eastAsia" w:hAnsi="宋体" w:cs="宋体"/>
                <w:kern w:val="2"/>
                <w:szCs w:val="21"/>
                <w:lang w:val="en-US"/>
              </w:rPr>
              <w:t>①</w:t>
            </w:r>
            <w:r>
              <w:rPr>
                <w:rFonts w:ascii="Times New Roman" w:eastAsia="黑体"/>
                <w:snapToGrid w:val="0"/>
                <w:spacing w:val="-6"/>
                <w:kern w:val="21"/>
                <w:szCs w:val="21"/>
                <w:lang w:val="en-US"/>
              </w:rPr>
              <w:fldChar w:fldCharType="end"/>
            </w:r>
          </w:p>
        </w:tc>
        <w:tc>
          <w:tcPr>
            <w:tcW w:w="1607" w:type="dxa"/>
            <w:tcMar>
              <w:left w:w="28" w:type="dxa"/>
              <w:right w:w="28" w:type="dxa"/>
            </w:tcMar>
            <w:vAlign w:val="center"/>
          </w:tcPr>
          <w:p w14:paraId="520ACF83">
            <w:pPr>
              <w:pStyle w:val="32"/>
              <w:spacing w:beforeLines="0" w:afterLines="0" w:line="240" w:lineRule="auto"/>
              <w:rPr>
                <w:rFonts w:ascii="Times New Roman" w:eastAsia="黑体"/>
                <w:snapToGrid w:val="0"/>
                <w:spacing w:val="-6"/>
                <w:kern w:val="21"/>
                <w:szCs w:val="21"/>
                <w:lang w:val="en-US"/>
              </w:rPr>
            </w:pPr>
            <w:r>
              <w:rPr>
                <w:rFonts w:ascii="Times New Roman" w:eastAsia="黑体"/>
                <w:snapToGrid w:val="0"/>
                <w:spacing w:val="-6"/>
                <w:kern w:val="21"/>
                <w:szCs w:val="21"/>
                <w:lang w:val="en-US"/>
              </w:rPr>
              <w:t>现有工程</w:t>
            </w:r>
          </w:p>
          <w:p w14:paraId="520ACF84">
            <w:pPr>
              <w:pStyle w:val="32"/>
              <w:spacing w:beforeLines="0" w:afterLines="0" w:line="240" w:lineRule="auto"/>
              <w:rPr>
                <w:rFonts w:ascii="Times New Roman" w:eastAsia="黑体"/>
                <w:snapToGrid w:val="0"/>
                <w:spacing w:val="-6"/>
                <w:kern w:val="21"/>
                <w:szCs w:val="21"/>
                <w:lang w:val="en-US"/>
              </w:rPr>
            </w:pPr>
            <w:r>
              <w:rPr>
                <w:rFonts w:ascii="Times New Roman" w:eastAsia="黑体"/>
                <w:snapToGrid w:val="0"/>
                <w:spacing w:val="-6"/>
                <w:kern w:val="21"/>
                <w:szCs w:val="21"/>
                <w:lang w:val="en-US"/>
              </w:rPr>
              <w:t>许可排放量</w:t>
            </w:r>
          </w:p>
          <w:p w14:paraId="520ACF85">
            <w:pPr>
              <w:pStyle w:val="32"/>
              <w:spacing w:beforeLines="0" w:afterLines="0"/>
              <w:rPr>
                <w:rFonts w:ascii="Times New Roman" w:eastAsia="黑体"/>
                <w:snapToGrid w:val="0"/>
                <w:spacing w:val="-6"/>
                <w:kern w:val="21"/>
                <w:szCs w:val="21"/>
                <w:lang w:val="en-US"/>
              </w:rPr>
            </w:pPr>
            <w:r>
              <w:rPr>
                <w:rFonts w:ascii="Times New Roman" w:eastAsia="黑体"/>
                <w:snapToGrid w:val="0"/>
                <w:spacing w:val="-6"/>
                <w:kern w:val="21"/>
                <w:szCs w:val="21"/>
                <w:lang w:val="en-US"/>
              </w:rPr>
              <w:fldChar w:fldCharType="begin"/>
            </w:r>
            <w:r>
              <w:rPr>
                <w:rFonts w:ascii="Times New Roman" w:eastAsia="黑体"/>
                <w:snapToGrid w:val="0"/>
                <w:spacing w:val="-6"/>
                <w:kern w:val="21"/>
                <w:szCs w:val="21"/>
                <w:lang w:val="en-US"/>
              </w:rPr>
              <w:instrText xml:space="preserve"> = 2 \* GB3 \* MERGEFORMAT </w:instrText>
            </w:r>
            <w:r>
              <w:rPr>
                <w:rFonts w:ascii="Times New Roman" w:eastAsia="黑体"/>
                <w:snapToGrid w:val="0"/>
                <w:spacing w:val="-6"/>
                <w:kern w:val="21"/>
                <w:szCs w:val="21"/>
                <w:lang w:val="en-US"/>
              </w:rPr>
              <w:fldChar w:fldCharType="separate"/>
            </w:r>
            <w:r>
              <w:rPr>
                <w:rFonts w:hint="eastAsia" w:hAnsi="宋体" w:cs="宋体"/>
                <w:snapToGrid w:val="0"/>
                <w:spacing w:val="-6"/>
                <w:kern w:val="21"/>
                <w:szCs w:val="21"/>
                <w:lang w:val="en-US"/>
              </w:rPr>
              <w:t>②</w:t>
            </w:r>
            <w:r>
              <w:rPr>
                <w:rFonts w:ascii="Times New Roman" w:eastAsia="黑体"/>
                <w:snapToGrid w:val="0"/>
                <w:spacing w:val="-6"/>
                <w:kern w:val="21"/>
                <w:szCs w:val="21"/>
                <w:lang w:val="en-US"/>
              </w:rPr>
              <w:fldChar w:fldCharType="end"/>
            </w:r>
          </w:p>
        </w:tc>
        <w:tc>
          <w:tcPr>
            <w:tcW w:w="1606" w:type="dxa"/>
            <w:tcMar>
              <w:left w:w="28" w:type="dxa"/>
              <w:right w:w="28" w:type="dxa"/>
            </w:tcMar>
            <w:vAlign w:val="center"/>
          </w:tcPr>
          <w:p w14:paraId="520ACF86">
            <w:pPr>
              <w:pStyle w:val="32"/>
              <w:spacing w:beforeLines="0" w:afterLines="0" w:line="240" w:lineRule="auto"/>
              <w:rPr>
                <w:rFonts w:ascii="Times New Roman" w:eastAsia="黑体"/>
                <w:snapToGrid w:val="0"/>
                <w:spacing w:val="-6"/>
                <w:kern w:val="21"/>
                <w:szCs w:val="21"/>
                <w:lang w:val="en-US"/>
              </w:rPr>
            </w:pPr>
            <w:r>
              <w:rPr>
                <w:rFonts w:ascii="Times New Roman" w:eastAsia="黑体"/>
                <w:snapToGrid w:val="0"/>
                <w:spacing w:val="-6"/>
                <w:kern w:val="21"/>
                <w:szCs w:val="21"/>
                <w:lang w:val="en-US"/>
              </w:rPr>
              <w:t>在建工程</w:t>
            </w:r>
          </w:p>
          <w:p w14:paraId="520ACF87">
            <w:pPr>
              <w:pStyle w:val="32"/>
              <w:spacing w:beforeLines="0" w:afterLines="0" w:line="240" w:lineRule="auto"/>
              <w:rPr>
                <w:rFonts w:ascii="Times New Roman" w:eastAsia="黑体"/>
                <w:snapToGrid w:val="0"/>
                <w:spacing w:val="-6"/>
                <w:kern w:val="21"/>
                <w:szCs w:val="21"/>
                <w:lang w:val="en-US"/>
              </w:rPr>
            </w:pPr>
            <w:r>
              <w:rPr>
                <w:rFonts w:ascii="Times New Roman" w:eastAsia="黑体"/>
                <w:snapToGrid w:val="0"/>
                <w:spacing w:val="-6"/>
                <w:kern w:val="21"/>
                <w:szCs w:val="21"/>
                <w:lang w:val="en-US"/>
              </w:rPr>
              <w:t>排放量（固体废物产生量）</w:t>
            </w:r>
            <w:r>
              <w:rPr>
                <w:rFonts w:ascii="Times New Roman" w:eastAsia="黑体"/>
                <w:snapToGrid w:val="0"/>
                <w:spacing w:val="-6"/>
                <w:kern w:val="21"/>
                <w:szCs w:val="21"/>
                <w:lang w:val="en-US"/>
              </w:rPr>
              <w:fldChar w:fldCharType="begin"/>
            </w:r>
            <w:r>
              <w:rPr>
                <w:rFonts w:ascii="Times New Roman" w:eastAsia="黑体"/>
                <w:snapToGrid w:val="0"/>
                <w:spacing w:val="-6"/>
                <w:kern w:val="21"/>
                <w:szCs w:val="21"/>
                <w:lang w:val="en-US"/>
              </w:rPr>
              <w:instrText xml:space="preserve"> = 3 \* GB3 \* MERGEFORMAT </w:instrText>
            </w:r>
            <w:r>
              <w:rPr>
                <w:rFonts w:ascii="Times New Roman" w:eastAsia="黑体"/>
                <w:snapToGrid w:val="0"/>
                <w:spacing w:val="-6"/>
                <w:kern w:val="21"/>
                <w:szCs w:val="21"/>
                <w:lang w:val="en-US"/>
              </w:rPr>
              <w:fldChar w:fldCharType="separate"/>
            </w:r>
            <w:r>
              <w:rPr>
                <w:rFonts w:hint="eastAsia" w:hAnsi="宋体" w:cs="宋体"/>
                <w:kern w:val="2"/>
                <w:szCs w:val="21"/>
                <w:lang w:val="en-US"/>
              </w:rPr>
              <w:t>③</w:t>
            </w:r>
            <w:r>
              <w:rPr>
                <w:rFonts w:ascii="Times New Roman" w:eastAsia="黑体"/>
                <w:snapToGrid w:val="0"/>
                <w:spacing w:val="-6"/>
                <w:kern w:val="21"/>
                <w:szCs w:val="21"/>
                <w:lang w:val="en-US"/>
              </w:rPr>
              <w:fldChar w:fldCharType="end"/>
            </w:r>
          </w:p>
        </w:tc>
        <w:tc>
          <w:tcPr>
            <w:tcW w:w="1607" w:type="dxa"/>
            <w:tcMar>
              <w:left w:w="28" w:type="dxa"/>
              <w:right w:w="28" w:type="dxa"/>
            </w:tcMar>
            <w:vAlign w:val="center"/>
          </w:tcPr>
          <w:p w14:paraId="520ACF88">
            <w:pPr>
              <w:pStyle w:val="32"/>
              <w:spacing w:beforeLines="0" w:afterLines="0" w:line="240" w:lineRule="auto"/>
              <w:rPr>
                <w:rFonts w:ascii="Times New Roman" w:eastAsia="黑体"/>
                <w:snapToGrid w:val="0"/>
                <w:spacing w:val="-6"/>
                <w:kern w:val="21"/>
                <w:szCs w:val="21"/>
                <w:lang w:val="en-US"/>
              </w:rPr>
            </w:pPr>
            <w:r>
              <w:rPr>
                <w:rFonts w:ascii="Times New Roman" w:eastAsia="黑体"/>
                <w:snapToGrid w:val="0"/>
                <w:spacing w:val="-6"/>
                <w:kern w:val="21"/>
                <w:szCs w:val="21"/>
                <w:lang w:val="en-US"/>
              </w:rPr>
              <w:t>本项目</w:t>
            </w:r>
          </w:p>
          <w:p w14:paraId="520ACF89">
            <w:pPr>
              <w:pStyle w:val="32"/>
              <w:spacing w:beforeLines="0" w:afterLines="0" w:line="240" w:lineRule="auto"/>
              <w:rPr>
                <w:rFonts w:ascii="Times New Roman" w:eastAsia="黑体"/>
                <w:snapToGrid w:val="0"/>
                <w:spacing w:val="-6"/>
                <w:kern w:val="21"/>
                <w:szCs w:val="21"/>
                <w:lang w:val="en-US"/>
              </w:rPr>
            </w:pPr>
            <w:r>
              <w:rPr>
                <w:rFonts w:ascii="Times New Roman" w:eastAsia="黑体"/>
                <w:snapToGrid w:val="0"/>
                <w:spacing w:val="-6"/>
                <w:kern w:val="21"/>
                <w:szCs w:val="21"/>
                <w:lang w:val="en-US"/>
              </w:rPr>
              <w:t>排放量（固体废物产生量）</w:t>
            </w:r>
            <w:r>
              <w:rPr>
                <w:rFonts w:ascii="Times New Roman" w:eastAsia="黑体"/>
                <w:snapToGrid w:val="0"/>
                <w:spacing w:val="-6"/>
                <w:kern w:val="21"/>
                <w:szCs w:val="21"/>
                <w:lang w:val="en-US"/>
              </w:rPr>
              <w:fldChar w:fldCharType="begin"/>
            </w:r>
            <w:r>
              <w:rPr>
                <w:rFonts w:ascii="Times New Roman" w:eastAsia="黑体"/>
                <w:snapToGrid w:val="0"/>
                <w:spacing w:val="-6"/>
                <w:kern w:val="21"/>
                <w:szCs w:val="21"/>
                <w:lang w:val="en-US"/>
              </w:rPr>
              <w:instrText xml:space="preserve"> = 4 \* GB3 \* MERGEFORMAT </w:instrText>
            </w:r>
            <w:r>
              <w:rPr>
                <w:rFonts w:ascii="Times New Roman" w:eastAsia="黑体"/>
                <w:snapToGrid w:val="0"/>
                <w:spacing w:val="-6"/>
                <w:kern w:val="21"/>
                <w:szCs w:val="21"/>
                <w:lang w:val="en-US"/>
              </w:rPr>
              <w:fldChar w:fldCharType="separate"/>
            </w:r>
            <w:r>
              <w:rPr>
                <w:rFonts w:hint="eastAsia" w:hAnsi="宋体" w:cs="宋体"/>
                <w:kern w:val="2"/>
                <w:szCs w:val="21"/>
                <w:lang w:val="en-US"/>
              </w:rPr>
              <w:t>④</w:t>
            </w:r>
            <w:r>
              <w:rPr>
                <w:rFonts w:ascii="Times New Roman" w:eastAsia="黑体"/>
                <w:snapToGrid w:val="0"/>
                <w:spacing w:val="-6"/>
                <w:kern w:val="21"/>
                <w:szCs w:val="21"/>
                <w:lang w:val="en-US"/>
              </w:rPr>
              <w:fldChar w:fldCharType="end"/>
            </w:r>
          </w:p>
        </w:tc>
        <w:tc>
          <w:tcPr>
            <w:tcW w:w="1606" w:type="dxa"/>
            <w:tcMar>
              <w:left w:w="28" w:type="dxa"/>
              <w:right w:w="28" w:type="dxa"/>
            </w:tcMar>
            <w:vAlign w:val="center"/>
          </w:tcPr>
          <w:p w14:paraId="520ACF8A">
            <w:pPr>
              <w:pStyle w:val="32"/>
              <w:spacing w:beforeLines="0" w:afterLines="0" w:line="240" w:lineRule="auto"/>
              <w:rPr>
                <w:rFonts w:ascii="Times New Roman" w:eastAsia="黑体"/>
                <w:snapToGrid w:val="0"/>
                <w:spacing w:val="-16"/>
                <w:kern w:val="21"/>
                <w:szCs w:val="21"/>
                <w:lang w:val="en-US"/>
              </w:rPr>
            </w:pPr>
            <w:r>
              <w:rPr>
                <w:rFonts w:ascii="Times New Roman" w:eastAsia="黑体"/>
                <w:snapToGrid w:val="0"/>
                <w:spacing w:val="-16"/>
                <w:kern w:val="21"/>
                <w:szCs w:val="21"/>
                <w:lang w:val="en-US"/>
              </w:rPr>
              <w:t>以新带老削减量</w:t>
            </w:r>
          </w:p>
          <w:p w14:paraId="520ACF8B">
            <w:pPr>
              <w:pStyle w:val="32"/>
              <w:spacing w:beforeLines="0" w:afterLines="0" w:line="240" w:lineRule="auto"/>
              <w:rPr>
                <w:rFonts w:ascii="Times New Roman" w:eastAsia="黑体"/>
                <w:snapToGrid w:val="0"/>
                <w:spacing w:val="-16"/>
                <w:kern w:val="21"/>
                <w:szCs w:val="21"/>
                <w:lang w:val="en-US"/>
              </w:rPr>
            </w:pPr>
            <w:r>
              <w:rPr>
                <w:rFonts w:ascii="Times New Roman" w:eastAsia="黑体"/>
                <w:snapToGrid w:val="0"/>
                <w:spacing w:val="-16"/>
                <w:kern w:val="21"/>
                <w:szCs w:val="21"/>
                <w:lang w:val="en-US"/>
              </w:rPr>
              <w:t>（新建项目不填）</w:t>
            </w:r>
            <w:r>
              <w:rPr>
                <w:rFonts w:ascii="Times New Roman" w:eastAsia="黑体"/>
                <w:snapToGrid w:val="0"/>
                <w:spacing w:val="-16"/>
                <w:kern w:val="21"/>
                <w:szCs w:val="21"/>
                <w:lang w:val="en-US"/>
              </w:rPr>
              <w:fldChar w:fldCharType="begin"/>
            </w:r>
            <w:r>
              <w:rPr>
                <w:rFonts w:ascii="Times New Roman" w:eastAsia="黑体"/>
                <w:snapToGrid w:val="0"/>
                <w:spacing w:val="-16"/>
                <w:kern w:val="21"/>
                <w:szCs w:val="21"/>
                <w:lang w:val="en-US"/>
              </w:rPr>
              <w:instrText xml:space="preserve"> = 5 \* GB3 \* MERGEFORMAT </w:instrText>
            </w:r>
            <w:r>
              <w:rPr>
                <w:rFonts w:ascii="Times New Roman" w:eastAsia="黑体"/>
                <w:snapToGrid w:val="0"/>
                <w:spacing w:val="-16"/>
                <w:kern w:val="21"/>
                <w:szCs w:val="21"/>
                <w:lang w:val="en-US"/>
              </w:rPr>
              <w:fldChar w:fldCharType="separate"/>
            </w:r>
            <w:r>
              <w:rPr>
                <w:rFonts w:hint="eastAsia" w:hAnsi="宋体" w:cs="宋体"/>
                <w:kern w:val="2"/>
                <w:szCs w:val="21"/>
                <w:lang w:val="en-US"/>
              </w:rPr>
              <w:t>⑤</w:t>
            </w:r>
            <w:r>
              <w:rPr>
                <w:rFonts w:ascii="Times New Roman" w:eastAsia="黑体"/>
                <w:snapToGrid w:val="0"/>
                <w:spacing w:val="-16"/>
                <w:kern w:val="21"/>
                <w:szCs w:val="21"/>
                <w:lang w:val="en-US"/>
              </w:rPr>
              <w:fldChar w:fldCharType="end"/>
            </w:r>
          </w:p>
        </w:tc>
        <w:tc>
          <w:tcPr>
            <w:tcW w:w="1607" w:type="dxa"/>
            <w:tcMar>
              <w:left w:w="28" w:type="dxa"/>
              <w:right w:w="28" w:type="dxa"/>
            </w:tcMar>
            <w:vAlign w:val="center"/>
          </w:tcPr>
          <w:p w14:paraId="520ACF8C">
            <w:pPr>
              <w:pStyle w:val="32"/>
              <w:spacing w:beforeLines="0" w:afterLines="0" w:line="240" w:lineRule="auto"/>
              <w:rPr>
                <w:rFonts w:ascii="Times New Roman" w:eastAsia="黑体"/>
                <w:snapToGrid w:val="0"/>
                <w:spacing w:val="-16"/>
                <w:kern w:val="21"/>
                <w:szCs w:val="21"/>
                <w:lang w:val="en-US"/>
              </w:rPr>
            </w:pPr>
            <w:r>
              <w:rPr>
                <w:rFonts w:ascii="Times New Roman" w:eastAsia="黑体"/>
                <w:snapToGrid w:val="0"/>
                <w:spacing w:val="-16"/>
                <w:kern w:val="21"/>
                <w:szCs w:val="21"/>
                <w:lang w:val="en-US"/>
              </w:rPr>
              <w:t>本项目建成后</w:t>
            </w:r>
          </w:p>
          <w:p w14:paraId="520ACF8D">
            <w:pPr>
              <w:pStyle w:val="32"/>
              <w:spacing w:beforeLines="0" w:afterLines="0" w:line="240" w:lineRule="auto"/>
              <w:rPr>
                <w:rFonts w:ascii="Times New Roman" w:eastAsia="黑体"/>
                <w:snapToGrid w:val="0"/>
                <w:spacing w:val="-16"/>
                <w:kern w:val="21"/>
                <w:szCs w:val="21"/>
                <w:lang w:val="en-US"/>
              </w:rPr>
            </w:pPr>
            <w:r>
              <w:rPr>
                <w:rFonts w:ascii="Times New Roman" w:eastAsia="黑体"/>
                <w:snapToGrid w:val="0"/>
                <w:spacing w:val="-16"/>
                <w:kern w:val="21"/>
                <w:szCs w:val="21"/>
                <w:lang w:val="en-US"/>
              </w:rPr>
              <w:t>全厂排放量（固体废物产生量）</w:t>
            </w:r>
            <w:r>
              <w:rPr>
                <w:rFonts w:ascii="Times New Roman" w:eastAsia="黑体"/>
                <w:snapToGrid w:val="0"/>
                <w:spacing w:val="-16"/>
                <w:kern w:val="21"/>
                <w:szCs w:val="21"/>
                <w:lang w:val="en-US"/>
              </w:rPr>
              <w:fldChar w:fldCharType="begin"/>
            </w:r>
            <w:r>
              <w:rPr>
                <w:rFonts w:ascii="Times New Roman" w:eastAsia="黑体"/>
                <w:snapToGrid w:val="0"/>
                <w:spacing w:val="-16"/>
                <w:kern w:val="21"/>
                <w:szCs w:val="21"/>
                <w:lang w:val="en-US"/>
              </w:rPr>
              <w:instrText xml:space="preserve"> = 6 \* GB3 \* MERGEFORMAT </w:instrText>
            </w:r>
            <w:r>
              <w:rPr>
                <w:rFonts w:ascii="Times New Roman" w:eastAsia="黑体"/>
                <w:snapToGrid w:val="0"/>
                <w:spacing w:val="-16"/>
                <w:kern w:val="21"/>
                <w:szCs w:val="21"/>
                <w:lang w:val="en-US"/>
              </w:rPr>
              <w:fldChar w:fldCharType="separate"/>
            </w:r>
            <w:r>
              <w:rPr>
                <w:rFonts w:hint="eastAsia" w:hAnsi="宋体" w:cs="宋体"/>
                <w:kern w:val="2"/>
                <w:szCs w:val="21"/>
                <w:lang w:val="en-US"/>
              </w:rPr>
              <w:t>⑥</w:t>
            </w:r>
            <w:r>
              <w:rPr>
                <w:rFonts w:ascii="Times New Roman" w:eastAsia="黑体"/>
                <w:snapToGrid w:val="0"/>
                <w:spacing w:val="-16"/>
                <w:kern w:val="21"/>
                <w:szCs w:val="21"/>
                <w:lang w:val="en-US"/>
              </w:rPr>
              <w:fldChar w:fldCharType="end"/>
            </w:r>
          </w:p>
        </w:tc>
        <w:tc>
          <w:tcPr>
            <w:tcW w:w="1607" w:type="dxa"/>
            <w:tcMar>
              <w:left w:w="28" w:type="dxa"/>
              <w:right w:w="28" w:type="dxa"/>
            </w:tcMar>
            <w:vAlign w:val="center"/>
          </w:tcPr>
          <w:p w14:paraId="520ACF8E">
            <w:pPr>
              <w:pStyle w:val="32"/>
              <w:spacing w:beforeLines="0" w:afterLines="0" w:line="240" w:lineRule="auto"/>
              <w:rPr>
                <w:rFonts w:ascii="Times New Roman" w:eastAsia="黑体"/>
                <w:snapToGrid w:val="0"/>
                <w:spacing w:val="-6"/>
                <w:kern w:val="21"/>
                <w:szCs w:val="21"/>
                <w:lang w:val="en-US"/>
              </w:rPr>
            </w:pPr>
            <w:r>
              <w:rPr>
                <w:rFonts w:ascii="Times New Roman" w:eastAsia="黑体"/>
                <w:snapToGrid w:val="0"/>
                <w:spacing w:val="-6"/>
                <w:kern w:val="21"/>
                <w:szCs w:val="21"/>
                <w:lang w:val="en-US"/>
              </w:rPr>
              <w:t>变化量</w:t>
            </w:r>
          </w:p>
          <w:p w14:paraId="520ACF8F">
            <w:pPr>
              <w:pStyle w:val="32"/>
              <w:spacing w:beforeLines="0" w:afterLines="0" w:line="240" w:lineRule="auto"/>
              <w:rPr>
                <w:rFonts w:ascii="Times New Roman" w:eastAsia="黑体"/>
                <w:snapToGrid w:val="0"/>
                <w:spacing w:val="-6"/>
                <w:kern w:val="21"/>
                <w:szCs w:val="21"/>
                <w:lang w:val="en-US"/>
              </w:rPr>
            </w:pPr>
            <w:r>
              <w:rPr>
                <w:rFonts w:ascii="Times New Roman" w:eastAsia="黑体"/>
                <w:snapToGrid w:val="0"/>
                <w:spacing w:val="-6"/>
                <w:kern w:val="21"/>
                <w:szCs w:val="21"/>
                <w:lang w:val="en-US"/>
              </w:rPr>
              <w:fldChar w:fldCharType="begin"/>
            </w:r>
            <w:r>
              <w:rPr>
                <w:rFonts w:ascii="Times New Roman" w:eastAsia="黑体"/>
                <w:snapToGrid w:val="0"/>
                <w:spacing w:val="-6"/>
                <w:kern w:val="21"/>
                <w:szCs w:val="21"/>
                <w:lang w:val="en-US"/>
              </w:rPr>
              <w:instrText xml:space="preserve"> = 7 \* GB3 \* MERGEFORMAT </w:instrText>
            </w:r>
            <w:r>
              <w:rPr>
                <w:rFonts w:ascii="Times New Roman" w:eastAsia="黑体"/>
                <w:snapToGrid w:val="0"/>
                <w:spacing w:val="-6"/>
                <w:kern w:val="21"/>
                <w:szCs w:val="21"/>
                <w:lang w:val="en-US"/>
              </w:rPr>
              <w:fldChar w:fldCharType="separate"/>
            </w:r>
            <w:r>
              <w:rPr>
                <w:rFonts w:hint="eastAsia" w:hAnsi="宋体" w:cs="宋体"/>
                <w:kern w:val="2"/>
                <w:szCs w:val="21"/>
                <w:lang w:val="en-US"/>
              </w:rPr>
              <w:t>⑦</w:t>
            </w:r>
            <w:r>
              <w:rPr>
                <w:rFonts w:ascii="Times New Roman" w:eastAsia="黑体"/>
                <w:snapToGrid w:val="0"/>
                <w:spacing w:val="-6"/>
                <w:kern w:val="21"/>
                <w:szCs w:val="21"/>
                <w:lang w:val="en-US"/>
              </w:rPr>
              <w:fldChar w:fldCharType="end"/>
            </w:r>
          </w:p>
        </w:tc>
      </w:tr>
      <w:tr w14:paraId="520ACF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3788" w:type="dxa"/>
            <w:gridSpan w:val="9"/>
            <w:vAlign w:val="center"/>
          </w:tcPr>
          <w:p w14:paraId="520ACF91">
            <w:pPr>
              <w:pStyle w:val="32"/>
              <w:spacing w:beforeLines="0" w:afterLines="0" w:line="240" w:lineRule="auto"/>
              <w:rPr>
                <w:rFonts w:ascii="Times New Roman"/>
                <w:b/>
                <w:bCs/>
                <w:szCs w:val="21"/>
                <w:highlight w:val="yellow"/>
              </w:rPr>
            </w:pPr>
            <w:r>
              <w:rPr>
                <w:rFonts w:hint="eastAsia" w:ascii="Times New Roman"/>
                <w:b/>
                <w:bCs/>
                <w:szCs w:val="21"/>
              </w:rPr>
              <w:t>建设路厂区</w:t>
            </w:r>
          </w:p>
        </w:tc>
      </w:tr>
      <w:tr w14:paraId="520ACF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restart"/>
            <w:vAlign w:val="center"/>
          </w:tcPr>
          <w:p w14:paraId="520ACF93">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废气</w:t>
            </w:r>
          </w:p>
        </w:tc>
        <w:tc>
          <w:tcPr>
            <w:tcW w:w="1418" w:type="dxa"/>
            <w:vAlign w:val="center"/>
          </w:tcPr>
          <w:p w14:paraId="520ACF94">
            <w:pPr>
              <w:pStyle w:val="32"/>
              <w:spacing w:beforeLines="0" w:afterLines="0" w:line="240" w:lineRule="auto"/>
              <w:rPr>
                <w:rFonts w:ascii="Times New Roman"/>
                <w:snapToGrid w:val="0"/>
                <w:kern w:val="21"/>
                <w:szCs w:val="21"/>
                <w:lang w:val="en-US"/>
              </w:rPr>
            </w:pPr>
            <w:r>
              <w:rPr>
                <w:rFonts w:ascii="Times New Roman"/>
                <w:szCs w:val="21"/>
              </w:rPr>
              <w:t>铬酸雾</w:t>
            </w:r>
          </w:p>
        </w:tc>
        <w:tc>
          <w:tcPr>
            <w:tcW w:w="1606" w:type="dxa"/>
            <w:vAlign w:val="center"/>
          </w:tcPr>
          <w:p w14:paraId="520ACF95">
            <w:pPr>
              <w:pStyle w:val="32"/>
              <w:spacing w:beforeLines="0" w:afterLines="0" w:line="240" w:lineRule="auto"/>
              <w:rPr>
                <w:rFonts w:ascii="Times New Roman"/>
                <w:snapToGrid w:val="0"/>
                <w:kern w:val="21"/>
                <w:szCs w:val="21"/>
                <w:lang w:val="en-US"/>
              </w:rPr>
            </w:pPr>
            <w:r>
              <w:rPr>
                <w:rFonts w:ascii="Times New Roman"/>
                <w:szCs w:val="21"/>
              </w:rPr>
              <w:t>0.0020</w:t>
            </w:r>
          </w:p>
        </w:tc>
        <w:tc>
          <w:tcPr>
            <w:tcW w:w="1607" w:type="dxa"/>
            <w:vAlign w:val="center"/>
          </w:tcPr>
          <w:p w14:paraId="520ACF96">
            <w:pPr>
              <w:pStyle w:val="32"/>
              <w:spacing w:beforeLines="0" w:afterLines="0" w:line="240" w:lineRule="auto"/>
              <w:rPr>
                <w:rFonts w:ascii="Times New Roman"/>
                <w:snapToGrid w:val="0"/>
                <w:kern w:val="21"/>
                <w:szCs w:val="21"/>
                <w:lang w:val="en-US"/>
              </w:rPr>
            </w:pPr>
            <w:r>
              <w:rPr>
                <w:rFonts w:ascii="Times New Roman"/>
                <w:szCs w:val="21"/>
              </w:rPr>
              <w:t>0.0030</w:t>
            </w:r>
          </w:p>
        </w:tc>
        <w:tc>
          <w:tcPr>
            <w:tcW w:w="1606" w:type="dxa"/>
            <w:vAlign w:val="center"/>
          </w:tcPr>
          <w:p w14:paraId="520ACF97">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CF98">
            <w:pPr>
              <w:pStyle w:val="32"/>
              <w:spacing w:beforeLines="0" w:afterLines="0" w:line="240" w:lineRule="auto"/>
              <w:rPr>
                <w:rFonts w:ascii="Times New Roman"/>
                <w:snapToGrid w:val="0"/>
                <w:kern w:val="21"/>
                <w:szCs w:val="21"/>
                <w:lang w:val="en-US"/>
              </w:rPr>
            </w:pPr>
            <w:r>
              <w:rPr>
                <w:rFonts w:ascii="Times New Roman"/>
                <w:szCs w:val="21"/>
              </w:rPr>
              <w:t>0</w:t>
            </w:r>
          </w:p>
        </w:tc>
        <w:tc>
          <w:tcPr>
            <w:tcW w:w="1606" w:type="dxa"/>
            <w:vAlign w:val="center"/>
          </w:tcPr>
          <w:p w14:paraId="520ACF99">
            <w:pPr>
              <w:pStyle w:val="32"/>
              <w:spacing w:beforeLines="0" w:afterLines="0" w:line="240" w:lineRule="auto"/>
              <w:rPr>
                <w:rFonts w:ascii="Times New Roman"/>
                <w:snapToGrid w:val="0"/>
                <w:kern w:val="21"/>
                <w:szCs w:val="21"/>
                <w:lang w:val="en-US"/>
              </w:rPr>
            </w:pPr>
            <w:r>
              <w:rPr>
                <w:rFonts w:ascii="Times New Roman"/>
                <w:szCs w:val="21"/>
              </w:rPr>
              <w:t>0</w:t>
            </w:r>
          </w:p>
        </w:tc>
        <w:tc>
          <w:tcPr>
            <w:tcW w:w="1607" w:type="dxa"/>
            <w:vAlign w:val="center"/>
          </w:tcPr>
          <w:p w14:paraId="520ACF9A">
            <w:pPr>
              <w:pStyle w:val="32"/>
              <w:spacing w:beforeLines="0" w:afterLines="0" w:line="240" w:lineRule="auto"/>
              <w:rPr>
                <w:rFonts w:ascii="Times New Roman"/>
                <w:snapToGrid w:val="0"/>
                <w:kern w:val="21"/>
                <w:szCs w:val="21"/>
                <w:lang w:val="en-US"/>
              </w:rPr>
            </w:pPr>
            <w:r>
              <w:rPr>
                <w:rFonts w:ascii="Times New Roman"/>
                <w:szCs w:val="21"/>
              </w:rPr>
              <w:t>0.0020</w:t>
            </w:r>
          </w:p>
        </w:tc>
        <w:tc>
          <w:tcPr>
            <w:tcW w:w="1607" w:type="dxa"/>
            <w:vAlign w:val="center"/>
          </w:tcPr>
          <w:p w14:paraId="520ACF9B">
            <w:pPr>
              <w:pStyle w:val="32"/>
              <w:spacing w:beforeLines="0" w:afterLines="0" w:line="240" w:lineRule="auto"/>
              <w:rPr>
                <w:rFonts w:ascii="Times New Roman"/>
                <w:snapToGrid w:val="0"/>
                <w:kern w:val="21"/>
                <w:szCs w:val="21"/>
                <w:lang w:val="en-US"/>
              </w:rPr>
            </w:pPr>
            <w:r>
              <w:rPr>
                <w:rFonts w:ascii="Times New Roman"/>
                <w:szCs w:val="21"/>
              </w:rPr>
              <w:t>0</w:t>
            </w:r>
          </w:p>
        </w:tc>
      </w:tr>
      <w:tr w14:paraId="520ACF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CF9D">
            <w:pPr>
              <w:pStyle w:val="32"/>
              <w:spacing w:beforeLines="0" w:afterLines="0" w:line="240" w:lineRule="auto"/>
              <w:rPr>
                <w:rFonts w:ascii="Times New Roman"/>
                <w:snapToGrid w:val="0"/>
                <w:kern w:val="21"/>
                <w:szCs w:val="21"/>
                <w:lang w:val="en-US"/>
              </w:rPr>
            </w:pPr>
          </w:p>
        </w:tc>
        <w:tc>
          <w:tcPr>
            <w:tcW w:w="1418" w:type="dxa"/>
            <w:vAlign w:val="center"/>
          </w:tcPr>
          <w:p w14:paraId="520ACF9E">
            <w:pPr>
              <w:pStyle w:val="32"/>
              <w:spacing w:beforeLines="0" w:afterLines="0" w:line="240" w:lineRule="auto"/>
              <w:rPr>
                <w:rFonts w:ascii="Times New Roman"/>
                <w:snapToGrid w:val="0"/>
                <w:kern w:val="21"/>
                <w:szCs w:val="21"/>
                <w:lang w:val="en-US"/>
              </w:rPr>
            </w:pPr>
            <w:r>
              <w:rPr>
                <w:rFonts w:ascii="Times New Roman"/>
                <w:szCs w:val="21"/>
              </w:rPr>
              <w:t>硫酸雾</w:t>
            </w:r>
          </w:p>
        </w:tc>
        <w:tc>
          <w:tcPr>
            <w:tcW w:w="1606" w:type="dxa"/>
            <w:vAlign w:val="center"/>
          </w:tcPr>
          <w:p w14:paraId="520ACF9F">
            <w:pPr>
              <w:pStyle w:val="32"/>
              <w:spacing w:beforeLines="0" w:afterLines="0" w:line="240" w:lineRule="auto"/>
              <w:rPr>
                <w:rFonts w:ascii="Times New Roman"/>
                <w:snapToGrid w:val="0"/>
                <w:kern w:val="21"/>
                <w:szCs w:val="21"/>
                <w:lang w:val="en-US"/>
              </w:rPr>
            </w:pPr>
            <w:r>
              <w:rPr>
                <w:rFonts w:ascii="Times New Roman"/>
                <w:szCs w:val="21"/>
              </w:rPr>
              <w:t>0.1409</w:t>
            </w:r>
          </w:p>
        </w:tc>
        <w:tc>
          <w:tcPr>
            <w:tcW w:w="1607" w:type="dxa"/>
            <w:vAlign w:val="center"/>
          </w:tcPr>
          <w:p w14:paraId="520ACFA0">
            <w:pPr>
              <w:pStyle w:val="32"/>
              <w:spacing w:beforeLines="0" w:afterLines="0" w:line="240" w:lineRule="auto"/>
              <w:rPr>
                <w:rFonts w:ascii="Times New Roman"/>
                <w:snapToGrid w:val="0"/>
                <w:kern w:val="21"/>
                <w:szCs w:val="21"/>
                <w:lang w:val="en-US"/>
              </w:rPr>
            </w:pPr>
            <w:r>
              <w:rPr>
                <w:rFonts w:ascii="Times New Roman"/>
                <w:szCs w:val="21"/>
              </w:rPr>
              <w:t>0.1525</w:t>
            </w:r>
          </w:p>
        </w:tc>
        <w:tc>
          <w:tcPr>
            <w:tcW w:w="1606" w:type="dxa"/>
            <w:vAlign w:val="center"/>
          </w:tcPr>
          <w:p w14:paraId="520ACFA1">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CFA2">
            <w:pPr>
              <w:pStyle w:val="32"/>
              <w:spacing w:beforeLines="0" w:afterLines="0" w:line="240" w:lineRule="auto"/>
              <w:rPr>
                <w:rFonts w:ascii="Times New Roman"/>
                <w:snapToGrid w:val="0"/>
                <w:kern w:val="21"/>
                <w:szCs w:val="21"/>
                <w:lang w:val="en-US"/>
              </w:rPr>
            </w:pPr>
            <w:r>
              <w:rPr>
                <w:rFonts w:ascii="Times New Roman"/>
                <w:szCs w:val="21"/>
              </w:rPr>
              <w:t>0</w:t>
            </w:r>
          </w:p>
        </w:tc>
        <w:tc>
          <w:tcPr>
            <w:tcW w:w="1606" w:type="dxa"/>
            <w:vAlign w:val="center"/>
          </w:tcPr>
          <w:p w14:paraId="520ACFA3">
            <w:pPr>
              <w:pStyle w:val="32"/>
              <w:spacing w:beforeLines="0" w:afterLines="0" w:line="240" w:lineRule="auto"/>
              <w:rPr>
                <w:rFonts w:ascii="Times New Roman"/>
                <w:snapToGrid w:val="0"/>
                <w:kern w:val="21"/>
                <w:szCs w:val="21"/>
                <w:lang w:val="en-US"/>
              </w:rPr>
            </w:pPr>
            <w:r>
              <w:rPr>
                <w:rFonts w:ascii="Times New Roman"/>
                <w:szCs w:val="21"/>
              </w:rPr>
              <w:t>0</w:t>
            </w:r>
          </w:p>
        </w:tc>
        <w:tc>
          <w:tcPr>
            <w:tcW w:w="1607" w:type="dxa"/>
            <w:vAlign w:val="center"/>
          </w:tcPr>
          <w:p w14:paraId="520ACFA4">
            <w:pPr>
              <w:pStyle w:val="32"/>
              <w:spacing w:beforeLines="0" w:afterLines="0" w:line="240" w:lineRule="auto"/>
              <w:rPr>
                <w:rFonts w:ascii="Times New Roman"/>
                <w:snapToGrid w:val="0"/>
                <w:kern w:val="21"/>
                <w:szCs w:val="21"/>
                <w:lang w:val="en-US"/>
              </w:rPr>
            </w:pPr>
            <w:r>
              <w:rPr>
                <w:rFonts w:ascii="Times New Roman"/>
                <w:szCs w:val="21"/>
              </w:rPr>
              <w:t>0.1409</w:t>
            </w:r>
          </w:p>
        </w:tc>
        <w:tc>
          <w:tcPr>
            <w:tcW w:w="1607" w:type="dxa"/>
            <w:vAlign w:val="center"/>
          </w:tcPr>
          <w:p w14:paraId="520ACFA5">
            <w:pPr>
              <w:pStyle w:val="32"/>
              <w:spacing w:beforeLines="0" w:afterLines="0" w:line="240" w:lineRule="auto"/>
              <w:rPr>
                <w:rFonts w:ascii="Times New Roman"/>
                <w:snapToGrid w:val="0"/>
                <w:kern w:val="21"/>
                <w:szCs w:val="21"/>
                <w:lang w:val="en-US"/>
              </w:rPr>
            </w:pPr>
            <w:r>
              <w:rPr>
                <w:rFonts w:ascii="Times New Roman"/>
                <w:szCs w:val="21"/>
              </w:rPr>
              <w:t>0</w:t>
            </w:r>
          </w:p>
        </w:tc>
      </w:tr>
      <w:tr w14:paraId="520ACF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CFA7">
            <w:pPr>
              <w:pStyle w:val="32"/>
              <w:spacing w:beforeLines="0" w:afterLines="0" w:line="240" w:lineRule="auto"/>
              <w:rPr>
                <w:rFonts w:ascii="Times New Roman"/>
                <w:snapToGrid w:val="0"/>
                <w:kern w:val="21"/>
                <w:szCs w:val="21"/>
                <w:lang w:val="en-US"/>
              </w:rPr>
            </w:pPr>
          </w:p>
        </w:tc>
        <w:tc>
          <w:tcPr>
            <w:tcW w:w="1418" w:type="dxa"/>
            <w:vAlign w:val="center"/>
          </w:tcPr>
          <w:p w14:paraId="520ACFA8">
            <w:pPr>
              <w:pStyle w:val="32"/>
              <w:spacing w:beforeLines="0" w:afterLines="0" w:line="240" w:lineRule="auto"/>
              <w:rPr>
                <w:rFonts w:ascii="Times New Roman"/>
                <w:snapToGrid w:val="0"/>
                <w:kern w:val="21"/>
                <w:szCs w:val="21"/>
                <w:lang w:val="en-US"/>
              </w:rPr>
            </w:pPr>
            <w:r>
              <w:rPr>
                <w:rFonts w:ascii="Times New Roman"/>
                <w:szCs w:val="21"/>
              </w:rPr>
              <w:t>氯化氢</w:t>
            </w:r>
          </w:p>
        </w:tc>
        <w:tc>
          <w:tcPr>
            <w:tcW w:w="1606" w:type="dxa"/>
            <w:vAlign w:val="center"/>
          </w:tcPr>
          <w:p w14:paraId="520ACFA9">
            <w:pPr>
              <w:pStyle w:val="32"/>
              <w:spacing w:beforeLines="0" w:afterLines="0" w:line="240" w:lineRule="auto"/>
              <w:rPr>
                <w:rFonts w:ascii="Times New Roman"/>
                <w:snapToGrid w:val="0"/>
                <w:kern w:val="21"/>
                <w:szCs w:val="21"/>
                <w:lang w:val="en-US"/>
              </w:rPr>
            </w:pPr>
            <w:r>
              <w:rPr>
                <w:rFonts w:ascii="Times New Roman"/>
                <w:szCs w:val="21"/>
              </w:rPr>
              <w:t>0.1769</w:t>
            </w:r>
          </w:p>
        </w:tc>
        <w:tc>
          <w:tcPr>
            <w:tcW w:w="1607" w:type="dxa"/>
            <w:vAlign w:val="center"/>
          </w:tcPr>
          <w:p w14:paraId="520ACFAA">
            <w:pPr>
              <w:pStyle w:val="32"/>
              <w:spacing w:beforeLines="0" w:afterLines="0" w:line="240" w:lineRule="auto"/>
              <w:rPr>
                <w:rFonts w:ascii="Times New Roman"/>
                <w:snapToGrid w:val="0"/>
                <w:kern w:val="21"/>
                <w:szCs w:val="21"/>
                <w:lang w:val="en-US"/>
              </w:rPr>
            </w:pPr>
            <w:r>
              <w:rPr>
                <w:rFonts w:ascii="Times New Roman"/>
                <w:szCs w:val="21"/>
              </w:rPr>
              <w:t>0.4813</w:t>
            </w:r>
          </w:p>
        </w:tc>
        <w:tc>
          <w:tcPr>
            <w:tcW w:w="1606" w:type="dxa"/>
            <w:vAlign w:val="center"/>
          </w:tcPr>
          <w:p w14:paraId="520ACFAB">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CFAC">
            <w:pPr>
              <w:pStyle w:val="32"/>
              <w:spacing w:beforeLines="0" w:afterLines="0" w:line="240" w:lineRule="auto"/>
              <w:rPr>
                <w:rFonts w:ascii="Times New Roman"/>
                <w:snapToGrid w:val="0"/>
                <w:kern w:val="21"/>
                <w:szCs w:val="21"/>
                <w:lang w:val="en-US"/>
              </w:rPr>
            </w:pPr>
            <w:r>
              <w:rPr>
                <w:rFonts w:ascii="Times New Roman"/>
                <w:szCs w:val="21"/>
              </w:rPr>
              <w:t>0</w:t>
            </w:r>
          </w:p>
        </w:tc>
        <w:tc>
          <w:tcPr>
            <w:tcW w:w="1606" w:type="dxa"/>
            <w:vAlign w:val="center"/>
          </w:tcPr>
          <w:p w14:paraId="520ACFAD">
            <w:pPr>
              <w:pStyle w:val="32"/>
              <w:spacing w:beforeLines="0" w:afterLines="0" w:line="240" w:lineRule="auto"/>
              <w:rPr>
                <w:rFonts w:ascii="Times New Roman"/>
                <w:snapToGrid w:val="0"/>
                <w:kern w:val="21"/>
                <w:szCs w:val="21"/>
                <w:lang w:val="en-US"/>
              </w:rPr>
            </w:pPr>
            <w:r>
              <w:rPr>
                <w:rFonts w:ascii="Times New Roman"/>
                <w:szCs w:val="21"/>
              </w:rPr>
              <w:t>0</w:t>
            </w:r>
          </w:p>
        </w:tc>
        <w:tc>
          <w:tcPr>
            <w:tcW w:w="1607" w:type="dxa"/>
            <w:vAlign w:val="center"/>
          </w:tcPr>
          <w:p w14:paraId="520ACFAE">
            <w:pPr>
              <w:pStyle w:val="32"/>
              <w:spacing w:beforeLines="0" w:afterLines="0" w:line="240" w:lineRule="auto"/>
              <w:rPr>
                <w:rFonts w:ascii="Times New Roman"/>
                <w:snapToGrid w:val="0"/>
                <w:kern w:val="21"/>
                <w:szCs w:val="21"/>
                <w:lang w:val="en-US"/>
              </w:rPr>
            </w:pPr>
            <w:r>
              <w:rPr>
                <w:rFonts w:ascii="Times New Roman"/>
                <w:szCs w:val="21"/>
              </w:rPr>
              <w:t>0.1769</w:t>
            </w:r>
          </w:p>
        </w:tc>
        <w:tc>
          <w:tcPr>
            <w:tcW w:w="1607" w:type="dxa"/>
            <w:vAlign w:val="center"/>
          </w:tcPr>
          <w:p w14:paraId="520ACFAF">
            <w:pPr>
              <w:pStyle w:val="32"/>
              <w:spacing w:beforeLines="0" w:afterLines="0" w:line="240" w:lineRule="auto"/>
              <w:rPr>
                <w:rFonts w:ascii="Times New Roman"/>
                <w:snapToGrid w:val="0"/>
                <w:kern w:val="21"/>
                <w:szCs w:val="21"/>
                <w:lang w:val="en-US"/>
              </w:rPr>
            </w:pPr>
            <w:r>
              <w:rPr>
                <w:rFonts w:ascii="Times New Roman"/>
                <w:szCs w:val="21"/>
              </w:rPr>
              <w:t>0</w:t>
            </w:r>
          </w:p>
        </w:tc>
      </w:tr>
      <w:tr w14:paraId="520ACF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CFB1">
            <w:pPr>
              <w:pStyle w:val="32"/>
              <w:spacing w:beforeLines="0" w:afterLines="0" w:line="240" w:lineRule="auto"/>
              <w:rPr>
                <w:rFonts w:ascii="Times New Roman"/>
                <w:snapToGrid w:val="0"/>
                <w:kern w:val="21"/>
                <w:szCs w:val="21"/>
                <w:lang w:val="en-US"/>
              </w:rPr>
            </w:pPr>
          </w:p>
        </w:tc>
        <w:tc>
          <w:tcPr>
            <w:tcW w:w="1418" w:type="dxa"/>
            <w:vAlign w:val="center"/>
          </w:tcPr>
          <w:p w14:paraId="520ACFB2">
            <w:pPr>
              <w:pStyle w:val="32"/>
              <w:spacing w:beforeLines="0" w:afterLines="0" w:line="240" w:lineRule="auto"/>
              <w:rPr>
                <w:rFonts w:ascii="Times New Roman"/>
                <w:snapToGrid w:val="0"/>
                <w:kern w:val="21"/>
                <w:szCs w:val="21"/>
                <w:lang w:val="en-US"/>
              </w:rPr>
            </w:pPr>
            <w:r>
              <w:rPr>
                <w:rFonts w:ascii="Times New Roman"/>
                <w:szCs w:val="21"/>
              </w:rPr>
              <w:t>氰化氢</w:t>
            </w:r>
          </w:p>
        </w:tc>
        <w:tc>
          <w:tcPr>
            <w:tcW w:w="1606" w:type="dxa"/>
            <w:vAlign w:val="center"/>
          </w:tcPr>
          <w:p w14:paraId="520ACFB3">
            <w:pPr>
              <w:pStyle w:val="32"/>
              <w:spacing w:beforeLines="0" w:afterLines="0" w:line="240" w:lineRule="auto"/>
              <w:rPr>
                <w:rFonts w:ascii="Times New Roman"/>
                <w:snapToGrid w:val="0"/>
                <w:kern w:val="21"/>
                <w:szCs w:val="21"/>
                <w:lang w:val="en-US"/>
              </w:rPr>
            </w:pPr>
            <w:r>
              <w:rPr>
                <w:rFonts w:ascii="Times New Roman"/>
                <w:szCs w:val="21"/>
              </w:rPr>
              <w:t>0.0077</w:t>
            </w:r>
          </w:p>
        </w:tc>
        <w:tc>
          <w:tcPr>
            <w:tcW w:w="1607" w:type="dxa"/>
            <w:vAlign w:val="center"/>
          </w:tcPr>
          <w:p w14:paraId="520ACFB4">
            <w:pPr>
              <w:pStyle w:val="32"/>
              <w:spacing w:beforeLines="0" w:afterLines="0" w:line="240" w:lineRule="auto"/>
              <w:rPr>
                <w:rFonts w:ascii="Times New Roman"/>
                <w:snapToGrid w:val="0"/>
                <w:kern w:val="21"/>
                <w:szCs w:val="21"/>
                <w:lang w:val="en-US"/>
              </w:rPr>
            </w:pPr>
            <w:r>
              <w:rPr>
                <w:rFonts w:ascii="Times New Roman"/>
                <w:szCs w:val="21"/>
              </w:rPr>
              <w:t>0.0086</w:t>
            </w:r>
          </w:p>
        </w:tc>
        <w:tc>
          <w:tcPr>
            <w:tcW w:w="1606" w:type="dxa"/>
            <w:vAlign w:val="center"/>
          </w:tcPr>
          <w:p w14:paraId="520ACFB5">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CFB6">
            <w:pPr>
              <w:pStyle w:val="32"/>
              <w:spacing w:beforeLines="0" w:afterLines="0" w:line="240" w:lineRule="auto"/>
              <w:rPr>
                <w:rFonts w:ascii="Times New Roman"/>
                <w:snapToGrid w:val="0"/>
                <w:kern w:val="21"/>
                <w:szCs w:val="21"/>
                <w:lang w:val="en-US"/>
              </w:rPr>
            </w:pPr>
            <w:r>
              <w:rPr>
                <w:rFonts w:ascii="Times New Roman"/>
                <w:szCs w:val="21"/>
              </w:rPr>
              <w:t>0</w:t>
            </w:r>
          </w:p>
        </w:tc>
        <w:tc>
          <w:tcPr>
            <w:tcW w:w="1606" w:type="dxa"/>
            <w:vAlign w:val="center"/>
          </w:tcPr>
          <w:p w14:paraId="520ACFB7">
            <w:pPr>
              <w:pStyle w:val="32"/>
              <w:spacing w:beforeLines="0" w:afterLines="0" w:line="240" w:lineRule="auto"/>
              <w:rPr>
                <w:rFonts w:ascii="Times New Roman"/>
                <w:snapToGrid w:val="0"/>
                <w:kern w:val="21"/>
                <w:szCs w:val="21"/>
                <w:lang w:val="en-US"/>
              </w:rPr>
            </w:pPr>
            <w:r>
              <w:rPr>
                <w:rFonts w:ascii="Times New Roman"/>
                <w:szCs w:val="21"/>
              </w:rPr>
              <w:t>0</w:t>
            </w:r>
          </w:p>
        </w:tc>
        <w:tc>
          <w:tcPr>
            <w:tcW w:w="1607" w:type="dxa"/>
            <w:vAlign w:val="center"/>
          </w:tcPr>
          <w:p w14:paraId="520ACFB8">
            <w:pPr>
              <w:pStyle w:val="32"/>
              <w:spacing w:beforeLines="0" w:afterLines="0" w:line="240" w:lineRule="auto"/>
              <w:rPr>
                <w:rFonts w:ascii="Times New Roman"/>
                <w:snapToGrid w:val="0"/>
                <w:kern w:val="21"/>
                <w:szCs w:val="21"/>
                <w:lang w:val="en-US"/>
              </w:rPr>
            </w:pPr>
            <w:r>
              <w:rPr>
                <w:rFonts w:ascii="Times New Roman"/>
                <w:szCs w:val="21"/>
              </w:rPr>
              <w:t>0.0077</w:t>
            </w:r>
          </w:p>
        </w:tc>
        <w:tc>
          <w:tcPr>
            <w:tcW w:w="1607" w:type="dxa"/>
            <w:vAlign w:val="center"/>
          </w:tcPr>
          <w:p w14:paraId="520ACFB9">
            <w:pPr>
              <w:pStyle w:val="32"/>
              <w:spacing w:beforeLines="0" w:afterLines="0" w:line="240" w:lineRule="auto"/>
              <w:rPr>
                <w:rFonts w:ascii="Times New Roman"/>
                <w:snapToGrid w:val="0"/>
                <w:kern w:val="21"/>
                <w:szCs w:val="21"/>
                <w:lang w:val="en-US"/>
              </w:rPr>
            </w:pPr>
            <w:r>
              <w:rPr>
                <w:rFonts w:ascii="Times New Roman"/>
                <w:szCs w:val="21"/>
              </w:rPr>
              <w:t>0</w:t>
            </w:r>
          </w:p>
        </w:tc>
      </w:tr>
      <w:tr w14:paraId="520ACF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CFBB">
            <w:pPr>
              <w:pStyle w:val="32"/>
              <w:spacing w:beforeLines="0" w:afterLines="0" w:line="240" w:lineRule="auto"/>
              <w:rPr>
                <w:rFonts w:ascii="Times New Roman"/>
                <w:snapToGrid w:val="0"/>
                <w:kern w:val="21"/>
                <w:szCs w:val="21"/>
                <w:lang w:val="en-US"/>
              </w:rPr>
            </w:pPr>
          </w:p>
        </w:tc>
        <w:tc>
          <w:tcPr>
            <w:tcW w:w="1418" w:type="dxa"/>
            <w:vAlign w:val="center"/>
          </w:tcPr>
          <w:p w14:paraId="520ACFBC">
            <w:pPr>
              <w:pStyle w:val="32"/>
              <w:spacing w:beforeLines="0" w:afterLines="0" w:line="240" w:lineRule="auto"/>
              <w:rPr>
                <w:rFonts w:ascii="Times New Roman"/>
                <w:snapToGrid w:val="0"/>
                <w:kern w:val="21"/>
                <w:szCs w:val="21"/>
                <w:lang w:val="en-US"/>
              </w:rPr>
            </w:pPr>
            <w:r>
              <w:rPr>
                <w:rFonts w:ascii="Times New Roman"/>
                <w:szCs w:val="21"/>
              </w:rPr>
              <w:t>氮氧化物</w:t>
            </w:r>
          </w:p>
        </w:tc>
        <w:tc>
          <w:tcPr>
            <w:tcW w:w="1606" w:type="dxa"/>
            <w:vAlign w:val="center"/>
          </w:tcPr>
          <w:p w14:paraId="520ACFBD">
            <w:pPr>
              <w:pStyle w:val="32"/>
              <w:spacing w:beforeLines="0" w:afterLines="0" w:line="240" w:lineRule="auto"/>
              <w:rPr>
                <w:rFonts w:ascii="Times New Roman"/>
                <w:snapToGrid w:val="0"/>
                <w:kern w:val="21"/>
                <w:szCs w:val="21"/>
                <w:lang w:val="en-US"/>
              </w:rPr>
            </w:pPr>
            <w:r>
              <w:rPr>
                <w:rFonts w:ascii="Times New Roman"/>
                <w:szCs w:val="21"/>
              </w:rPr>
              <w:t>0.7709</w:t>
            </w:r>
          </w:p>
        </w:tc>
        <w:tc>
          <w:tcPr>
            <w:tcW w:w="1607" w:type="dxa"/>
            <w:vAlign w:val="center"/>
          </w:tcPr>
          <w:p w14:paraId="520ACFBE">
            <w:pPr>
              <w:pStyle w:val="32"/>
              <w:spacing w:beforeLines="0" w:afterLines="0" w:line="240" w:lineRule="auto"/>
              <w:rPr>
                <w:rFonts w:ascii="Times New Roman"/>
                <w:snapToGrid w:val="0"/>
                <w:kern w:val="21"/>
                <w:szCs w:val="21"/>
                <w:lang w:val="en-US"/>
              </w:rPr>
            </w:pPr>
            <w:r>
              <w:rPr>
                <w:rFonts w:ascii="Times New Roman"/>
                <w:szCs w:val="21"/>
              </w:rPr>
              <w:t>5.1907</w:t>
            </w:r>
          </w:p>
        </w:tc>
        <w:tc>
          <w:tcPr>
            <w:tcW w:w="1606" w:type="dxa"/>
            <w:vAlign w:val="center"/>
          </w:tcPr>
          <w:p w14:paraId="520ACFBF">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CFC0">
            <w:pPr>
              <w:pStyle w:val="32"/>
              <w:spacing w:beforeLines="0" w:afterLines="0" w:line="240" w:lineRule="auto"/>
              <w:rPr>
                <w:rFonts w:ascii="Times New Roman"/>
                <w:snapToGrid w:val="0"/>
                <w:kern w:val="21"/>
                <w:szCs w:val="21"/>
                <w:lang w:val="en-US"/>
              </w:rPr>
            </w:pPr>
            <w:r>
              <w:rPr>
                <w:rFonts w:ascii="Times New Roman"/>
                <w:szCs w:val="21"/>
              </w:rPr>
              <w:t>0</w:t>
            </w:r>
          </w:p>
        </w:tc>
        <w:tc>
          <w:tcPr>
            <w:tcW w:w="1606" w:type="dxa"/>
            <w:vAlign w:val="center"/>
          </w:tcPr>
          <w:p w14:paraId="520ACFC1">
            <w:pPr>
              <w:pStyle w:val="32"/>
              <w:spacing w:beforeLines="0" w:afterLines="0" w:line="240" w:lineRule="auto"/>
              <w:rPr>
                <w:rFonts w:ascii="Times New Roman"/>
                <w:snapToGrid w:val="0"/>
                <w:kern w:val="21"/>
                <w:szCs w:val="21"/>
                <w:lang w:val="en-US"/>
              </w:rPr>
            </w:pPr>
            <w:r>
              <w:rPr>
                <w:rFonts w:ascii="Times New Roman"/>
                <w:szCs w:val="21"/>
              </w:rPr>
              <w:t>0</w:t>
            </w:r>
          </w:p>
        </w:tc>
        <w:tc>
          <w:tcPr>
            <w:tcW w:w="1607" w:type="dxa"/>
            <w:vAlign w:val="center"/>
          </w:tcPr>
          <w:p w14:paraId="520ACFC2">
            <w:pPr>
              <w:pStyle w:val="32"/>
              <w:spacing w:beforeLines="0" w:afterLines="0" w:line="240" w:lineRule="auto"/>
              <w:rPr>
                <w:rFonts w:ascii="Times New Roman"/>
                <w:snapToGrid w:val="0"/>
                <w:kern w:val="21"/>
                <w:szCs w:val="21"/>
                <w:lang w:val="en-US"/>
              </w:rPr>
            </w:pPr>
            <w:r>
              <w:rPr>
                <w:rFonts w:ascii="Times New Roman"/>
                <w:szCs w:val="21"/>
              </w:rPr>
              <w:t>0.7709</w:t>
            </w:r>
          </w:p>
        </w:tc>
        <w:tc>
          <w:tcPr>
            <w:tcW w:w="1607" w:type="dxa"/>
            <w:vAlign w:val="center"/>
          </w:tcPr>
          <w:p w14:paraId="520ACFC3">
            <w:pPr>
              <w:pStyle w:val="32"/>
              <w:spacing w:beforeLines="0" w:afterLines="0" w:line="240" w:lineRule="auto"/>
              <w:rPr>
                <w:rFonts w:ascii="Times New Roman"/>
                <w:snapToGrid w:val="0"/>
                <w:kern w:val="21"/>
                <w:szCs w:val="21"/>
                <w:lang w:val="en-US"/>
              </w:rPr>
            </w:pPr>
            <w:r>
              <w:rPr>
                <w:rFonts w:ascii="Times New Roman"/>
                <w:szCs w:val="21"/>
              </w:rPr>
              <w:t>0</w:t>
            </w:r>
          </w:p>
        </w:tc>
      </w:tr>
      <w:tr w14:paraId="520ACF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CFC5">
            <w:pPr>
              <w:pStyle w:val="32"/>
              <w:spacing w:beforeLines="0" w:afterLines="0" w:line="240" w:lineRule="auto"/>
              <w:rPr>
                <w:rFonts w:ascii="Times New Roman"/>
                <w:snapToGrid w:val="0"/>
                <w:kern w:val="21"/>
                <w:szCs w:val="21"/>
                <w:lang w:val="en-US"/>
              </w:rPr>
            </w:pPr>
          </w:p>
        </w:tc>
        <w:tc>
          <w:tcPr>
            <w:tcW w:w="1418" w:type="dxa"/>
            <w:vAlign w:val="center"/>
          </w:tcPr>
          <w:p w14:paraId="520ACFC6">
            <w:pPr>
              <w:pStyle w:val="32"/>
              <w:spacing w:beforeLines="0" w:afterLines="0" w:line="240" w:lineRule="auto"/>
              <w:rPr>
                <w:rFonts w:ascii="Times New Roman"/>
                <w:snapToGrid w:val="0"/>
                <w:kern w:val="21"/>
                <w:szCs w:val="21"/>
                <w:lang w:val="en-US"/>
              </w:rPr>
            </w:pPr>
            <w:r>
              <w:rPr>
                <w:rFonts w:ascii="Times New Roman"/>
                <w:szCs w:val="21"/>
              </w:rPr>
              <w:t>锡及其化合物</w:t>
            </w:r>
          </w:p>
        </w:tc>
        <w:tc>
          <w:tcPr>
            <w:tcW w:w="1606" w:type="dxa"/>
            <w:vAlign w:val="center"/>
          </w:tcPr>
          <w:p w14:paraId="520ACFC7">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CFC8">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CFC9">
            <w:pPr>
              <w:pStyle w:val="32"/>
              <w:spacing w:beforeLines="0" w:afterLines="0" w:line="240" w:lineRule="auto"/>
              <w:rPr>
                <w:rFonts w:ascii="Times New Roman"/>
                <w:snapToGrid w:val="0"/>
                <w:kern w:val="21"/>
                <w:szCs w:val="21"/>
                <w:lang w:val="en-US"/>
              </w:rPr>
            </w:pPr>
            <w:r>
              <w:rPr>
                <w:rFonts w:ascii="Times New Roman"/>
                <w:szCs w:val="21"/>
              </w:rPr>
              <w:t>0.0220</w:t>
            </w:r>
          </w:p>
        </w:tc>
        <w:tc>
          <w:tcPr>
            <w:tcW w:w="1607" w:type="dxa"/>
            <w:vAlign w:val="center"/>
          </w:tcPr>
          <w:p w14:paraId="520ACFCA">
            <w:pPr>
              <w:pStyle w:val="32"/>
              <w:spacing w:beforeLines="0" w:afterLines="0" w:line="240" w:lineRule="auto"/>
              <w:rPr>
                <w:rFonts w:ascii="Times New Roman"/>
                <w:snapToGrid w:val="0"/>
                <w:kern w:val="21"/>
                <w:szCs w:val="21"/>
                <w:lang w:val="en-US"/>
              </w:rPr>
            </w:pPr>
            <w:r>
              <w:rPr>
                <w:rFonts w:ascii="Times New Roman"/>
                <w:szCs w:val="21"/>
              </w:rPr>
              <w:t>0</w:t>
            </w:r>
          </w:p>
        </w:tc>
        <w:tc>
          <w:tcPr>
            <w:tcW w:w="1606" w:type="dxa"/>
            <w:vAlign w:val="center"/>
          </w:tcPr>
          <w:p w14:paraId="520ACFCB">
            <w:pPr>
              <w:pStyle w:val="32"/>
              <w:spacing w:beforeLines="0" w:afterLines="0" w:line="240" w:lineRule="auto"/>
              <w:rPr>
                <w:rFonts w:ascii="Times New Roman"/>
                <w:snapToGrid w:val="0"/>
                <w:kern w:val="21"/>
                <w:szCs w:val="21"/>
                <w:lang w:val="en-US"/>
              </w:rPr>
            </w:pPr>
            <w:r>
              <w:rPr>
                <w:rFonts w:ascii="Times New Roman"/>
                <w:szCs w:val="21"/>
              </w:rPr>
              <w:t>0</w:t>
            </w:r>
          </w:p>
        </w:tc>
        <w:tc>
          <w:tcPr>
            <w:tcW w:w="1607" w:type="dxa"/>
            <w:vAlign w:val="center"/>
          </w:tcPr>
          <w:p w14:paraId="520ACFCC">
            <w:pPr>
              <w:pStyle w:val="32"/>
              <w:spacing w:beforeLines="0" w:afterLines="0" w:line="240" w:lineRule="auto"/>
              <w:rPr>
                <w:rFonts w:ascii="Times New Roman"/>
                <w:snapToGrid w:val="0"/>
                <w:kern w:val="21"/>
                <w:szCs w:val="21"/>
                <w:lang w:val="en-US"/>
              </w:rPr>
            </w:pPr>
            <w:r>
              <w:rPr>
                <w:rFonts w:ascii="Times New Roman"/>
                <w:szCs w:val="21"/>
              </w:rPr>
              <w:t>0.0220</w:t>
            </w:r>
          </w:p>
        </w:tc>
        <w:tc>
          <w:tcPr>
            <w:tcW w:w="1607" w:type="dxa"/>
            <w:vAlign w:val="center"/>
          </w:tcPr>
          <w:p w14:paraId="520ACFCD">
            <w:pPr>
              <w:pStyle w:val="32"/>
              <w:spacing w:beforeLines="0" w:afterLines="0" w:line="240" w:lineRule="auto"/>
              <w:rPr>
                <w:rFonts w:ascii="Times New Roman"/>
                <w:snapToGrid w:val="0"/>
                <w:kern w:val="21"/>
                <w:szCs w:val="21"/>
                <w:lang w:val="en-US"/>
              </w:rPr>
            </w:pPr>
            <w:r>
              <w:rPr>
                <w:rFonts w:ascii="Times New Roman"/>
                <w:szCs w:val="21"/>
              </w:rPr>
              <w:t>0</w:t>
            </w:r>
          </w:p>
        </w:tc>
      </w:tr>
      <w:tr w14:paraId="520ACF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CFCF">
            <w:pPr>
              <w:pStyle w:val="32"/>
              <w:spacing w:beforeLines="0" w:afterLines="0" w:line="240" w:lineRule="auto"/>
              <w:rPr>
                <w:rFonts w:ascii="Times New Roman"/>
                <w:snapToGrid w:val="0"/>
                <w:kern w:val="21"/>
                <w:szCs w:val="21"/>
                <w:lang w:val="en-US"/>
              </w:rPr>
            </w:pPr>
          </w:p>
        </w:tc>
        <w:tc>
          <w:tcPr>
            <w:tcW w:w="1418" w:type="dxa"/>
            <w:vAlign w:val="center"/>
          </w:tcPr>
          <w:p w14:paraId="520ACFD0">
            <w:pPr>
              <w:pStyle w:val="32"/>
              <w:spacing w:beforeLines="0" w:afterLines="0" w:line="240" w:lineRule="auto"/>
              <w:rPr>
                <w:rFonts w:ascii="Times New Roman"/>
                <w:snapToGrid w:val="0"/>
                <w:kern w:val="21"/>
                <w:szCs w:val="21"/>
                <w:lang w:val="en-US"/>
              </w:rPr>
            </w:pPr>
            <w:r>
              <w:rPr>
                <w:rFonts w:ascii="Times New Roman"/>
                <w:szCs w:val="21"/>
              </w:rPr>
              <w:t>颗粒物</w:t>
            </w:r>
          </w:p>
        </w:tc>
        <w:tc>
          <w:tcPr>
            <w:tcW w:w="1606" w:type="dxa"/>
            <w:vAlign w:val="center"/>
          </w:tcPr>
          <w:p w14:paraId="520ACFD1">
            <w:pPr>
              <w:pStyle w:val="32"/>
              <w:spacing w:beforeLines="0" w:afterLines="0" w:line="240" w:lineRule="auto"/>
              <w:rPr>
                <w:rFonts w:ascii="Times New Roman"/>
                <w:snapToGrid w:val="0"/>
                <w:kern w:val="21"/>
                <w:szCs w:val="21"/>
                <w:lang w:val="en-US"/>
              </w:rPr>
            </w:pPr>
            <w:r>
              <w:rPr>
                <w:rFonts w:ascii="Times New Roman"/>
                <w:szCs w:val="21"/>
              </w:rPr>
              <w:t>0.4388</w:t>
            </w:r>
          </w:p>
        </w:tc>
        <w:tc>
          <w:tcPr>
            <w:tcW w:w="1607" w:type="dxa"/>
            <w:vAlign w:val="center"/>
          </w:tcPr>
          <w:p w14:paraId="520ACFD2">
            <w:pPr>
              <w:pStyle w:val="32"/>
              <w:spacing w:beforeLines="0" w:afterLines="0" w:line="240" w:lineRule="auto"/>
              <w:rPr>
                <w:rFonts w:ascii="Times New Roman"/>
                <w:snapToGrid w:val="0"/>
                <w:kern w:val="21"/>
                <w:szCs w:val="21"/>
                <w:lang w:val="en-US"/>
              </w:rPr>
            </w:pPr>
            <w:r>
              <w:rPr>
                <w:rFonts w:ascii="Times New Roman"/>
                <w:szCs w:val="21"/>
              </w:rPr>
              <w:t>1.42404</w:t>
            </w:r>
          </w:p>
        </w:tc>
        <w:tc>
          <w:tcPr>
            <w:tcW w:w="1606" w:type="dxa"/>
            <w:vAlign w:val="center"/>
          </w:tcPr>
          <w:p w14:paraId="520ACFD3">
            <w:pPr>
              <w:pStyle w:val="32"/>
              <w:spacing w:beforeLines="0" w:afterLines="0" w:line="240" w:lineRule="auto"/>
              <w:rPr>
                <w:rFonts w:ascii="Times New Roman"/>
                <w:snapToGrid w:val="0"/>
                <w:kern w:val="21"/>
                <w:szCs w:val="21"/>
                <w:lang w:val="en-US"/>
              </w:rPr>
            </w:pPr>
            <w:r>
              <w:rPr>
                <w:rFonts w:ascii="Times New Roman"/>
                <w:szCs w:val="21"/>
              </w:rPr>
              <w:t>0.1296</w:t>
            </w:r>
          </w:p>
        </w:tc>
        <w:tc>
          <w:tcPr>
            <w:tcW w:w="1607" w:type="dxa"/>
            <w:vAlign w:val="center"/>
          </w:tcPr>
          <w:p w14:paraId="520ACFD4">
            <w:pPr>
              <w:pStyle w:val="32"/>
              <w:spacing w:beforeLines="0" w:afterLines="0" w:line="240" w:lineRule="auto"/>
              <w:rPr>
                <w:rFonts w:ascii="Times New Roman"/>
                <w:snapToGrid w:val="0"/>
                <w:kern w:val="21"/>
                <w:szCs w:val="21"/>
                <w:lang w:val="en-US"/>
              </w:rPr>
            </w:pPr>
            <w:r>
              <w:rPr>
                <w:rFonts w:ascii="Times New Roman"/>
                <w:szCs w:val="21"/>
              </w:rPr>
              <w:t>0</w:t>
            </w:r>
            <w:r>
              <w:rPr>
                <w:rFonts w:hint="eastAsia" w:ascii="Times New Roman"/>
                <w:szCs w:val="21"/>
              </w:rPr>
              <w:t>.002</w:t>
            </w:r>
          </w:p>
        </w:tc>
        <w:tc>
          <w:tcPr>
            <w:tcW w:w="1606" w:type="dxa"/>
            <w:vAlign w:val="center"/>
          </w:tcPr>
          <w:p w14:paraId="520ACFD5">
            <w:pPr>
              <w:pStyle w:val="32"/>
              <w:spacing w:beforeLines="0" w:afterLines="0" w:line="240" w:lineRule="auto"/>
              <w:rPr>
                <w:rFonts w:ascii="Times New Roman"/>
                <w:snapToGrid w:val="0"/>
                <w:kern w:val="21"/>
                <w:szCs w:val="21"/>
                <w:lang w:val="en-US"/>
              </w:rPr>
            </w:pPr>
            <w:r>
              <w:rPr>
                <w:rFonts w:ascii="Times New Roman"/>
                <w:szCs w:val="21"/>
              </w:rPr>
              <w:t>0</w:t>
            </w:r>
            <w:r>
              <w:rPr>
                <w:rFonts w:hint="eastAsia" w:ascii="Times New Roman"/>
                <w:szCs w:val="21"/>
              </w:rPr>
              <w:t>.002</w:t>
            </w:r>
          </w:p>
        </w:tc>
        <w:tc>
          <w:tcPr>
            <w:tcW w:w="1607" w:type="dxa"/>
            <w:vAlign w:val="center"/>
          </w:tcPr>
          <w:p w14:paraId="520ACFD6">
            <w:pPr>
              <w:pStyle w:val="32"/>
              <w:spacing w:beforeLines="0" w:afterLines="0" w:line="240" w:lineRule="auto"/>
              <w:rPr>
                <w:rFonts w:ascii="Times New Roman"/>
                <w:snapToGrid w:val="0"/>
                <w:kern w:val="21"/>
                <w:szCs w:val="21"/>
                <w:lang w:val="en-US"/>
              </w:rPr>
            </w:pPr>
            <w:r>
              <w:rPr>
                <w:rFonts w:ascii="Times New Roman"/>
                <w:szCs w:val="21"/>
              </w:rPr>
              <w:t>0.5684</w:t>
            </w:r>
          </w:p>
        </w:tc>
        <w:tc>
          <w:tcPr>
            <w:tcW w:w="1607" w:type="dxa"/>
            <w:vAlign w:val="center"/>
          </w:tcPr>
          <w:p w14:paraId="520ACFD7">
            <w:pPr>
              <w:pStyle w:val="32"/>
              <w:spacing w:beforeLines="0" w:afterLines="0" w:line="240" w:lineRule="auto"/>
              <w:rPr>
                <w:rFonts w:ascii="Times New Roman"/>
                <w:snapToGrid w:val="0"/>
                <w:kern w:val="21"/>
                <w:szCs w:val="21"/>
                <w:lang w:val="en-US"/>
              </w:rPr>
            </w:pPr>
            <w:r>
              <w:rPr>
                <w:rFonts w:ascii="Times New Roman"/>
                <w:szCs w:val="21"/>
                <w:lang w:val="fr-FR"/>
              </w:rPr>
              <w:t>0</w:t>
            </w:r>
          </w:p>
        </w:tc>
      </w:tr>
      <w:tr w14:paraId="520ACF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CFD9">
            <w:pPr>
              <w:pStyle w:val="32"/>
              <w:spacing w:beforeLines="0" w:afterLines="0" w:line="240" w:lineRule="auto"/>
              <w:rPr>
                <w:rFonts w:ascii="Times New Roman"/>
                <w:snapToGrid w:val="0"/>
                <w:kern w:val="21"/>
                <w:szCs w:val="21"/>
                <w:lang w:val="en-US"/>
              </w:rPr>
            </w:pPr>
          </w:p>
        </w:tc>
        <w:tc>
          <w:tcPr>
            <w:tcW w:w="1418" w:type="dxa"/>
            <w:vAlign w:val="center"/>
          </w:tcPr>
          <w:p w14:paraId="520ACFDA">
            <w:pPr>
              <w:pStyle w:val="32"/>
              <w:spacing w:beforeLines="0" w:afterLines="0" w:line="240" w:lineRule="auto"/>
              <w:rPr>
                <w:rFonts w:ascii="Times New Roman"/>
                <w:snapToGrid w:val="0"/>
                <w:kern w:val="21"/>
                <w:szCs w:val="21"/>
                <w:lang w:val="en-US"/>
              </w:rPr>
            </w:pPr>
            <w:r>
              <w:rPr>
                <w:rFonts w:ascii="Times New Roman"/>
                <w:szCs w:val="21"/>
              </w:rPr>
              <w:t>VOCs</w:t>
            </w:r>
          </w:p>
        </w:tc>
        <w:tc>
          <w:tcPr>
            <w:tcW w:w="1606" w:type="dxa"/>
            <w:vAlign w:val="center"/>
          </w:tcPr>
          <w:p w14:paraId="520ACFDB">
            <w:pPr>
              <w:pStyle w:val="32"/>
              <w:spacing w:beforeLines="0" w:afterLines="0" w:line="240" w:lineRule="auto"/>
              <w:rPr>
                <w:rFonts w:ascii="Times New Roman"/>
                <w:snapToGrid w:val="0"/>
                <w:kern w:val="21"/>
                <w:szCs w:val="21"/>
                <w:lang w:val="en-US"/>
              </w:rPr>
            </w:pPr>
            <w:r>
              <w:rPr>
                <w:rFonts w:ascii="Times New Roman"/>
                <w:szCs w:val="21"/>
              </w:rPr>
              <w:t>2.2324</w:t>
            </w:r>
          </w:p>
        </w:tc>
        <w:tc>
          <w:tcPr>
            <w:tcW w:w="1607" w:type="dxa"/>
            <w:vAlign w:val="center"/>
          </w:tcPr>
          <w:p w14:paraId="520ACFDC">
            <w:pPr>
              <w:pStyle w:val="32"/>
              <w:spacing w:beforeLines="0" w:afterLines="0" w:line="240" w:lineRule="auto"/>
              <w:rPr>
                <w:rFonts w:ascii="Times New Roman"/>
                <w:snapToGrid w:val="0"/>
                <w:kern w:val="21"/>
                <w:szCs w:val="21"/>
                <w:lang w:val="en-US"/>
              </w:rPr>
            </w:pPr>
            <w:r>
              <w:rPr>
                <w:rFonts w:ascii="Times New Roman"/>
                <w:szCs w:val="21"/>
              </w:rPr>
              <w:t>2.5052</w:t>
            </w:r>
          </w:p>
        </w:tc>
        <w:tc>
          <w:tcPr>
            <w:tcW w:w="1606" w:type="dxa"/>
            <w:vAlign w:val="center"/>
          </w:tcPr>
          <w:p w14:paraId="520ACFDD">
            <w:pPr>
              <w:pStyle w:val="32"/>
              <w:spacing w:beforeLines="0" w:afterLines="0" w:line="240" w:lineRule="auto"/>
              <w:rPr>
                <w:rFonts w:ascii="Times New Roman"/>
                <w:snapToGrid w:val="0"/>
                <w:kern w:val="21"/>
                <w:szCs w:val="21"/>
                <w:lang w:val="en-US"/>
              </w:rPr>
            </w:pPr>
            <w:r>
              <w:rPr>
                <w:rFonts w:ascii="Times New Roman"/>
                <w:szCs w:val="21"/>
              </w:rPr>
              <w:t>2.2023</w:t>
            </w:r>
          </w:p>
        </w:tc>
        <w:tc>
          <w:tcPr>
            <w:tcW w:w="1607" w:type="dxa"/>
            <w:vAlign w:val="center"/>
          </w:tcPr>
          <w:p w14:paraId="520ACFDE">
            <w:pPr>
              <w:pStyle w:val="32"/>
              <w:spacing w:beforeLines="0" w:afterLines="0" w:line="240" w:lineRule="auto"/>
              <w:rPr>
                <w:rFonts w:ascii="Times New Roman"/>
                <w:snapToGrid w:val="0"/>
                <w:kern w:val="21"/>
                <w:szCs w:val="21"/>
                <w:lang w:val="en-US"/>
              </w:rPr>
            </w:pPr>
            <w:r>
              <w:rPr>
                <w:rFonts w:ascii="Times New Roman" w:eastAsia="等线"/>
                <w:szCs w:val="21"/>
              </w:rPr>
              <w:t>0.00</w:t>
            </w:r>
            <w:r>
              <w:rPr>
                <w:rFonts w:hint="eastAsia" w:ascii="Times New Roman" w:eastAsia="等线"/>
                <w:szCs w:val="21"/>
              </w:rPr>
              <w:t>51</w:t>
            </w:r>
            <w:r>
              <w:rPr>
                <w:rFonts w:ascii="Times New Roman" w:eastAsia="等线"/>
                <w:szCs w:val="21"/>
              </w:rPr>
              <w:t>3</w:t>
            </w:r>
          </w:p>
        </w:tc>
        <w:tc>
          <w:tcPr>
            <w:tcW w:w="1606" w:type="dxa"/>
            <w:vAlign w:val="center"/>
          </w:tcPr>
          <w:p w14:paraId="520ACFDF">
            <w:pPr>
              <w:pStyle w:val="32"/>
              <w:spacing w:beforeLines="0" w:afterLines="0" w:line="240" w:lineRule="auto"/>
              <w:rPr>
                <w:rFonts w:ascii="Times New Roman"/>
                <w:snapToGrid w:val="0"/>
                <w:kern w:val="21"/>
                <w:szCs w:val="21"/>
                <w:lang w:val="en-US"/>
              </w:rPr>
            </w:pPr>
            <w:r>
              <w:rPr>
                <w:rFonts w:ascii="Times New Roman" w:eastAsia="等线"/>
                <w:szCs w:val="21"/>
                <w:lang w:val="pt-BR"/>
              </w:rPr>
              <w:t>0.0052</w:t>
            </w:r>
          </w:p>
        </w:tc>
        <w:tc>
          <w:tcPr>
            <w:tcW w:w="1607" w:type="dxa"/>
            <w:vAlign w:val="center"/>
          </w:tcPr>
          <w:p w14:paraId="520ACFE0">
            <w:pPr>
              <w:pStyle w:val="32"/>
              <w:spacing w:beforeLines="0" w:afterLines="0" w:line="240" w:lineRule="auto"/>
              <w:rPr>
                <w:rFonts w:ascii="Times New Roman"/>
                <w:snapToGrid w:val="0"/>
                <w:kern w:val="21"/>
                <w:szCs w:val="21"/>
                <w:highlight w:val="yellow"/>
                <w:lang w:val="en-US"/>
              </w:rPr>
            </w:pPr>
            <w:r>
              <w:rPr>
                <w:rFonts w:ascii="Times New Roman" w:eastAsia="等线"/>
                <w:szCs w:val="21"/>
              </w:rPr>
              <w:t>4.43463</w:t>
            </w:r>
          </w:p>
        </w:tc>
        <w:tc>
          <w:tcPr>
            <w:tcW w:w="1607" w:type="dxa"/>
            <w:vAlign w:val="center"/>
          </w:tcPr>
          <w:p w14:paraId="520ACFE1">
            <w:pPr>
              <w:pStyle w:val="32"/>
              <w:spacing w:beforeLines="0" w:afterLines="0" w:line="240" w:lineRule="auto"/>
              <w:rPr>
                <w:rFonts w:ascii="Times New Roman"/>
                <w:snapToGrid w:val="0"/>
                <w:kern w:val="21"/>
                <w:szCs w:val="21"/>
                <w:highlight w:val="yellow"/>
                <w:lang w:val="en-US"/>
              </w:rPr>
            </w:pPr>
            <w:r>
              <w:rPr>
                <w:rFonts w:ascii="Times New Roman" w:eastAsia="等线"/>
                <w:szCs w:val="21"/>
              </w:rPr>
              <w:t>-0.00007</w:t>
            </w:r>
          </w:p>
        </w:tc>
      </w:tr>
      <w:tr w14:paraId="520ACF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CFE3">
            <w:pPr>
              <w:pStyle w:val="32"/>
              <w:spacing w:beforeLines="0" w:afterLines="0" w:line="240" w:lineRule="auto"/>
              <w:rPr>
                <w:rFonts w:ascii="Times New Roman"/>
                <w:snapToGrid w:val="0"/>
                <w:kern w:val="21"/>
                <w:szCs w:val="21"/>
                <w:lang w:val="en-US"/>
              </w:rPr>
            </w:pPr>
          </w:p>
        </w:tc>
        <w:tc>
          <w:tcPr>
            <w:tcW w:w="1418" w:type="dxa"/>
            <w:vAlign w:val="center"/>
          </w:tcPr>
          <w:p w14:paraId="520ACFE4">
            <w:pPr>
              <w:pStyle w:val="32"/>
              <w:spacing w:beforeLines="0" w:afterLines="0" w:line="240" w:lineRule="auto"/>
              <w:rPr>
                <w:rFonts w:ascii="Times New Roman"/>
                <w:szCs w:val="21"/>
              </w:rPr>
            </w:pPr>
            <w:r>
              <w:rPr>
                <w:rFonts w:ascii="Times New Roman"/>
                <w:szCs w:val="21"/>
              </w:rPr>
              <w:t>氨</w:t>
            </w:r>
          </w:p>
        </w:tc>
        <w:tc>
          <w:tcPr>
            <w:tcW w:w="1606" w:type="dxa"/>
            <w:vAlign w:val="center"/>
          </w:tcPr>
          <w:p w14:paraId="520ACFE5">
            <w:pPr>
              <w:pStyle w:val="32"/>
              <w:spacing w:beforeLines="0" w:afterLines="0" w:line="240" w:lineRule="auto"/>
              <w:rPr>
                <w:rFonts w:ascii="Times New Roman"/>
                <w:szCs w:val="21"/>
              </w:rPr>
            </w:pPr>
            <w:r>
              <w:rPr>
                <w:rFonts w:ascii="Times New Roman"/>
                <w:szCs w:val="21"/>
              </w:rPr>
              <w:t>/</w:t>
            </w:r>
          </w:p>
        </w:tc>
        <w:tc>
          <w:tcPr>
            <w:tcW w:w="1607" w:type="dxa"/>
            <w:vAlign w:val="center"/>
          </w:tcPr>
          <w:p w14:paraId="520ACFE6">
            <w:pPr>
              <w:pStyle w:val="32"/>
              <w:spacing w:beforeLines="0" w:afterLines="0" w:line="240" w:lineRule="auto"/>
              <w:rPr>
                <w:rFonts w:ascii="Times New Roman"/>
                <w:szCs w:val="21"/>
              </w:rPr>
            </w:pPr>
            <w:r>
              <w:rPr>
                <w:rFonts w:ascii="Times New Roman"/>
                <w:szCs w:val="21"/>
              </w:rPr>
              <w:t>/</w:t>
            </w:r>
          </w:p>
        </w:tc>
        <w:tc>
          <w:tcPr>
            <w:tcW w:w="1606" w:type="dxa"/>
            <w:vAlign w:val="center"/>
          </w:tcPr>
          <w:p w14:paraId="520ACFE7">
            <w:pPr>
              <w:pStyle w:val="32"/>
              <w:spacing w:beforeLines="0" w:afterLines="0" w:line="240" w:lineRule="auto"/>
              <w:rPr>
                <w:rFonts w:ascii="Times New Roman"/>
                <w:bCs/>
                <w:szCs w:val="21"/>
                <w:lang w:val="pt-BR"/>
              </w:rPr>
            </w:pPr>
            <w:r>
              <w:rPr>
                <w:rFonts w:ascii="Times New Roman"/>
                <w:szCs w:val="21"/>
              </w:rPr>
              <w:t>0.0111</w:t>
            </w:r>
          </w:p>
        </w:tc>
        <w:tc>
          <w:tcPr>
            <w:tcW w:w="1607" w:type="dxa"/>
            <w:vAlign w:val="center"/>
          </w:tcPr>
          <w:p w14:paraId="520ACFE8">
            <w:pPr>
              <w:pStyle w:val="32"/>
              <w:spacing w:beforeLines="0" w:afterLines="0" w:line="240" w:lineRule="auto"/>
              <w:rPr>
                <w:rFonts w:ascii="Times New Roman"/>
                <w:szCs w:val="21"/>
              </w:rPr>
            </w:pPr>
            <w:r>
              <w:rPr>
                <w:rFonts w:hint="eastAsia" w:ascii="Times New Roman"/>
                <w:szCs w:val="21"/>
              </w:rPr>
              <w:t>0</w:t>
            </w:r>
          </w:p>
        </w:tc>
        <w:tc>
          <w:tcPr>
            <w:tcW w:w="1606" w:type="dxa"/>
            <w:vAlign w:val="center"/>
          </w:tcPr>
          <w:p w14:paraId="520ACFE9">
            <w:pPr>
              <w:pStyle w:val="32"/>
              <w:spacing w:beforeLines="0" w:afterLines="0" w:line="240" w:lineRule="auto"/>
              <w:rPr>
                <w:rFonts w:ascii="Times New Roman"/>
                <w:bCs/>
                <w:szCs w:val="21"/>
                <w:lang w:val="pt-BR"/>
              </w:rPr>
            </w:pPr>
            <w:r>
              <w:rPr>
                <w:rFonts w:ascii="Times New Roman"/>
                <w:szCs w:val="21"/>
                <w:lang w:val="pt-BR"/>
              </w:rPr>
              <w:t>0</w:t>
            </w:r>
          </w:p>
        </w:tc>
        <w:tc>
          <w:tcPr>
            <w:tcW w:w="1607" w:type="dxa"/>
            <w:vAlign w:val="center"/>
          </w:tcPr>
          <w:p w14:paraId="520ACFEA">
            <w:pPr>
              <w:pStyle w:val="32"/>
              <w:spacing w:beforeLines="0" w:afterLines="0" w:line="240" w:lineRule="auto"/>
              <w:rPr>
                <w:rFonts w:ascii="Times New Roman"/>
                <w:szCs w:val="21"/>
              </w:rPr>
            </w:pPr>
            <w:r>
              <w:rPr>
                <w:rFonts w:ascii="Times New Roman"/>
                <w:szCs w:val="21"/>
              </w:rPr>
              <w:t>0.0111</w:t>
            </w:r>
          </w:p>
        </w:tc>
        <w:tc>
          <w:tcPr>
            <w:tcW w:w="1607" w:type="dxa"/>
            <w:vAlign w:val="center"/>
          </w:tcPr>
          <w:p w14:paraId="520ACFEB">
            <w:pPr>
              <w:pStyle w:val="32"/>
              <w:spacing w:beforeLines="0" w:afterLines="0" w:line="240" w:lineRule="auto"/>
              <w:rPr>
                <w:rFonts w:ascii="Times New Roman"/>
                <w:szCs w:val="21"/>
              </w:rPr>
            </w:pPr>
            <w:r>
              <w:rPr>
                <w:rFonts w:ascii="Times New Roman"/>
                <w:szCs w:val="21"/>
                <w:lang w:val="pt-BR"/>
              </w:rPr>
              <w:t>0</w:t>
            </w:r>
          </w:p>
        </w:tc>
      </w:tr>
      <w:tr w14:paraId="520ACF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restart"/>
            <w:vAlign w:val="center"/>
          </w:tcPr>
          <w:p w14:paraId="520ACFED">
            <w:pPr>
              <w:pStyle w:val="32"/>
              <w:spacing w:before="24" w:after="24" w:line="240" w:lineRule="auto"/>
              <w:rPr>
                <w:rFonts w:ascii="Times New Roman"/>
                <w:szCs w:val="21"/>
              </w:rPr>
            </w:pPr>
            <w:r>
              <w:rPr>
                <w:rFonts w:ascii="Times New Roman"/>
                <w:szCs w:val="21"/>
              </w:rPr>
              <w:t>废水</w:t>
            </w:r>
          </w:p>
          <w:p w14:paraId="520ACFEE">
            <w:pPr>
              <w:pStyle w:val="32"/>
              <w:spacing w:before="24" w:after="24" w:line="240" w:lineRule="auto"/>
              <w:rPr>
                <w:rFonts w:ascii="Times New Roman"/>
                <w:snapToGrid w:val="0"/>
                <w:kern w:val="21"/>
                <w:szCs w:val="21"/>
                <w:lang w:val="en-US"/>
              </w:rPr>
            </w:pPr>
            <w:r>
              <w:rPr>
                <w:rFonts w:hint="eastAsia" w:ascii="Times New Roman"/>
                <w:szCs w:val="21"/>
              </w:rPr>
              <w:t>（排环境）</w:t>
            </w:r>
          </w:p>
        </w:tc>
        <w:tc>
          <w:tcPr>
            <w:tcW w:w="1418" w:type="dxa"/>
            <w:vAlign w:val="center"/>
          </w:tcPr>
          <w:p w14:paraId="520ACFEF">
            <w:pPr>
              <w:pStyle w:val="32"/>
              <w:spacing w:beforeLines="0" w:afterLines="0" w:line="240" w:lineRule="auto"/>
              <w:rPr>
                <w:rFonts w:ascii="Times New Roman"/>
                <w:szCs w:val="21"/>
              </w:rPr>
            </w:pPr>
            <w:r>
              <w:rPr>
                <w:rFonts w:hint="eastAsia" w:ascii="Times New Roman"/>
                <w:szCs w:val="21"/>
              </w:rPr>
              <w:t>废水量(m</w:t>
            </w:r>
            <w:r>
              <w:rPr>
                <w:rFonts w:hint="eastAsia" w:ascii="Times New Roman"/>
                <w:szCs w:val="21"/>
                <w:vertAlign w:val="superscript"/>
              </w:rPr>
              <w:t>3</w:t>
            </w:r>
            <w:r>
              <w:rPr>
                <w:rFonts w:hint="eastAsia" w:ascii="Times New Roman"/>
                <w:szCs w:val="21"/>
              </w:rPr>
              <w:t>/a)</w:t>
            </w:r>
          </w:p>
        </w:tc>
        <w:tc>
          <w:tcPr>
            <w:tcW w:w="1606" w:type="dxa"/>
            <w:vAlign w:val="center"/>
          </w:tcPr>
          <w:p w14:paraId="520ACFF0">
            <w:pPr>
              <w:pStyle w:val="32"/>
              <w:spacing w:beforeLines="0" w:afterLines="0" w:line="240" w:lineRule="auto"/>
              <w:rPr>
                <w:rFonts w:ascii="Times New Roman"/>
                <w:szCs w:val="21"/>
              </w:rPr>
            </w:pPr>
            <w:r>
              <w:rPr>
                <w:rFonts w:ascii="Times New Roman"/>
                <w:szCs w:val="21"/>
              </w:rPr>
              <w:t>231982.8</w:t>
            </w:r>
          </w:p>
        </w:tc>
        <w:tc>
          <w:tcPr>
            <w:tcW w:w="1607" w:type="dxa"/>
            <w:vAlign w:val="center"/>
          </w:tcPr>
          <w:p w14:paraId="520ACFF1">
            <w:pPr>
              <w:pStyle w:val="32"/>
              <w:spacing w:beforeLines="0" w:afterLines="0" w:line="240" w:lineRule="auto"/>
              <w:rPr>
                <w:rFonts w:ascii="Times New Roman"/>
                <w:szCs w:val="21"/>
              </w:rPr>
            </w:pPr>
            <w:r>
              <w:rPr>
                <w:rFonts w:ascii="Times New Roman"/>
                <w:szCs w:val="21"/>
              </w:rPr>
              <w:t>288002.5</w:t>
            </w:r>
          </w:p>
        </w:tc>
        <w:tc>
          <w:tcPr>
            <w:tcW w:w="1606" w:type="dxa"/>
            <w:vAlign w:val="center"/>
          </w:tcPr>
          <w:p w14:paraId="520ACFF2">
            <w:pPr>
              <w:pStyle w:val="32"/>
              <w:spacing w:beforeLines="0" w:afterLines="0" w:line="240" w:lineRule="auto"/>
              <w:rPr>
                <w:rFonts w:ascii="Times New Roman"/>
                <w:szCs w:val="21"/>
              </w:rPr>
            </w:pPr>
            <w:r>
              <w:rPr>
                <w:rFonts w:ascii="Times New Roman"/>
                <w:szCs w:val="21"/>
              </w:rPr>
              <w:t>1334</w:t>
            </w:r>
          </w:p>
        </w:tc>
        <w:tc>
          <w:tcPr>
            <w:tcW w:w="1607" w:type="dxa"/>
            <w:vAlign w:val="center"/>
          </w:tcPr>
          <w:p w14:paraId="520ACFF3">
            <w:pPr>
              <w:pStyle w:val="32"/>
              <w:spacing w:beforeLines="0" w:afterLines="0" w:line="240" w:lineRule="auto"/>
              <w:rPr>
                <w:rFonts w:ascii="Times New Roman"/>
                <w:szCs w:val="21"/>
              </w:rPr>
            </w:pPr>
            <w:r>
              <w:rPr>
                <w:rFonts w:hint="eastAsia" w:ascii="Times New Roman"/>
                <w:szCs w:val="21"/>
              </w:rPr>
              <w:t>68.75</w:t>
            </w:r>
          </w:p>
        </w:tc>
        <w:tc>
          <w:tcPr>
            <w:tcW w:w="1606" w:type="dxa"/>
            <w:vAlign w:val="center"/>
          </w:tcPr>
          <w:p w14:paraId="520ACFF4">
            <w:pPr>
              <w:pStyle w:val="32"/>
              <w:spacing w:beforeLines="0" w:afterLines="0" w:line="240" w:lineRule="auto"/>
              <w:rPr>
                <w:rFonts w:ascii="Times New Roman"/>
                <w:szCs w:val="21"/>
              </w:rPr>
            </w:pPr>
            <w:r>
              <w:rPr>
                <w:rFonts w:ascii="Times New Roman"/>
                <w:szCs w:val="21"/>
              </w:rPr>
              <w:t>100</w:t>
            </w:r>
          </w:p>
        </w:tc>
        <w:tc>
          <w:tcPr>
            <w:tcW w:w="1607" w:type="dxa"/>
            <w:vAlign w:val="center"/>
          </w:tcPr>
          <w:p w14:paraId="520ACFF5">
            <w:pPr>
              <w:pStyle w:val="32"/>
              <w:spacing w:beforeLines="0" w:afterLines="0" w:line="240" w:lineRule="auto"/>
              <w:rPr>
                <w:rFonts w:ascii="Times New Roman"/>
                <w:szCs w:val="21"/>
              </w:rPr>
            </w:pPr>
            <w:r>
              <w:rPr>
                <w:rFonts w:ascii="Times New Roman"/>
                <w:szCs w:val="21"/>
              </w:rPr>
              <w:t>233285.55</w:t>
            </w:r>
          </w:p>
        </w:tc>
        <w:tc>
          <w:tcPr>
            <w:tcW w:w="1607" w:type="dxa"/>
            <w:vAlign w:val="center"/>
          </w:tcPr>
          <w:p w14:paraId="520ACFF6">
            <w:pPr>
              <w:pStyle w:val="32"/>
              <w:spacing w:beforeLines="0" w:afterLines="0" w:line="240" w:lineRule="auto"/>
              <w:rPr>
                <w:rFonts w:ascii="Times New Roman"/>
                <w:szCs w:val="21"/>
              </w:rPr>
            </w:pPr>
            <w:r>
              <w:rPr>
                <w:rFonts w:ascii="Times New Roman"/>
                <w:szCs w:val="21"/>
              </w:rPr>
              <w:t>-31.25</w:t>
            </w:r>
          </w:p>
        </w:tc>
      </w:tr>
      <w:tr w14:paraId="520AD0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CFF8">
            <w:pPr>
              <w:pStyle w:val="32"/>
              <w:spacing w:beforeLines="0" w:afterLines="0" w:line="240" w:lineRule="auto"/>
              <w:rPr>
                <w:rFonts w:ascii="Times New Roman"/>
                <w:snapToGrid w:val="0"/>
                <w:kern w:val="21"/>
                <w:szCs w:val="21"/>
                <w:lang w:val="en-US"/>
              </w:rPr>
            </w:pPr>
          </w:p>
        </w:tc>
        <w:tc>
          <w:tcPr>
            <w:tcW w:w="1418" w:type="dxa"/>
            <w:vAlign w:val="center"/>
          </w:tcPr>
          <w:p w14:paraId="520ACFF9">
            <w:pPr>
              <w:pStyle w:val="32"/>
              <w:spacing w:beforeLines="0" w:afterLines="0" w:line="240" w:lineRule="auto"/>
              <w:rPr>
                <w:rFonts w:ascii="Times New Roman"/>
                <w:szCs w:val="21"/>
              </w:rPr>
            </w:pPr>
            <w:r>
              <w:rPr>
                <w:rFonts w:ascii="Times New Roman"/>
                <w:szCs w:val="21"/>
              </w:rPr>
              <w:t>COD</w:t>
            </w:r>
          </w:p>
        </w:tc>
        <w:tc>
          <w:tcPr>
            <w:tcW w:w="1606" w:type="dxa"/>
            <w:vAlign w:val="center"/>
          </w:tcPr>
          <w:p w14:paraId="520ACFFA">
            <w:pPr>
              <w:pStyle w:val="32"/>
              <w:spacing w:beforeLines="0" w:afterLines="0" w:line="240" w:lineRule="auto"/>
              <w:rPr>
                <w:rFonts w:ascii="Times New Roman"/>
                <w:szCs w:val="21"/>
              </w:rPr>
            </w:pPr>
            <w:r>
              <w:rPr>
                <w:rFonts w:ascii="Times New Roman"/>
                <w:szCs w:val="21"/>
              </w:rPr>
              <w:t>11.5991</w:t>
            </w:r>
          </w:p>
        </w:tc>
        <w:tc>
          <w:tcPr>
            <w:tcW w:w="1607" w:type="dxa"/>
            <w:vAlign w:val="center"/>
          </w:tcPr>
          <w:p w14:paraId="520ACFFB">
            <w:pPr>
              <w:pStyle w:val="32"/>
              <w:spacing w:beforeLines="0" w:afterLines="0" w:line="240" w:lineRule="auto"/>
              <w:rPr>
                <w:rFonts w:ascii="Times New Roman"/>
                <w:szCs w:val="21"/>
              </w:rPr>
            </w:pPr>
            <w:r>
              <w:rPr>
                <w:rFonts w:ascii="Times New Roman"/>
              </w:rPr>
              <w:t>14.40012</w:t>
            </w:r>
          </w:p>
        </w:tc>
        <w:tc>
          <w:tcPr>
            <w:tcW w:w="1606" w:type="dxa"/>
            <w:vAlign w:val="center"/>
          </w:tcPr>
          <w:p w14:paraId="520ACFFC">
            <w:pPr>
              <w:pStyle w:val="32"/>
              <w:spacing w:beforeLines="0" w:afterLines="0" w:line="240" w:lineRule="auto"/>
              <w:rPr>
                <w:rFonts w:ascii="Times New Roman"/>
                <w:szCs w:val="21"/>
              </w:rPr>
            </w:pPr>
            <w:r>
              <w:rPr>
                <w:rFonts w:ascii="Times New Roman"/>
                <w:szCs w:val="21"/>
              </w:rPr>
              <w:t>0.0564</w:t>
            </w:r>
          </w:p>
        </w:tc>
        <w:tc>
          <w:tcPr>
            <w:tcW w:w="1607" w:type="dxa"/>
            <w:vAlign w:val="center"/>
          </w:tcPr>
          <w:p w14:paraId="520ACFFD">
            <w:pPr>
              <w:pStyle w:val="32"/>
              <w:spacing w:beforeLines="0" w:afterLines="0" w:line="240" w:lineRule="auto"/>
              <w:rPr>
                <w:rFonts w:ascii="Times New Roman"/>
                <w:szCs w:val="21"/>
              </w:rPr>
            </w:pPr>
            <w:r>
              <w:rPr>
                <w:rFonts w:ascii="Times New Roman"/>
                <w:szCs w:val="21"/>
              </w:rPr>
              <w:t>0.00</w:t>
            </w:r>
            <w:r>
              <w:rPr>
                <w:rFonts w:hint="eastAsia" w:ascii="Times New Roman"/>
                <w:szCs w:val="21"/>
              </w:rPr>
              <w:t>34</w:t>
            </w:r>
          </w:p>
        </w:tc>
        <w:tc>
          <w:tcPr>
            <w:tcW w:w="1606" w:type="dxa"/>
            <w:vAlign w:val="center"/>
          </w:tcPr>
          <w:p w14:paraId="520ACFFE">
            <w:pPr>
              <w:pStyle w:val="32"/>
              <w:spacing w:beforeLines="0" w:afterLines="0" w:line="240" w:lineRule="auto"/>
              <w:rPr>
                <w:rFonts w:ascii="Times New Roman"/>
                <w:szCs w:val="21"/>
              </w:rPr>
            </w:pPr>
            <w:r>
              <w:rPr>
                <w:rFonts w:ascii="Times New Roman"/>
                <w:szCs w:val="21"/>
              </w:rPr>
              <w:t>0.005</w:t>
            </w:r>
          </w:p>
        </w:tc>
        <w:tc>
          <w:tcPr>
            <w:tcW w:w="1607" w:type="dxa"/>
            <w:vAlign w:val="center"/>
          </w:tcPr>
          <w:p w14:paraId="520ACFFF">
            <w:pPr>
              <w:pStyle w:val="32"/>
              <w:spacing w:beforeLines="0" w:afterLines="0" w:line="240" w:lineRule="auto"/>
              <w:rPr>
                <w:rFonts w:ascii="Times New Roman"/>
                <w:szCs w:val="21"/>
              </w:rPr>
            </w:pPr>
            <w:r>
              <w:rPr>
                <w:rFonts w:ascii="Times New Roman"/>
                <w:szCs w:val="21"/>
              </w:rPr>
              <w:t>11.6539</w:t>
            </w:r>
          </w:p>
        </w:tc>
        <w:tc>
          <w:tcPr>
            <w:tcW w:w="1607" w:type="dxa"/>
            <w:vAlign w:val="center"/>
          </w:tcPr>
          <w:p w14:paraId="520AD000">
            <w:pPr>
              <w:pStyle w:val="32"/>
              <w:spacing w:beforeLines="0" w:afterLines="0" w:line="240" w:lineRule="auto"/>
              <w:rPr>
                <w:rFonts w:ascii="Times New Roman"/>
                <w:szCs w:val="21"/>
              </w:rPr>
            </w:pPr>
            <w:r>
              <w:rPr>
                <w:rFonts w:hint="eastAsia" w:ascii="Times New Roman"/>
                <w:szCs w:val="21"/>
              </w:rPr>
              <w:t>-</w:t>
            </w:r>
            <w:r>
              <w:rPr>
                <w:rFonts w:ascii="Times New Roman"/>
                <w:szCs w:val="21"/>
              </w:rPr>
              <w:t>0.0016</w:t>
            </w:r>
          </w:p>
        </w:tc>
      </w:tr>
      <w:tr w14:paraId="520AD0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02">
            <w:pPr>
              <w:pStyle w:val="32"/>
              <w:spacing w:beforeLines="0" w:afterLines="0" w:line="240" w:lineRule="auto"/>
              <w:rPr>
                <w:rFonts w:ascii="Times New Roman"/>
                <w:snapToGrid w:val="0"/>
                <w:kern w:val="21"/>
                <w:szCs w:val="21"/>
                <w:lang w:val="en-US"/>
              </w:rPr>
            </w:pPr>
          </w:p>
        </w:tc>
        <w:tc>
          <w:tcPr>
            <w:tcW w:w="1418" w:type="dxa"/>
            <w:vAlign w:val="center"/>
          </w:tcPr>
          <w:p w14:paraId="520AD003">
            <w:pPr>
              <w:pStyle w:val="32"/>
              <w:spacing w:beforeLines="0" w:afterLines="0" w:line="240" w:lineRule="auto"/>
              <w:rPr>
                <w:rFonts w:ascii="Times New Roman"/>
                <w:szCs w:val="21"/>
              </w:rPr>
            </w:pPr>
            <w:r>
              <w:rPr>
                <w:rFonts w:ascii="Times New Roman"/>
                <w:szCs w:val="21"/>
              </w:rPr>
              <w:t>NH</w:t>
            </w:r>
            <w:r>
              <w:rPr>
                <w:rFonts w:ascii="Times New Roman"/>
                <w:szCs w:val="21"/>
                <w:vertAlign w:val="subscript"/>
              </w:rPr>
              <w:t>3</w:t>
            </w:r>
            <w:r>
              <w:rPr>
                <w:rFonts w:ascii="Times New Roman"/>
                <w:szCs w:val="21"/>
              </w:rPr>
              <w:t>-N</w:t>
            </w:r>
          </w:p>
        </w:tc>
        <w:tc>
          <w:tcPr>
            <w:tcW w:w="1606" w:type="dxa"/>
            <w:vAlign w:val="center"/>
          </w:tcPr>
          <w:p w14:paraId="520AD004">
            <w:pPr>
              <w:pStyle w:val="32"/>
              <w:spacing w:beforeLines="0" w:afterLines="0" w:line="240" w:lineRule="auto"/>
              <w:rPr>
                <w:rFonts w:ascii="Times New Roman"/>
                <w:szCs w:val="21"/>
              </w:rPr>
            </w:pPr>
            <w:r>
              <w:rPr>
                <w:rFonts w:ascii="Times New Roman"/>
                <w:szCs w:val="21"/>
              </w:rPr>
              <w:t>1.1599</w:t>
            </w:r>
          </w:p>
        </w:tc>
        <w:tc>
          <w:tcPr>
            <w:tcW w:w="1607" w:type="dxa"/>
            <w:vAlign w:val="center"/>
          </w:tcPr>
          <w:p w14:paraId="520AD005">
            <w:pPr>
              <w:pStyle w:val="32"/>
              <w:spacing w:beforeLines="0" w:afterLines="0" w:line="240" w:lineRule="auto"/>
              <w:rPr>
                <w:rFonts w:ascii="Times New Roman"/>
                <w:szCs w:val="21"/>
              </w:rPr>
            </w:pPr>
            <w:r>
              <w:rPr>
                <w:rFonts w:ascii="Times New Roman"/>
              </w:rPr>
              <w:t>1.44001</w:t>
            </w:r>
          </w:p>
        </w:tc>
        <w:tc>
          <w:tcPr>
            <w:tcW w:w="1606" w:type="dxa"/>
            <w:vAlign w:val="center"/>
          </w:tcPr>
          <w:p w14:paraId="520AD006">
            <w:pPr>
              <w:pStyle w:val="32"/>
              <w:spacing w:beforeLines="0" w:afterLines="0" w:line="240" w:lineRule="auto"/>
              <w:rPr>
                <w:rFonts w:ascii="Times New Roman"/>
                <w:szCs w:val="21"/>
              </w:rPr>
            </w:pPr>
            <w:r>
              <w:rPr>
                <w:rFonts w:ascii="Times New Roman"/>
                <w:szCs w:val="21"/>
              </w:rPr>
              <w:t>0.0010</w:t>
            </w:r>
          </w:p>
        </w:tc>
        <w:tc>
          <w:tcPr>
            <w:tcW w:w="1607" w:type="dxa"/>
            <w:vAlign w:val="center"/>
          </w:tcPr>
          <w:p w14:paraId="520AD007">
            <w:pPr>
              <w:pStyle w:val="32"/>
              <w:spacing w:beforeLines="0" w:afterLines="0" w:line="240" w:lineRule="auto"/>
              <w:rPr>
                <w:rFonts w:ascii="Times New Roman"/>
                <w:szCs w:val="21"/>
              </w:rPr>
            </w:pPr>
            <w:r>
              <w:rPr>
                <w:rFonts w:hint="eastAsia" w:ascii="Times New Roman"/>
                <w:szCs w:val="21"/>
              </w:rPr>
              <w:t>0</w:t>
            </w:r>
          </w:p>
        </w:tc>
        <w:tc>
          <w:tcPr>
            <w:tcW w:w="1606" w:type="dxa"/>
            <w:vAlign w:val="center"/>
          </w:tcPr>
          <w:p w14:paraId="520AD008">
            <w:pPr>
              <w:pStyle w:val="32"/>
              <w:spacing w:beforeLines="0" w:afterLines="0" w:line="240" w:lineRule="auto"/>
              <w:rPr>
                <w:rFonts w:ascii="Times New Roman"/>
                <w:szCs w:val="21"/>
              </w:rPr>
            </w:pPr>
            <w:r>
              <w:rPr>
                <w:rFonts w:ascii="Times New Roman"/>
                <w:szCs w:val="21"/>
              </w:rPr>
              <w:t>0.0005</w:t>
            </w:r>
          </w:p>
        </w:tc>
        <w:tc>
          <w:tcPr>
            <w:tcW w:w="1607" w:type="dxa"/>
            <w:vAlign w:val="center"/>
          </w:tcPr>
          <w:p w14:paraId="520AD009">
            <w:pPr>
              <w:pStyle w:val="32"/>
              <w:spacing w:beforeLines="0" w:afterLines="0" w:line="240" w:lineRule="auto"/>
              <w:rPr>
                <w:rFonts w:ascii="Times New Roman"/>
                <w:szCs w:val="21"/>
              </w:rPr>
            </w:pPr>
            <w:r>
              <w:rPr>
                <w:rFonts w:ascii="Times New Roman"/>
                <w:szCs w:val="21"/>
              </w:rPr>
              <w:t>1.1604</w:t>
            </w:r>
          </w:p>
        </w:tc>
        <w:tc>
          <w:tcPr>
            <w:tcW w:w="1607" w:type="dxa"/>
            <w:vAlign w:val="center"/>
          </w:tcPr>
          <w:p w14:paraId="520AD00A">
            <w:pPr>
              <w:pStyle w:val="32"/>
              <w:spacing w:beforeLines="0" w:afterLines="0" w:line="240" w:lineRule="auto"/>
              <w:rPr>
                <w:rFonts w:ascii="Times New Roman"/>
                <w:szCs w:val="21"/>
              </w:rPr>
            </w:pPr>
            <w:r>
              <w:rPr>
                <w:rFonts w:ascii="Times New Roman"/>
                <w:szCs w:val="21"/>
              </w:rPr>
              <w:t>-0.0005</w:t>
            </w:r>
          </w:p>
        </w:tc>
      </w:tr>
      <w:tr w14:paraId="520AD0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0C">
            <w:pPr>
              <w:pStyle w:val="32"/>
              <w:spacing w:beforeLines="0" w:afterLines="0" w:line="240" w:lineRule="auto"/>
              <w:rPr>
                <w:rFonts w:ascii="Times New Roman"/>
                <w:snapToGrid w:val="0"/>
                <w:kern w:val="21"/>
                <w:szCs w:val="21"/>
                <w:lang w:val="en-US"/>
              </w:rPr>
            </w:pPr>
          </w:p>
        </w:tc>
        <w:tc>
          <w:tcPr>
            <w:tcW w:w="1418" w:type="dxa"/>
            <w:vAlign w:val="center"/>
          </w:tcPr>
          <w:p w14:paraId="520AD00D">
            <w:pPr>
              <w:pStyle w:val="32"/>
              <w:spacing w:beforeLines="0" w:afterLines="0" w:line="240" w:lineRule="auto"/>
              <w:rPr>
                <w:rFonts w:ascii="Times New Roman"/>
                <w:szCs w:val="21"/>
              </w:rPr>
            </w:pPr>
            <w:r>
              <w:rPr>
                <w:rFonts w:ascii="Times New Roman"/>
                <w:szCs w:val="21"/>
              </w:rPr>
              <w:t>TP</w:t>
            </w:r>
          </w:p>
        </w:tc>
        <w:tc>
          <w:tcPr>
            <w:tcW w:w="1606" w:type="dxa"/>
            <w:vAlign w:val="center"/>
          </w:tcPr>
          <w:p w14:paraId="520AD00E">
            <w:pPr>
              <w:pStyle w:val="32"/>
              <w:spacing w:beforeLines="0" w:afterLines="0" w:line="240" w:lineRule="auto"/>
              <w:rPr>
                <w:rFonts w:ascii="Times New Roman"/>
                <w:szCs w:val="21"/>
              </w:rPr>
            </w:pPr>
            <w:r>
              <w:rPr>
                <w:rFonts w:ascii="Times New Roman"/>
                <w:szCs w:val="21"/>
              </w:rPr>
              <w:t>0.1160</w:t>
            </w:r>
          </w:p>
        </w:tc>
        <w:tc>
          <w:tcPr>
            <w:tcW w:w="1607" w:type="dxa"/>
            <w:vAlign w:val="center"/>
          </w:tcPr>
          <w:p w14:paraId="520AD00F">
            <w:pPr>
              <w:pStyle w:val="32"/>
              <w:spacing w:beforeLines="0" w:afterLines="0" w:line="240" w:lineRule="auto"/>
              <w:rPr>
                <w:rFonts w:ascii="Times New Roman"/>
                <w:szCs w:val="21"/>
              </w:rPr>
            </w:pPr>
            <w:r>
              <w:rPr>
                <w:rFonts w:ascii="Times New Roman"/>
              </w:rPr>
              <w:t>0.144001</w:t>
            </w:r>
          </w:p>
        </w:tc>
        <w:tc>
          <w:tcPr>
            <w:tcW w:w="1606" w:type="dxa"/>
            <w:vAlign w:val="center"/>
          </w:tcPr>
          <w:p w14:paraId="520AD010">
            <w:pPr>
              <w:pStyle w:val="32"/>
              <w:spacing w:beforeLines="0" w:afterLines="0" w:line="240" w:lineRule="auto"/>
              <w:rPr>
                <w:rFonts w:ascii="Times New Roman"/>
                <w:szCs w:val="21"/>
              </w:rPr>
            </w:pPr>
            <w:r>
              <w:rPr>
                <w:rFonts w:ascii="Times New Roman"/>
                <w:szCs w:val="21"/>
              </w:rPr>
              <w:t>0.0005</w:t>
            </w:r>
          </w:p>
        </w:tc>
        <w:tc>
          <w:tcPr>
            <w:tcW w:w="1607" w:type="dxa"/>
            <w:vAlign w:val="center"/>
          </w:tcPr>
          <w:p w14:paraId="520AD011">
            <w:pPr>
              <w:pStyle w:val="32"/>
              <w:spacing w:beforeLines="0" w:afterLines="0" w:line="240" w:lineRule="auto"/>
              <w:rPr>
                <w:rFonts w:ascii="Times New Roman"/>
                <w:szCs w:val="21"/>
              </w:rPr>
            </w:pPr>
            <w:r>
              <w:rPr>
                <w:rFonts w:hint="eastAsia" w:ascii="Times New Roman"/>
                <w:szCs w:val="21"/>
              </w:rPr>
              <w:t>0</w:t>
            </w:r>
          </w:p>
        </w:tc>
        <w:tc>
          <w:tcPr>
            <w:tcW w:w="1606" w:type="dxa"/>
            <w:vAlign w:val="center"/>
          </w:tcPr>
          <w:p w14:paraId="520AD012">
            <w:pPr>
              <w:pStyle w:val="32"/>
              <w:spacing w:beforeLines="0" w:afterLines="0" w:line="240" w:lineRule="auto"/>
              <w:rPr>
                <w:rFonts w:ascii="Times New Roman"/>
                <w:szCs w:val="21"/>
              </w:rPr>
            </w:pPr>
            <w:r>
              <w:rPr>
                <w:rFonts w:ascii="Times New Roman"/>
                <w:szCs w:val="21"/>
              </w:rPr>
              <w:t>0.00005</w:t>
            </w:r>
          </w:p>
        </w:tc>
        <w:tc>
          <w:tcPr>
            <w:tcW w:w="1607" w:type="dxa"/>
            <w:vAlign w:val="center"/>
          </w:tcPr>
          <w:p w14:paraId="520AD013">
            <w:pPr>
              <w:pStyle w:val="32"/>
              <w:spacing w:beforeLines="0" w:afterLines="0" w:line="240" w:lineRule="auto"/>
              <w:rPr>
                <w:rFonts w:ascii="Times New Roman"/>
                <w:szCs w:val="21"/>
              </w:rPr>
            </w:pPr>
            <w:r>
              <w:rPr>
                <w:rFonts w:ascii="Times New Roman"/>
                <w:szCs w:val="21"/>
              </w:rPr>
              <w:t>0.11645</w:t>
            </w:r>
          </w:p>
        </w:tc>
        <w:tc>
          <w:tcPr>
            <w:tcW w:w="1607" w:type="dxa"/>
            <w:vAlign w:val="center"/>
          </w:tcPr>
          <w:p w14:paraId="520AD014">
            <w:pPr>
              <w:pStyle w:val="32"/>
              <w:spacing w:beforeLines="0" w:afterLines="0" w:line="240" w:lineRule="auto"/>
              <w:rPr>
                <w:rFonts w:ascii="Times New Roman"/>
                <w:szCs w:val="21"/>
              </w:rPr>
            </w:pPr>
            <w:r>
              <w:rPr>
                <w:rFonts w:ascii="Times New Roman"/>
                <w:szCs w:val="21"/>
              </w:rPr>
              <w:t>-0.00005</w:t>
            </w:r>
          </w:p>
        </w:tc>
      </w:tr>
      <w:tr w14:paraId="520AD0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16">
            <w:pPr>
              <w:pStyle w:val="32"/>
              <w:spacing w:beforeLines="0" w:afterLines="0" w:line="240" w:lineRule="auto"/>
              <w:rPr>
                <w:rFonts w:ascii="Times New Roman"/>
                <w:snapToGrid w:val="0"/>
                <w:kern w:val="21"/>
                <w:szCs w:val="21"/>
                <w:lang w:val="en-US"/>
              </w:rPr>
            </w:pPr>
          </w:p>
        </w:tc>
        <w:tc>
          <w:tcPr>
            <w:tcW w:w="1418" w:type="dxa"/>
            <w:vAlign w:val="center"/>
          </w:tcPr>
          <w:p w14:paraId="520AD017">
            <w:pPr>
              <w:pStyle w:val="32"/>
              <w:spacing w:beforeLines="0" w:afterLines="0" w:line="240" w:lineRule="auto"/>
              <w:rPr>
                <w:rFonts w:ascii="Times New Roman"/>
                <w:szCs w:val="21"/>
              </w:rPr>
            </w:pPr>
            <w:r>
              <w:rPr>
                <w:rFonts w:ascii="Times New Roman"/>
                <w:szCs w:val="21"/>
              </w:rPr>
              <w:t>TN</w:t>
            </w:r>
          </w:p>
        </w:tc>
        <w:tc>
          <w:tcPr>
            <w:tcW w:w="1606" w:type="dxa"/>
            <w:vAlign w:val="center"/>
          </w:tcPr>
          <w:p w14:paraId="520AD018">
            <w:pPr>
              <w:pStyle w:val="32"/>
              <w:spacing w:beforeLines="0" w:afterLines="0" w:line="240" w:lineRule="auto"/>
              <w:rPr>
                <w:rFonts w:ascii="Times New Roman"/>
                <w:szCs w:val="21"/>
              </w:rPr>
            </w:pPr>
            <w:r>
              <w:rPr>
                <w:rFonts w:ascii="Times New Roman"/>
                <w:szCs w:val="21"/>
              </w:rPr>
              <w:t>3.4797</w:t>
            </w:r>
          </w:p>
        </w:tc>
        <w:tc>
          <w:tcPr>
            <w:tcW w:w="1607" w:type="dxa"/>
            <w:vAlign w:val="center"/>
          </w:tcPr>
          <w:p w14:paraId="520AD019">
            <w:pPr>
              <w:pStyle w:val="32"/>
              <w:spacing w:beforeLines="0" w:afterLines="0" w:line="240" w:lineRule="auto"/>
              <w:rPr>
                <w:rFonts w:ascii="Times New Roman"/>
                <w:szCs w:val="21"/>
              </w:rPr>
            </w:pPr>
            <w:r>
              <w:rPr>
                <w:rFonts w:ascii="Times New Roman"/>
              </w:rPr>
              <w:t>4.32004</w:t>
            </w:r>
          </w:p>
        </w:tc>
        <w:tc>
          <w:tcPr>
            <w:tcW w:w="1606" w:type="dxa"/>
            <w:vAlign w:val="center"/>
          </w:tcPr>
          <w:p w14:paraId="520AD01A">
            <w:pPr>
              <w:pStyle w:val="32"/>
              <w:spacing w:beforeLines="0" w:afterLines="0" w:line="240" w:lineRule="auto"/>
              <w:rPr>
                <w:rFonts w:ascii="Times New Roman"/>
                <w:szCs w:val="21"/>
              </w:rPr>
            </w:pPr>
            <w:r>
              <w:rPr>
                <w:rFonts w:ascii="Times New Roman"/>
                <w:szCs w:val="21"/>
              </w:rPr>
              <w:t>0.0069</w:t>
            </w:r>
          </w:p>
        </w:tc>
        <w:tc>
          <w:tcPr>
            <w:tcW w:w="1607" w:type="dxa"/>
            <w:vAlign w:val="center"/>
          </w:tcPr>
          <w:p w14:paraId="520AD01B">
            <w:pPr>
              <w:pStyle w:val="32"/>
              <w:spacing w:beforeLines="0" w:afterLines="0" w:line="240" w:lineRule="auto"/>
              <w:rPr>
                <w:rFonts w:ascii="Times New Roman"/>
                <w:szCs w:val="21"/>
              </w:rPr>
            </w:pPr>
            <w:r>
              <w:rPr>
                <w:rFonts w:hint="eastAsia" w:ascii="Times New Roman"/>
                <w:szCs w:val="21"/>
              </w:rPr>
              <w:t>0</w:t>
            </w:r>
          </w:p>
        </w:tc>
        <w:tc>
          <w:tcPr>
            <w:tcW w:w="1606" w:type="dxa"/>
            <w:vAlign w:val="center"/>
          </w:tcPr>
          <w:p w14:paraId="520AD01C">
            <w:pPr>
              <w:pStyle w:val="32"/>
              <w:spacing w:beforeLines="0" w:afterLines="0" w:line="240" w:lineRule="auto"/>
              <w:rPr>
                <w:rFonts w:ascii="Times New Roman"/>
                <w:szCs w:val="21"/>
              </w:rPr>
            </w:pPr>
            <w:r>
              <w:rPr>
                <w:rFonts w:ascii="Times New Roman"/>
                <w:szCs w:val="21"/>
              </w:rPr>
              <w:t>0.0015</w:t>
            </w:r>
          </w:p>
        </w:tc>
        <w:tc>
          <w:tcPr>
            <w:tcW w:w="1607" w:type="dxa"/>
            <w:vAlign w:val="center"/>
          </w:tcPr>
          <w:p w14:paraId="520AD01D">
            <w:pPr>
              <w:pStyle w:val="32"/>
              <w:spacing w:beforeLines="0" w:afterLines="0" w:line="240" w:lineRule="auto"/>
              <w:rPr>
                <w:rFonts w:ascii="Times New Roman"/>
                <w:szCs w:val="21"/>
              </w:rPr>
            </w:pPr>
            <w:r>
              <w:rPr>
                <w:rFonts w:ascii="Times New Roman"/>
                <w:szCs w:val="21"/>
              </w:rPr>
              <w:t>3.4851</w:t>
            </w:r>
          </w:p>
        </w:tc>
        <w:tc>
          <w:tcPr>
            <w:tcW w:w="1607" w:type="dxa"/>
            <w:vAlign w:val="center"/>
          </w:tcPr>
          <w:p w14:paraId="520AD01E">
            <w:pPr>
              <w:pStyle w:val="32"/>
              <w:spacing w:beforeLines="0" w:afterLines="0" w:line="240" w:lineRule="auto"/>
              <w:rPr>
                <w:rFonts w:ascii="Times New Roman"/>
                <w:szCs w:val="21"/>
              </w:rPr>
            </w:pPr>
            <w:r>
              <w:rPr>
                <w:rFonts w:ascii="Times New Roman"/>
                <w:szCs w:val="21"/>
              </w:rPr>
              <w:t>-0.0015</w:t>
            </w:r>
          </w:p>
        </w:tc>
      </w:tr>
      <w:tr w14:paraId="520AD0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restart"/>
            <w:vAlign w:val="center"/>
          </w:tcPr>
          <w:p w14:paraId="520AD020">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一般工业</w:t>
            </w:r>
          </w:p>
          <w:p w14:paraId="520AD021">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固体废物</w:t>
            </w:r>
          </w:p>
        </w:tc>
        <w:tc>
          <w:tcPr>
            <w:tcW w:w="1418" w:type="dxa"/>
            <w:vAlign w:val="center"/>
          </w:tcPr>
          <w:p w14:paraId="520AD022">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废包装材料</w:t>
            </w:r>
          </w:p>
        </w:tc>
        <w:tc>
          <w:tcPr>
            <w:tcW w:w="1606" w:type="dxa"/>
            <w:vAlign w:val="center"/>
          </w:tcPr>
          <w:p w14:paraId="520AD023">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10</w:t>
            </w:r>
          </w:p>
        </w:tc>
        <w:tc>
          <w:tcPr>
            <w:tcW w:w="1607" w:type="dxa"/>
            <w:vAlign w:val="center"/>
          </w:tcPr>
          <w:p w14:paraId="520AD024">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25">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0.006</w:t>
            </w:r>
          </w:p>
        </w:tc>
        <w:tc>
          <w:tcPr>
            <w:tcW w:w="1607" w:type="dxa"/>
            <w:vAlign w:val="center"/>
          </w:tcPr>
          <w:p w14:paraId="520AD026">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27">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28">
            <w:pPr>
              <w:pStyle w:val="32"/>
              <w:spacing w:beforeLines="0" w:afterLines="0" w:line="240" w:lineRule="auto"/>
              <w:rPr>
                <w:rFonts w:ascii="Times New Roman"/>
                <w:snapToGrid w:val="0"/>
                <w:kern w:val="21"/>
                <w:szCs w:val="21"/>
                <w:lang w:val="en-US"/>
              </w:rPr>
            </w:pPr>
            <w:r>
              <w:rPr>
                <w:rFonts w:ascii="Times New Roman" w:eastAsia="等线"/>
                <w:szCs w:val="21"/>
              </w:rPr>
              <w:t>10.006</w:t>
            </w:r>
          </w:p>
        </w:tc>
        <w:tc>
          <w:tcPr>
            <w:tcW w:w="1607" w:type="dxa"/>
            <w:vAlign w:val="center"/>
          </w:tcPr>
          <w:p w14:paraId="520AD029">
            <w:pPr>
              <w:pStyle w:val="32"/>
              <w:spacing w:beforeLines="0" w:afterLines="0" w:line="240" w:lineRule="auto"/>
              <w:rPr>
                <w:rFonts w:ascii="Times New Roman"/>
                <w:snapToGrid w:val="0"/>
                <w:kern w:val="21"/>
                <w:szCs w:val="21"/>
                <w:lang w:val="en-US"/>
              </w:rPr>
            </w:pPr>
            <w:r>
              <w:rPr>
                <w:rFonts w:ascii="Times New Roman" w:eastAsia="等线"/>
                <w:szCs w:val="21"/>
              </w:rPr>
              <w:t xml:space="preserve">0 </w:t>
            </w:r>
          </w:p>
        </w:tc>
      </w:tr>
      <w:tr w14:paraId="520AD0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2B">
            <w:pPr>
              <w:pStyle w:val="32"/>
              <w:spacing w:beforeLines="0" w:afterLines="0" w:line="240" w:lineRule="auto"/>
              <w:rPr>
                <w:rFonts w:ascii="Times New Roman"/>
                <w:snapToGrid w:val="0"/>
                <w:kern w:val="21"/>
                <w:szCs w:val="21"/>
                <w:lang w:val="en-US"/>
              </w:rPr>
            </w:pPr>
          </w:p>
        </w:tc>
        <w:tc>
          <w:tcPr>
            <w:tcW w:w="1418" w:type="dxa"/>
            <w:vAlign w:val="center"/>
          </w:tcPr>
          <w:p w14:paraId="520AD02C">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废石英砂</w:t>
            </w:r>
          </w:p>
        </w:tc>
        <w:tc>
          <w:tcPr>
            <w:tcW w:w="1606" w:type="dxa"/>
            <w:vAlign w:val="center"/>
          </w:tcPr>
          <w:p w14:paraId="520AD02D">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D02E">
            <w:pPr>
              <w:pStyle w:val="32"/>
              <w:spacing w:beforeLines="0" w:afterLines="0" w:line="240" w:lineRule="auto"/>
              <w:rPr>
                <w:rFonts w:ascii="Times New Roman"/>
                <w:szCs w:val="21"/>
              </w:rPr>
            </w:pPr>
            <w:r>
              <w:rPr>
                <w:rFonts w:ascii="Times New Roman"/>
                <w:szCs w:val="21"/>
              </w:rPr>
              <w:t>/</w:t>
            </w:r>
          </w:p>
        </w:tc>
        <w:tc>
          <w:tcPr>
            <w:tcW w:w="1606" w:type="dxa"/>
            <w:vAlign w:val="center"/>
          </w:tcPr>
          <w:p w14:paraId="520AD02F">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3</w:t>
            </w:r>
          </w:p>
        </w:tc>
        <w:tc>
          <w:tcPr>
            <w:tcW w:w="1607" w:type="dxa"/>
            <w:vAlign w:val="center"/>
          </w:tcPr>
          <w:p w14:paraId="520AD030">
            <w:pPr>
              <w:pStyle w:val="32"/>
              <w:spacing w:beforeLines="0" w:afterLines="0" w:line="240" w:lineRule="auto"/>
              <w:rPr>
                <w:rFonts w:ascii="Times New Roman"/>
                <w:bCs/>
                <w:szCs w:val="21"/>
              </w:rPr>
            </w:pPr>
            <w:r>
              <w:rPr>
                <w:rFonts w:hint="eastAsia" w:ascii="Times New Roman"/>
                <w:szCs w:val="21"/>
              </w:rPr>
              <w:t>0</w:t>
            </w:r>
          </w:p>
        </w:tc>
        <w:tc>
          <w:tcPr>
            <w:tcW w:w="1606" w:type="dxa"/>
            <w:vAlign w:val="center"/>
          </w:tcPr>
          <w:p w14:paraId="520AD031">
            <w:pPr>
              <w:pStyle w:val="32"/>
              <w:spacing w:beforeLines="0" w:afterLines="0" w:line="240" w:lineRule="auto"/>
              <w:rPr>
                <w:rFonts w:ascii="Times New Roman"/>
                <w:bCs/>
                <w:szCs w:val="21"/>
              </w:rPr>
            </w:pPr>
            <w:r>
              <w:rPr>
                <w:rFonts w:hint="eastAsia" w:ascii="Times New Roman"/>
                <w:szCs w:val="21"/>
              </w:rPr>
              <w:t>0</w:t>
            </w:r>
          </w:p>
        </w:tc>
        <w:tc>
          <w:tcPr>
            <w:tcW w:w="1607" w:type="dxa"/>
            <w:vAlign w:val="center"/>
          </w:tcPr>
          <w:p w14:paraId="520AD032">
            <w:pPr>
              <w:pStyle w:val="32"/>
              <w:spacing w:beforeLines="0" w:afterLines="0" w:line="240" w:lineRule="auto"/>
              <w:rPr>
                <w:rFonts w:ascii="Times New Roman"/>
                <w:snapToGrid w:val="0"/>
                <w:kern w:val="21"/>
                <w:szCs w:val="21"/>
                <w:lang w:val="en-US"/>
              </w:rPr>
            </w:pPr>
            <w:r>
              <w:rPr>
                <w:rFonts w:ascii="Times New Roman" w:eastAsia="等线"/>
                <w:szCs w:val="21"/>
              </w:rPr>
              <w:t>3</w:t>
            </w:r>
          </w:p>
        </w:tc>
        <w:tc>
          <w:tcPr>
            <w:tcW w:w="1607" w:type="dxa"/>
            <w:vAlign w:val="center"/>
          </w:tcPr>
          <w:p w14:paraId="520AD033">
            <w:pPr>
              <w:pStyle w:val="32"/>
              <w:spacing w:beforeLines="0" w:afterLines="0" w:line="240" w:lineRule="auto"/>
              <w:rPr>
                <w:rFonts w:ascii="Times New Roman"/>
                <w:bCs/>
                <w:szCs w:val="21"/>
              </w:rPr>
            </w:pPr>
            <w:r>
              <w:rPr>
                <w:rFonts w:ascii="Times New Roman" w:eastAsia="等线"/>
                <w:szCs w:val="21"/>
              </w:rPr>
              <w:t>0</w:t>
            </w:r>
          </w:p>
        </w:tc>
      </w:tr>
      <w:tr w14:paraId="520AD0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35">
            <w:pPr>
              <w:pStyle w:val="32"/>
              <w:spacing w:beforeLines="0" w:afterLines="0" w:line="240" w:lineRule="auto"/>
              <w:rPr>
                <w:rFonts w:ascii="Times New Roman"/>
                <w:snapToGrid w:val="0"/>
                <w:kern w:val="21"/>
                <w:szCs w:val="21"/>
                <w:lang w:val="en-US"/>
              </w:rPr>
            </w:pPr>
          </w:p>
        </w:tc>
        <w:tc>
          <w:tcPr>
            <w:tcW w:w="1418" w:type="dxa"/>
            <w:vAlign w:val="center"/>
          </w:tcPr>
          <w:p w14:paraId="520AD036">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除尘器收集粉尘</w:t>
            </w:r>
          </w:p>
        </w:tc>
        <w:tc>
          <w:tcPr>
            <w:tcW w:w="1606" w:type="dxa"/>
            <w:vAlign w:val="center"/>
          </w:tcPr>
          <w:p w14:paraId="520AD037">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38">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39">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4.6906</w:t>
            </w:r>
          </w:p>
        </w:tc>
        <w:tc>
          <w:tcPr>
            <w:tcW w:w="1607" w:type="dxa"/>
            <w:vAlign w:val="center"/>
          </w:tcPr>
          <w:p w14:paraId="520AD03A">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3B">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3C">
            <w:pPr>
              <w:pStyle w:val="32"/>
              <w:spacing w:beforeLines="0" w:afterLines="0" w:line="240" w:lineRule="auto"/>
              <w:rPr>
                <w:rFonts w:ascii="Times New Roman"/>
                <w:snapToGrid w:val="0"/>
                <w:kern w:val="21"/>
                <w:szCs w:val="21"/>
                <w:lang w:val="en-US"/>
              </w:rPr>
            </w:pPr>
            <w:r>
              <w:rPr>
                <w:rFonts w:ascii="Times New Roman" w:eastAsia="等线"/>
                <w:szCs w:val="21"/>
              </w:rPr>
              <w:t>4.6906</w:t>
            </w:r>
          </w:p>
        </w:tc>
        <w:tc>
          <w:tcPr>
            <w:tcW w:w="1607" w:type="dxa"/>
            <w:vAlign w:val="center"/>
          </w:tcPr>
          <w:p w14:paraId="520AD03D">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restart"/>
            <w:vAlign w:val="center"/>
          </w:tcPr>
          <w:p w14:paraId="520AD03F">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危险废物</w:t>
            </w:r>
          </w:p>
        </w:tc>
        <w:tc>
          <w:tcPr>
            <w:tcW w:w="1418" w:type="dxa"/>
            <w:vAlign w:val="center"/>
          </w:tcPr>
          <w:p w14:paraId="520AD040">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含油废金属屑</w:t>
            </w:r>
          </w:p>
        </w:tc>
        <w:tc>
          <w:tcPr>
            <w:tcW w:w="1606" w:type="dxa"/>
            <w:vAlign w:val="center"/>
          </w:tcPr>
          <w:p w14:paraId="520AD041">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14.955</w:t>
            </w:r>
          </w:p>
        </w:tc>
        <w:tc>
          <w:tcPr>
            <w:tcW w:w="1607" w:type="dxa"/>
            <w:vAlign w:val="center"/>
          </w:tcPr>
          <w:p w14:paraId="520AD042">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43">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8.1</w:t>
            </w:r>
          </w:p>
        </w:tc>
        <w:tc>
          <w:tcPr>
            <w:tcW w:w="1607" w:type="dxa"/>
            <w:vAlign w:val="center"/>
          </w:tcPr>
          <w:p w14:paraId="520AD044">
            <w:pPr>
              <w:pStyle w:val="32"/>
              <w:spacing w:beforeLines="0" w:afterLines="0" w:line="240" w:lineRule="auto"/>
              <w:rPr>
                <w:rFonts w:ascii="Times New Roman"/>
                <w:snapToGrid w:val="0"/>
                <w:kern w:val="21"/>
                <w:szCs w:val="21"/>
                <w:lang w:val="en-US"/>
              </w:rPr>
            </w:pPr>
            <w:r>
              <w:rPr>
                <w:rFonts w:hint="eastAsia" w:ascii="Times New Roman"/>
                <w:bCs/>
                <w:szCs w:val="21"/>
              </w:rPr>
              <w:t>0</w:t>
            </w:r>
          </w:p>
        </w:tc>
        <w:tc>
          <w:tcPr>
            <w:tcW w:w="1606" w:type="dxa"/>
            <w:vAlign w:val="center"/>
          </w:tcPr>
          <w:p w14:paraId="520AD045">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46">
            <w:pPr>
              <w:pStyle w:val="32"/>
              <w:spacing w:beforeLines="0" w:afterLines="0" w:line="240" w:lineRule="auto"/>
              <w:rPr>
                <w:rFonts w:ascii="Times New Roman"/>
                <w:snapToGrid w:val="0"/>
                <w:kern w:val="21"/>
                <w:szCs w:val="21"/>
                <w:lang w:val="en-US"/>
              </w:rPr>
            </w:pPr>
            <w:r>
              <w:rPr>
                <w:rFonts w:hint="eastAsia" w:ascii="Times New Roman" w:eastAsia="等线"/>
                <w:szCs w:val="21"/>
              </w:rPr>
              <w:t>23.055</w:t>
            </w:r>
          </w:p>
        </w:tc>
        <w:tc>
          <w:tcPr>
            <w:tcW w:w="1607" w:type="dxa"/>
            <w:vAlign w:val="center"/>
          </w:tcPr>
          <w:p w14:paraId="520AD047">
            <w:pPr>
              <w:pStyle w:val="32"/>
              <w:spacing w:beforeLines="0" w:afterLines="0" w:line="240" w:lineRule="auto"/>
              <w:rPr>
                <w:rFonts w:ascii="Times New Roman"/>
                <w:snapToGrid w:val="0"/>
                <w:kern w:val="21"/>
                <w:szCs w:val="21"/>
                <w:lang w:val="en-US"/>
              </w:rPr>
            </w:pPr>
            <w:r>
              <w:rPr>
                <w:rFonts w:hint="eastAsia" w:ascii="Times New Roman" w:eastAsia="等线"/>
                <w:szCs w:val="21"/>
              </w:rPr>
              <w:t>0</w:t>
            </w:r>
          </w:p>
        </w:tc>
      </w:tr>
      <w:tr w14:paraId="520AD0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49">
            <w:pPr>
              <w:pStyle w:val="32"/>
              <w:spacing w:beforeLines="0" w:afterLines="0" w:line="240" w:lineRule="auto"/>
              <w:rPr>
                <w:rFonts w:ascii="Times New Roman"/>
                <w:snapToGrid w:val="0"/>
                <w:kern w:val="21"/>
                <w:szCs w:val="21"/>
                <w:lang w:val="en-US"/>
              </w:rPr>
            </w:pPr>
          </w:p>
        </w:tc>
        <w:tc>
          <w:tcPr>
            <w:tcW w:w="1418" w:type="dxa"/>
            <w:vAlign w:val="center"/>
          </w:tcPr>
          <w:p w14:paraId="520AD04A">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废切削液</w:t>
            </w:r>
          </w:p>
        </w:tc>
        <w:tc>
          <w:tcPr>
            <w:tcW w:w="1606" w:type="dxa"/>
            <w:vAlign w:val="center"/>
          </w:tcPr>
          <w:p w14:paraId="520AD04B">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20.07</w:t>
            </w:r>
          </w:p>
        </w:tc>
        <w:tc>
          <w:tcPr>
            <w:tcW w:w="1607" w:type="dxa"/>
            <w:vAlign w:val="center"/>
          </w:tcPr>
          <w:p w14:paraId="520AD04C">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4D">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5.845</w:t>
            </w:r>
          </w:p>
        </w:tc>
        <w:tc>
          <w:tcPr>
            <w:tcW w:w="1607" w:type="dxa"/>
            <w:vAlign w:val="center"/>
          </w:tcPr>
          <w:p w14:paraId="520AD04E">
            <w:pPr>
              <w:pStyle w:val="32"/>
              <w:spacing w:beforeLines="0" w:afterLines="0" w:line="240" w:lineRule="auto"/>
              <w:rPr>
                <w:rFonts w:ascii="Times New Roman"/>
                <w:snapToGrid w:val="0"/>
                <w:kern w:val="21"/>
                <w:szCs w:val="21"/>
                <w:lang w:val="en-US"/>
              </w:rPr>
            </w:pPr>
            <w:r>
              <w:rPr>
                <w:rFonts w:hint="eastAsia" w:ascii="Times New Roman"/>
                <w:bCs/>
                <w:szCs w:val="21"/>
              </w:rPr>
              <w:t>0.0146</w:t>
            </w:r>
          </w:p>
        </w:tc>
        <w:tc>
          <w:tcPr>
            <w:tcW w:w="1606" w:type="dxa"/>
            <w:vAlign w:val="center"/>
          </w:tcPr>
          <w:p w14:paraId="520AD04F">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50">
            <w:pPr>
              <w:pStyle w:val="32"/>
              <w:spacing w:beforeLines="0" w:afterLines="0" w:line="240" w:lineRule="auto"/>
              <w:rPr>
                <w:rFonts w:ascii="Times New Roman"/>
                <w:snapToGrid w:val="0"/>
                <w:kern w:val="21"/>
                <w:szCs w:val="21"/>
                <w:lang w:val="en-US"/>
              </w:rPr>
            </w:pPr>
            <w:r>
              <w:rPr>
                <w:rFonts w:ascii="Times New Roman" w:eastAsia="等线"/>
                <w:szCs w:val="21"/>
              </w:rPr>
              <w:t>2</w:t>
            </w:r>
            <w:r>
              <w:rPr>
                <w:rFonts w:hint="eastAsia" w:ascii="Times New Roman" w:eastAsia="等线"/>
                <w:szCs w:val="21"/>
              </w:rPr>
              <w:t>5.9296</w:t>
            </w:r>
          </w:p>
        </w:tc>
        <w:tc>
          <w:tcPr>
            <w:tcW w:w="1607" w:type="dxa"/>
            <w:vAlign w:val="center"/>
          </w:tcPr>
          <w:p w14:paraId="520AD051">
            <w:pPr>
              <w:pStyle w:val="32"/>
              <w:spacing w:beforeLines="0" w:afterLines="0" w:line="240" w:lineRule="auto"/>
              <w:rPr>
                <w:rFonts w:ascii="Times New Roman"/>
                <w:snapToGrid w:val="0"/>
                <w:kern w:val="21"/>
                <w:szCs w:val="21"/>
                <w:lang w:val="en-US"/>
              </w:rPr>
            </w:pPr>
            <w:r>
              <w:rPr>
                <w:rFonts w:ascii="Times New Roman" w:eastAsia="等线"/>
                <w:szCs w:val="21"/>
              </w:rPr>
              <w:t>+0.0</w:t>
            </w:r>
            <w:r>
              <w:rPr>
                <w:rFonts w:hint="eastAsia" w:ascii="Times New Roman" w:eastAsia="等线"/>
                <w:szCs w:val="21"/>
              </w:rPr>
              <w:t>146</w:t>
            </w:r>
          </w:p>
        </w:tc>
      </w:tr>
      <w:tr w14:paraId="520AD0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53">
            <w:pPr>
              <w:pStyle w:val="32"/>
              <w:spacing w:beforeLines="0" w:afterLines="0" w:line="240" w:lineRule="auto"/>
              <w:rPr>
                <w:rFonts w:ascii="Times New Roman"/>
                <w:snapToGrid w:val="0"/>
                <w:kern w:val="21"/>
                <w:szCs w:val="21"/>
                <w:lang w:val="en-US"/>
              </w:rPr>
            </w:pPr>
          </w:p>
        </w:tc>
        <w:tc>
          <w:tcPr>
            <w:tcW w:w="1418" w:type="dxa"/>
            <w:vAlign w:val="center"/>
          </w:tcPr>
          <w:p w14:paraId="520AD054">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废漆渣、稀料</w:t>
            </w:r>
          </w:p>
        </w:tc>
        <w:tc>
          <w:tcPr>
            <w:tcW w:w="1606" w:type="dxa"/>
            <w:vAlign w:val="center"/>
          </w:tcPr>
          <w:p w14:paraId="520AD055">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12</w:t>
            </w:r>
          </w:p>
        </w:tc>
        <w:tc>
          <w:tcPr>
            <w:tcW w:w="1607" w:type="dxa"/>
            <w:vAlign w:val="center"/>
          </w:tcPr>
          <w:p w14:paraId="520AD056">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57">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58">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59">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5A">
            <w:pPr>
              <w:pStyle w:val="32"/>
              <w:spacing w:beforeLines="0" w:afterLines="0" w:line="240" w:lineRule="auto"/>
              <w:rPr>
                <w:rFonts w:ascii="Times New Roman"/>
                <w:snapToGrid w:val="0"/>
                <w:kern w:val="21"/>
                <w:szCs w:val="21"/>
                <w:lang w:val="en-US"/>
              </w:rPr>
            </w:pPr>
            <w:r>
              <w:rPr>
                <w:rFonts w:ascii="Times New Roman" w:eastAsia="等线"/>
                <w:szCs w:val="21"/>
              </w:rPr>
              <w:t>12</w:t>
            </w:r>
          </w:p>
        </w:tc>
        <w:tc>
          <w:tcPr>
            <w:tcW w:w="1607" w:type="dxa"/>
            <w:vAlign w:val="center"/>
          </w:tcPr>
          <w:p w14:paraId="520AD05B">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5D">
            <w:pPr>
              <w:pStyle w:val="32"/>
              <w:spacing w:beforeLines="0" w:afterLines="0" w:line="240" w:lineRule="auto"/>
              <w:rPr>
                <w:rFonts w:ascii="Times New Roman"/>
                <w:snapToGrid w:val="0"/>
                <w:kern w:val="21"/>
                <w:szCs w:val="21"/>
                <w:lang w:val="en-US"/>
              </w:rPr>
            </w:pPr>
          </w:p>
        </w:tc>
        <w:tc>
          <w:tcPr>
            <w:tcW w:w="1418" w:type="dxa"/>
            <w:vAlign w:val="center"/>
          </w:tcPr>
          <w:p w14:paraId="520AD05E">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废矿物油</w:t>
            </w:r>
          </w:p>
        </w:tc>
        <w:tc>
          <w:tcPr>
            <w:tcW w:w="1606" w:type="dxa"/>
            <w:vAlign w:val="center"/>
          </w:tcPr>
          <w:p w14:paraId="520AD05F">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15.1</w:t>
            </w:r>
          </w:p>
        </w:tc>
        <w:tc>
          <w:tcPr>
            <w:tcW w:w="1607" w:type="dxa"/>
            <w:vAlign w:val="center"/>
          </w:tcPr>
          <w:p w14:paraId="520AD060">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61">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93.175</w:t>
            </w:r>
          </w:p>
        </w:tc>
        <w:tc>
          <w:tcPr>
            <w:tcW w:w="1607" w:type="dxa"/>
            <w:vAlign w:val="center"/>
          </w:tcPr>
          <w:p w14:paraId="520AD062">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w:t>
            </w:r>
          </w:p>
        </w:tc>
        <w:tc>
          <w:tcPr>
            <w:tcW w:w="1606" w:type="dxa"/>
            <w:vAlign w:val="center"/>
          </w:tcPr>
          <w:p w14:paraId="520AD063">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64">
            <w:pPr>
              <w:pStyle w:val="32"/>
              <w:spacing w:beforeLines="0" w:afterLines="0" w:line="240" w:lineRule="auto"/>
              <w:rPr>
                <w:rFonts w:ascii="Times New Roman"/>
                <w:snapToGrid w:val="0"/>
                <w:kern w:val="21"/>
                <w:szCs w:val="21"/>
                <w:lang w:val="en-US"/>
              </w:rPr>
            </w:pPr>
            <w:r>
              <w:rPr>
                <w:rFonts w:ascii="Times New Roman" w:eastAsia="等线"/>
                <w:szCs w:val="21"/>
              </w:rPr>
              <w:t>108.275</w:t>
            </w:r>
          </w:p>
        </w:tc>
        <w:tc>
          <w:tcPr>
            <w:tcW w:w="1607" w:type="dxa"/>
            <w:vAlign w:val="center"/>
          </w:tcPr>
          <w:p w14:paraId="520AD065">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67">
            <w:pPr>
              <w:pStyle w:val="32"/>
              <w:spacing w:beforeLines="0" w:afterLines="0" w:line="240" w:lineRule="auto"/>
              <w:rPr>
                <w:rFonts w:ascii="Times New Roman"/>
                <w:snapToGrid w:val="0"/>
                <w:kern w:val="21"/>
                <w:szCs w:val="21"/>
                <w:lang w:val="en-US"/>
              </w:rPr>
            </w:pPr>
          </w:p>
        </w:tc>
        <w:tc>
          <w:tcPr>
            <w:tcW w:w="1418" w:type="dxa"/>
            <w:vAlign w:val="center"/>
          </w:tcPr>
          <w:p w14:paraId="520AD068">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废液压油</w:t>
            </w:r>
          </w:p>
        </w:tc>
        <w:tc>
          <w:tcPr>
            <w:tcW w:w="1606" w:type="dxa"/>
            <w:vAlign w:val="center"/>
          </w:tcPr>
          <w:p w14:paraId="520AD069">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4.02</w:t>
            </w:r>
          </w:p>
        </w:tc>
        <w:tc>
          <w:tcPr>
            <w:tcW w:w="1607" w:type="dxa"/>
            <w:vAlign w:val="center"/>
          </w:tcPr>
          <w:p w14:paraId="520AD06A">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6B">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w:t>
            </w:r>
            <w:r>
              <w:rPr>
                <w:rFonts w:hint="eastAsia" w:ascii="Times New Roman"/>
                <w:snapToGrid w:val="0"/>
                <w:kern w:val="21"/>
                <w:szCs w:val="21"/>
                <w:lang w:val="en-US"/>
              </w:rPr>
              <w:t>1</w:t>
            </w:r>
            <w:r>
              <w:rPr>
                <w:rFonts w:ascii="Times New Roman"/>
                <w:snapToGrid w:val="0"/>
                <w:kern w:val="21"/>
                <w:szCs w:val="21"/>
                <w:lang w:val="en-US"/>
              </w:rPr>
              <w:t>16</w:t>
            </w:r>
          </w:p>
        </w:tc>
        <w:tc>
          <w:tcPr>
            <w:tcW w:w="1607" w:type="dxa"/>
            <w:vAlign w:val="center"/>
          </w:tcPr>
          <w:p w14:paraId="520AD06C">
            <w:pPr>
              <w:pStyle w:val="32"/>
              <w:spacing w:beforeLines="0" w:afterLines="0" w:line="240" w:lineRule="auto"/>
              <w:rPr>
                <w:rFonts w:ascii="Times New Roman"/>
                <w:snapToGrid w:val="0"/>
                <w:kern w:val="21"/>
                <w:szCs w:val="21"/>
                <w:lang w:val="en-US"/>
              </w:rPr>
            </w:pPr>
            <w:r>
              <w:rPr>
                <w:rFonts w:hint="eastAsia" w:ascii="Times New Roman"/>
                <w:bCs/>
                <w:szCs w:val="21"/>
              </w:rPr>
              <w:t>0.551</w:t>
            </w:r>
          </w:p>
        </w:tc>
        <w:tc>
          <w:tcPr>
            <w:tcW w:w="1606" w:type="dxa"/>
            <w:vAlign w:val="center"/>
          </w:tcPr>
          <w:p w14:paraId="520AD06D">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6E">
            <w:pPr>
              <w:pStyle w:val="32"/>
              <w:spacing w:beforeLines="0" w:afterLines="0" w:line="240" w:lineRule="auto"/>
              <w:rPr>
                <w:rFonts w:ascii="Times New Roman"/>
                <w:snapToGrid w:val="0"/>
                <w:kern w:val="21"/>
                <w:szCs w:val="21"/>
                <w:lang w:val="en-US"/>
              </w:rPr>
            </w:pPr>
            <w:r>
              <w:rPr>
                <w:rFonts w:hint="eastAsia" w:ascii="Times New Roman" w:eastAsia="等线"/>
                <w:szCs w:val="21"/>
              </w:rPr>
              <w:t>4.687</w:t>
            </w:r>
          </w:p>
        </w:tc>
        <w:tc>
          <w:tcPr>
            <w:tcW w:w="1607" w:type="dxa"/>
            <w:vAlign w:val="center"/>
          </w:tcPr>
          <w:p w14:paraId="520AD06F">
            <w:pPr>
              <w:pStyle w:val="32"/>
              <w:spacing w:beforeLines="0" w:afterLines="0" w:line="240" w:lineRule="auto"/>
              <w:rPr>
                <w:rFonts w:ascii="Times New Roman"/>
                <w:snapToGrid w:val="0"/>
                <w:kern w:val="21"/>
                <w:szCs w:val="21"/>
                <w:lang w:val="en-US"/>
              </w:rPr>
            </w:pPr>
            <w:r>
              <w:rPr>
                <w:rFonts w:ascii="Times New Roman" w:eastAsia="等线"/>
                <w:szCs w:val="21"/>
              </w:rPr>
              <w:t>+</w:t>
            </w:r>
            <w:r>
              <w:rPr>
                <w:rFonts w:hint="eastAsia" w:ascii="Times New Roman" w:eastAsia="等线"/>
                <w:szCs w:val="21"/>
              </w:rPr>
              <w:t>0.551</w:t>
            </w:r>
          </w:p>
        </w:tc>
      </w:tr>
      <w:tr w14:paraId="520AD0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71">
            <w:pPr>
              <w:pStyle w:val="32"/>
              <w:spacing w:beforeLines="0" w:afterLines="0" w:line="240" w:lineRule="auto"/>
              <w:rPr>
                <w:rFonts w:ascii="Times New Roman"/>
                <w:snapToGrid w:val="0"/>
                <w:kern w:val="21"/>
                <w:szCs w:val="21"/>
                <w:lang w:val="en-US"/>
              </w:rPr>
            </w:pPr>
          </w:p>
        </w:tc>
        <w:tc>
          <w:tcPr>
            <w:tcW w:w="1418" w:type="dxa"/>
            <w:vAlign w:val="center"/>
          </w:tcPr>
          <w:p w14:paraId="520AD072">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废乙二醇</w:t>
            </w:r>
          </w:p>
        </w:tc>
        <w:tc>
          <w:tcPr>
            <w:tcW w:w="1606" w:type="dxa"/>
            <w:vAlign w:val="center"/>
          </w:tcPr>
          <w:p w14:paraId="520AD073">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w:t>
            </w:r>
          </w:p>
        </w:tc>
        <w:tc>
          <w:tcPr>
            <w:tcW w:w="1607" w:type="dxa"/>
            <w:vAlign w:val="center"/>
          </w:tcPr>
          <w:p w14:paraId="520AD074">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75">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76">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77">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78">
            <w:pPr>
              <w:pStyle w:val="32"/>
              <w:spacing w:beforeLines="0" w:afterLines="0" w:line="240" w:lineRule="auto"/>
              <w:rPr>
                <w:rFonts w:ascii="Times New Roman"/>
                <w:snapToGrid w:val="0"/>
                <w:kern w:val="21"/>
                <w:szCs w:val="21"/>
                <w:lang w:val="en-US"/>
              </w:rPr>
            </w:pPr>
            <w:r>
              <w:rPr>
                <w:rFonts w:ascii="Times New Roman" w:eastAsia="等线"/>
                <w:szCs w:val="21"/>
              </w:rPr>
              <w:t>1</w:t>
            </w:r>
          </w:p>
        </w:tc>
        <w:tc>
          <w:tcPr>
            <w:tcW w:w="1607" w:type="dxa"/>
            <w:vAlign w:val="center"/>
          </w:tcPr>
          <w:p w14:paraId="520AD079">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7B">
            <w:pPr>
              <w:pStyle w:val="32"/>
              <w:spacing w:beforeLines="0" w:afterLines="0" w:line="240" w:lineRule="auto"/>
              <w:rPr>
                <w:rFonts w:ascii="Times New Roman"/>
                <w:snapToGrid w:val="0"/>
                <w:kern w:val="21"/>
                <w:szCs w:val="21"/>
                <w:lang w:val="en-US"/>
              </w:rPr>
            </w:pPr>
          </w:p>
        </w:tc>
        <w:tc>
          <w:tcPr>
            <w:tcW w:w="1418" w:type="dxa"/>
            <w:vAlign w:val="center"/>
          </w:tcPr>
          <w:p w14:paraId="520AD07C">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废酒精</w:t>
            </w:r>
          </w:p>
        </w:tc>
        <w:tc>
          <w:tcPr>
            <w:tcW w:w="1606" w:type="dxa"/>
            <w:vAlign w:val="center"/>
          </w:tcPr>
          <w:p w14:paraId="520AD07D">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w:t>
            </w:r>
          </w:p>
        </w:tc>
        <w:tc>
          <w:tcPr>
            <w:tcW w:w="1607" w:type="dxa"/>
            <w:vAlign w:val="center"/>
          </w:tcPr>
          <w:p w14:paraId="520AD07E">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7F">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80">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81">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82">
            <w:pPr>
              <w:pStyle w:val="32"/>
              <w:spacing w:beforeLines="0" w:afterLines="0" w:line="240" w:lineRule="auto"/>
              <w:rPr>
                <w:rFonts w:ascii="Times New Roman"/>
                <w:snapToGrid w:val="0"/>
                <w:kern w:val="21"/>
                <w:szCs w:val="21"/>
                <w:lang w:val="en-US"/>
              </w:rPr>
            </w:pPr>
            <w:r>
              <w:rPr>
                <w:rFonts w:ascii="Times New Roman" w:eastAsia="等线"/>
                <w:szCs w:val="21"/>
              </w:rPr>
              <w:t>1</w:t>
            </w:r>
          </w:p>
        </w:tc>
        <w:tc>
          <w:tcPr>
            <w:tcW w:w="1607" w:type="dxa"/>
            <w:vAlign w:val="center"/>
          </w:tcPr>
          <w:p w14:paraId="520AD083">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85">
            <w:pPr>
              <w:pStyle w:val="32"/>
              <w:spacing w:beforeLines="0" w:afterLines="0" w:line="240" w:lineRule="auto"/>
              <w:rPr>
                <w:rFonts w:ascii="Times New Roman"/>
                <w:snapToGrid w:val="0"/>
                <w:kern w:val="21"/>
                <w:szCs w:val="21"/>
                <w:lang w:val="en-US"/>
              </w:rPr>
            </w:pPr>
          </w:p>
        </w:tc>
        <w:tc>
          <w:tcPr>
            <w:tcW w:w="1418" w:type="dxa"/>
            <w:vAlign w:val="center"/>
          </w:tcPr>
          <w:p w14:paraId="520AD086">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废感光材料</w:t>
            </w:r>
          </w:p>
        </w:tc>
        <w:tc>
          <w:tcPr>
            <w:tcW w:w="1606" w:type="dxa"/>
            <w:vAlign w:val="center"/>
          </w:tcPr>
          <w:p w14:paraId="520AD087">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2</w:t>
            </w:r>
          </w:p>
        </w:tc>
        <w:tc>
          <w:tcPr>
            <w:tcW w:w="1607" w:type="dxa"/>
            <w:vAlign w:val="center"/>
          </w:tcPr>
          <w:p w14:paraId="520AD088">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89">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8A">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8B">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8C">
            <w:pPr>
              <w:pStyle w:val="32"/>
              <w:spacing w:beforeLines="0" w:afterLines="0" w:line="240" w:lineRule="auto"/>
              <w:rPr>
                <w:rFonts w:ascii="Times New Roman"/>
                <w:snapToGrid w:val="0"/>
                <w:kern w:val="21"/>
                <w:szCs w:val="21"/>
                <w:lang w:val="en-US"/>
              </w:rPr>
            </w:pPr>
            <w:r>
              <w:rPr>
                <w:rFonts w:ascii="Times New Roman" w:eastAsia="等线"/>
                <w:szCs w:val="21"/>
              </w:rPr>
              <w:t>2</w:t>
            </w:r>
          </w:p>
        </w:tc>
        <w:tc>
          <w:tcPr>
            <w:tcW w:w="1607" w:type="dxa"/>
            <w:vAlign w:val="center"/>
          </w:tcPr>
          <w:p w14:paraId="520AD08D">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8F">
            <w:pPr>
              <w:pStyle w:val="32"/>
              <w:spacing w:beforeLines="0" w:afterLines="0" w:line="240" w:lineRule="auto"/>
              <w:rPr>
                <w:rFonts w:ascii="Times New Roman"/>
                <w:snapToGrid w:val="0"/>
                <w:kern w:val="21"/>
                <w:szCs w:val="21"/>
                <w:lang w:val="en-US"/>
              </w:rPr>
            </w:pPr>
          </w:p>
        </w:tc>
        <w:tc>
          <w:tcPr>
            <w:tcW w:w="1418" w:type="dxa"/>
            <w:vAlign w:val="center"/>
          </w:tcPr>
          <w:p w14:paraId="520AD090">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废化学药品</w:t>
            </w:r>
          </w:p>
        </w:tc>
        <w:tc>
          <w:tcPr>
            <w:tcW w:w="1606" w:type="dxa"/>
            <w:vAlign w:val="center"/>
          </w:tcPr>
          <w:p w14:paraId="520AD091">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w:t>
            </w:r>
          </w:p>
        </w:tc>
        <w:tc>
          <w:tcPr>
            <w:tcW w:w="1607" w:type="dxa"/>
            <w:vAlign w:val="center"/>
          </w:tcPr>
          <w:p w14:paraId="520AD092">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93">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94">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95">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96">
            <w:pPr>
              <w:pStyle w:val="32"/>
              <w:spacing w:beforeLines="0" w:afterLines="0" w:line="240" w:lineRule="auto"/>
              <w:rPr>
                <w:rFonts w:ascii="Times New Roman"/>
                <w:snapToGrid w:val="0"/>
                <w:kern w:val="21"/>
                <w:szCs w:val="21"/>
                <w:lang w:val="en-US"/>
              </w:rPr>
            </w:pPr>
            <w:r>
              <w:rPr>
                <w:rFonts w:ascii="Times New Roman" w:eastAsia="等线"/>
                <w:szCs w:val="21"/>
              </w:rPr>
              <w:t>1</w:t>
            </w:r>
          </w:p>
        </w:tc>
        <w:tc>
          <w:tcPr>
            <w:tcW w:w="1607" w:type="dxa"/>
            <w:vAlign w:val="center"/>
          </w:tcPr>
          <w:p w14:paraId="520AD097">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99">
            <w:pPr>
              <w:pStyle w:val="32"/>
              <w:spacing w:beforeLines="0" w:afterLines="0" w:line="240" w:lineRule="auto"/>
              <w:rPr>
                <w:rFonts w:ascii="Times New Roman"/>
                <w:snapToGrid w:val="0"/>
                <w:kern w:val="21"/>
                <w:szCs w:val="21"/>
                <w:lang w:val="en-US"/>
              </w:rPr>
            </w:pPr>
          </w:p>
        </w:tc>
        <w:tc>
          <w:tcPr>
            <w:tcW w:w="1418" w:type="dxa"/>
            <w:vAlign w:val="center"/>
          </w:tcPr>
          <w:p w14:paraId="520AD09A">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废化学药品包装物</w:t>
            </w:r>
          </w:p>
        </w:tc>
        <w:tc>
          <w:tcPr>
            <w:tcW w:w="1606" w:type="dxa"/>
            <w:vAlign w:val="center"/>
          </w:tcPr>
          <w:p w14:paraId="520AD09B">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w:t>
            </w:r>
          </w:p>
        </w:tc>
        <w:tc>
          <w:tcPr>
            <w:tcW w:w="1607" w:type="dxa"/>
            <w:vAlign w:val="center"/>
          </w:tcPr>
          <w:p w14:paraId="520AD09C">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9D">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9E">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9F">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A0">
            <w:pPr>
              <w:pStyle w:val="32"/>
              <w:spacing w:beforeLines="0" w:afterLines="0" w:line="240" w:lineRule="auto"/>
              <w:rPr>
                <w:rFonts w:ascii="Times New Roman"/>
                <w:snapToGrid w:val="0"/>
                <w:kern w:val="21"/>
                <w:szCs w:val="21"/>
                <w:lang w:val="en-US"/>
              </w:rPr>
            </w:pPr>
            <w:r>
              <w:rPr>
                <w:rFonts w:ascii="Times New Roman" w:eastAsia="等线"/>
                <w:szCs w:val="21"/>
              </w:rPr>
              <w:t>1</w:t>
            </w:r>
          </w:p>
        </w:tc>
        <w:tc>
          <w:tcPr>
            <w:tcW w:w="1607" w:type="dxa"/>
            <w:vAlign w:val="center"/>
          </w:tcPr>
          <w:p w14:paraId="520AD0A1">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A3">
            <w:pPr>
              <w:pStyle w:val="32"/>
              <w:spacing w:beforeLines="0" w:afterLines="0" w:line="240" w:lineRule="auto"/>
              <w:rPr>
                <w:rFonts w:ascii="Times New Roman"/>
                <w:snapToGrid w:val="0"/>
                <w:kern w:val="21"/>
                <w:szCs w:val="21"/>
                <w:lang w:val="en-US"/>
              </w:rPr>
            </w:pPr>
          </w:p>
        </w:tc>
        <w:tc>
          <w:tcPr>
            <w:tcW w:w="1418" w:type="dxa"/>
            <w:vAlign w:val="center"/>
          </w:tcPr>
          <w:p w14:paraId="520AD0A4">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废漆桶</w:t>
            </w:r>
          </w:p>
        </w:tc>
        <w:tc>
          <w:tcPr>
            <w:tcW w:w="1606" w:type="dxa"/>
            <w:vAlign w:val="center"/>
          </w:tcPr>
          <w:p w14:paraId="520AD0A5">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2</w:t>
            </w:r>
          </w:p>
        </w:tc>
        <w:tc>
          <w:tcPr>
            <w:tcW w:w="1607" w:type="dxa"/>
            <w:vAlign w:val="center"/>
          </w:tcPr>
          <w:p w14:paraId="520AD0A6">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A7">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A8">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A9">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AA">
            <w:pPr>
              <w:pStyle w:val="32"/>
              <w:spacing w:beforeLines="0" w:afterLines="0" w:line="240" w:lineRule="auto"/>
              <w:rPr>
                <w:rFonts w:ascii="Times New Roman"/>
                <w:snapToGrid w:val="0"/>
                <w:kern w:val="21"/>
                <w:szCs w:val="21"/>
                <w:lang w:val="en-US"/>
              </w:rPr>
            </w:pPr>
            <w:r>
              <w:rPr>
                <w:rFonts w:ascii="Times New Roman" w:eastAsia="等线"/>
                <w:szCs w:val="21"/>
              </w:rPr>
              <w:t>2</w:t>
            </w:r>
          </w:p>
        </w:tc>
        <w:tc>
          <w:tcPr>
            <w:tcW w:w="1607" w:type="dxa"/>
            <w:vAlign w:val="center"/>
          </w:tcPr>
          <w:p w14:paraId="520AD0AB">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AD">
            <w:pPr>
              <w:pStyle w:val="32"/>
              <w:spacing w:beforeLines="0" w:afterLines="0" w:line="240" w:lineRule="auto"/>
              <w:rPr>
                <w:rFonts w:ascii="Times New Roman"/>
                <w:snapToGrid w:val="0"/>
                <w:kern w:val="21"/>
                <w:szCs w:val="21"/>
                <w:lang w:val="en-US"/>
              </w:rPr>
            </w:pPr>
          </w:p>
        </w:tc>
        <w:tc>
          <w:tcPr>
            <w:tcW w:w="1418" w:type="dxa"/>
            <w:vAlign w:val="center"/>
          </w:tcPr>
          <w:p w14:paraId="520AD0AE">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废UV灯管</w:t>
            </w:r>
          </w:p>
        </w:tc>
        <w:tc>
          <w:tcPr>
            <w:tcW w:w="1606" w:type="dxa"/>
            <w:vAlign w:val="center"/>
          </w:tcPr>
          <w:p w14:paraId="520AD0AF">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w:t>
            </w:r>
          </w:p>
        </w:tc>
        <w:tc>
          <w:tcPr>
            <w:tcW w:w="1607" w:type="dxa"/>
            <w:vAlign w:val="center"/>
          </w:tcPr>
          <w:p w14:paraId="520AD0B0">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B1">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0.003</w:t>
            </w:r>
          </w:p>
        </w:tc>
        <w:tc>
          <w:tcPr>
            <w:tcW w:w="1607" w:type="dxa"/>
            <w:vAlign w:val="center"/>
          </w:tcPr>
          <w:p w14:paraId="520AD0B2">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B3">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B4">
            <w:pPr>
              <w:pStyle w:val="32"/>
              <w:spacing w:beforeLines="0" w:afterLines="0" w:line="240" w:lineRule="auto"/>
              <w:rPr>
                <w:rFonts w:ascii="Times New Roman"/>
                <w:snapToGrid w:val="0"/>
                <w:kern w:val="21"/>
                <w:szCs w:val="21"/>
                <w:lang w:val="en-US"/>
              </w:rPr>
            </w:pPr>
            <w:r>
              <w:rPr>
                <w:rFonts w:ascii="Times New Roman" w:eastAsia="等线"/>
                <w:szCs w:val="21"/>
              </w:rPr>
              <w:t>0.003</w:t>
            </w:r>
          </w:p>
        </w:tc>
        <w:tc>
          <w:tcPr>
            <w:tcW w:w="1607" w:type="dxa"/>
            <w:vAlign w:val="center"/>
          </w:tcPr>
          <w:p w14:paraId="520AD0B5">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B7">
            <w:pPr>
              <w:pStyle w:val="32"/>
              <w:spacing w:beforeLines="0" w:afterLines="0" w:line="240" w:lineRule="auto"/>
              <w:rPr>
                <w:rFonts w:ascii="Times New Roman"/>
                <w:snapToGrid w:val="0"/>
                <w:kern w:val="21"/>
                <w:szCs w:val="21"/>
                <w:lang w:val="en-US"/>
              </w:rPr>
            </w:pPr>
          </w:p>
        </w:tc>
        <w:tc>
          <w:tcPr>
            <w:tcW w:w="1418" w:type="dxa"/>
            <w:vAlign w:val="center"/>
          </w:tcPr>
          <w:p w14:paraId="520AD0B8">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废瓦楞纸、过滤棉</w:t>
            </w:r>
          </w:p>
        </w:tc>
        <w:tc>
          <w:tcPr>
            <w:tcW w:w="1606" w:type="dxa"/>
            <w:vAlign w:val="center"/>
          </w:tcPr>
          <w:p w14:paraId="520AD0B9">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w:t>
            </w:r>
          </w:p>
        </w:tc>
        <w:tc>
          <w:tcPr>
            <w:tcW w:w="1607" w:type="dxa"/>
            <w:vAlign w:val="center"/>
          </w:tcPr>
          <w:p w14:paraId="520AD0BA">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BB">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BC">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BD">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BE">
            <w:pPr>
              <w:pStyle w:val="32"/>
              <w:spacing w:beforeLines="0" w:afterLines="0" w:line="240" w:lineRule="auto"/>
              <w:rPr>
                <w:rFonts w:ascii="Times New Roman"/>
                <w:snapToGrid w:val="0"/>
                <w:kern w:val="21"/>
                <w:szCs w:val="21"/>
                <w:lang w:val="en-US"/>
              </w:rPr>
            </w:pPr>
            <w:r>
              <w:rPr>
                <w:rFonts w:ascii="Times New Roman" w:eastAsia="等线"/>
                <w:szCs w:val="21"/>
              </w:rPr>
              <w:t>1</w:t>
            </w:r>
          </w:p>
        </w:tc>
        <w:tc>
          <w:tcPr>
            <w:tcW w:w="1607" w:type="dxa"/>
            <w:vAlign w:val="center"/>
          </w:tcPr>
          <w:p w14:paraId="520AD0BF">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C1">
            <w:pPr>
              <w:pStyle w:val="32"/>
              <w:spacing w:beforeLines="0" w:afterLines="0" w:line="240" w:lineRule="auto"/>
              <w:rPr>
                <w:rFonts w:ascii="Times New Roman"/>
                <w:snapToGrid w:val="0"/>
                <w:kern w:val="21"/>
                <w:szCs w:val="21"/>
                <w:lang w:val="en-US"/>
              </w:rPr>
            </w:pPr>
          </w:p>
        </w:tc>
        <w:tc>
          <w:tcPr>
            <w:tcW w:w="1418" w:type="dxa"/>
            <w:vAlign w:val="center"/>
          </w:tcPr>
          <w:p w14:paraId="520AD0C2">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废滤袋、滤筒</w:t>
            </w:r>
          </w:p>
        </w:tc>
        <w:tc>
          <w:tcPr>
            <w:tcW w:w="1606" w:type="dxa"/>
            <w:vAlign w:val="center"/>
          </w:tcPr>
          <w:p w14:paraId="520AD0C3">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w:t>
            </w:r>
          </w:p>
        </w:tc>
        <w:tc>
          <w:tcPr>
            <w:tcW w:w="1607" w:type="dxa"/>
            <w:vAlign w:val="center"/>
          </w:tcPr>
          <w:p w14:paraId="520AD0C4">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C5">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C6">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C7">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C8">
            <w:pPr>
              <w:pStyle w:val="32"/>
              <w:spacing w:beforeLines="0" w:afterLines="0" w:line="240" w:lineRule="auto"/>
              <w:rPr>
                <w:rFonts w:ascii="Times New Roman"/>
                <w:snapToGrid w:val="0"/>
                <w:kern w:val="21"/>
                <w:szCs w:val="21"/>
                <w:lang w:val="en-US"/>
              </w:rPr>
            </w:pPr>
            <w:r>
              <w:rPr>
                <w:rFonts w:ascii="Times New Roman" w:eastAsia="等线"/>
                <w:szCs w:val="21"/>
              </w:rPr>
              <w:t>1</w:t>
            </w:r>
          </w:p>
        </w:tc>
        <w:tc>
          <w:tcPr>
            <w:tcW w:w="1607" w:type="dxa"/>
            <w:vAlign w:val="center"/>
          </w:tcPr>
          <w:p w14:paraId="520AD0C9">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CB">
            <w:pPr>
              <w:pStyle w:val="32"/>
              <w:spacing w:beforeLines="0" w:afterLines="0" w:line="240" w:lineRule="auto"/>
              <w:rPr>
                <w:rFonts w:ascii="Times New Roman"/>
                <w:snapToGrid w:val="0"/>
                <w:kern w:val="21"/>
                <w:szCs w:val="21"/>
                <w:lang w:val="en-US"/>
              </w:rPr>
            </w:pPr>
          </w:p>
        </w:tc>
        <w:tc>
          <w:tcPr>
            <w:tcW w:w="1418" w:type="dxa"/>
            <w:vAlign w:val="center"/>
          </w:tcPr>
          <w:p w14:paraId="520AD0CC">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废活性炭</w:t>
            </w:r>
          </w:p>
        </w:tc>
        <w:tc>
          <w:tcPr>
            <w:tcW w:w="1606" w:type="dxa"/>
            <w:vAlign w:val="center"/>
          </w:tcPr>
          <w:p w14:paraId="520AD0CD">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3.06</w:t>
            </w:r>
          </w:p>
        </w:tc>
        <w:tc>
          <w:tcPr>
            <w:tcW w:w="1607" w:type="dxa"/>
            <w:vAlign w:val="center"/>
          </w:tcPr>
          <w:p w14:paraId="520AD0CE">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CF">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8.</w:t>
            </w:r>
            <w:r>
              <w:rPr>
                <w:rFonts w:ascii="Times New Roman"/>
                <w:snapToGrid w:val="0"/>
                <w:kern w:val="21"/>
                <w:szCs w:val="21"/>
                <w:lang w:val="en-US"/>
              </w:rPr>
              <w:t>168</w:t>
            </w:r>
          </w:p>
        </w:tc>
        <w:tc>
          <w:tcPr>
            <w:tcW w:w="1607" w:type="dxa"/>
            <w:vAlign w:val="center"/>
          </w:tcPr>
          <w:p w14:paraId="520AD0D0">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0.0</w:t>
            </w:r>
            <w:r>
              <w:rPr>
                <w:rFonts w:hint="eastAsia" w:ascii="Times New Roman"/>
                <w:snapToGrid w:val="0"/>
                <w:kern w:val="21"/>
                <w:szCs w:val="21"/>
                <w:lang w:val="en-US"/>
              </w:rPr>
              <w:t>161</w:t>
            </w:r>
          </w:p>
        </w:tc>
        <w:tc>
          <w:tcPr>
            <w:tcW w:w="1606" w:type="dxa"/>
            <w:vAlign w:val="center"/>
          </w:tcPr>
          <w:p w14:paraId="520AD0D1">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D2">
            <w:pPr>
              <w:pStyle w:val="32"/>
              <w:spacing w:beforeLines="0" w:afterLines="0" w:line="240" w:lineRule="auto"/>
              <w:rPr>
                <w:rFonts w:ascii="Times New Roman"/>
                <w:snapToGrid w:val="0"/>
                <w:kern w:val="21"/>
                <w:szCs w:val="21"/>
                <w:lang w:val="en-US"/>
              </w:rPr>
            </w:pPr>
            <w:r>
              <w:rPr>
                <w:rFonts w:ascii="Times New Roman" w:eastAsia="等线"/>
                <w:szCs w:val="21"/>
              </w:rPr>
              <w:t>11.2</w:t>
            </w:r>
            <w:r>
              <w:rPr>
                <w:rFonts w:hint="eastAsia" w:ascii="Times New Roman" w:eastAsia="等线"/>
                <w:szCs w:val="21"/>
              </w:rPr>
              <w:t>441</w:t>
            </w:r>
          </w:p>
        </w:tc>
        <w:tc>
          <w:tcPr>
            <w:tcW w:w="1607" w:type="dxa"/>
            <w:vAlign w:val="center"/>
          </w:tcPr>
          <w:p w14:paraId="520AD0D3">
            <w:pPr>
              <w:pStyle w:val="32"/>
              <w:spacing w:beforeLines="0" w:afterLines="0" w:line="240" w:lineRule="auto"/>
              <w:rPr>
                <w:rFonts w:ascii="Times New Roman"/>
                <w:snapToGrid w:val="0"/>
                <w:kern w:val="21"/>
                <w:szCs w:val="21"/>
                <w:lang w:val="en-US"/>
              </w:rPr>
            </w:pPr>
            <w:r>
              <w:rPr>
                <w:rFonts w:ascii="Times New Roman" w:eastAsia="等线"/>
                <w:szCs w:val="21"/>
              </w:rPr>
              <w:t>+0.0</w:t>
            </w:r>
            <w:r>
              <w:rPr>
                <w:rFonts w:hint="eastAsia" w:ascii="Times New Roman" w:eastAsia="等线"/>
                <w:szCs w:val="21"/>
              </w:rPr>
              <w:t>161</w:t>
            </w:r>
          </w:p>
        </w:tc>
      </w:tr>
      <w:tr w14:paraId="520AD0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D5">
            <w:pPr>
              <w:pStyle w:val="32"/>
              <w:spacing w:beforeLines="0" w:afterLines="0" w:line="240" w:lineRule="auto"/>
              <w:rPr>
                <w:rFonts w:ascii="Times New Roman"/>
                <w:snapToGrid w:val="0"/>
                <w:kern w:val="21"/>
                <w:szCs w:val="21"/>
                <w:lang w:val="en-US"/>
              </w:rPr>
            </w:pPr>
          </w:p>
        </w:tc>
        <w:tc>
          <w:tcPr>
            <w:tcW w:w="1418" w:type="dxa"/>
            <w:vAlign w:val="center"/>
          </w:tcPr>
          <w:p w14:paraId="520AD0D6">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废石英砂</w:t>
            </w:r>
          </w:p>
        </w:tc>
        <w:tc>
          <w:tcPr>
            <w:tcW w:w="1606" w:type="dxa"/>
            <w:vAlign w:val="center"/>
          </w:tcPr>
          <w:p w14:paraId="520AD0D7">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1.2</w:t>
            </w:r>
          </w:p>
        </w:tc>
        <w:tc>
          <w:tcPr>
            <w:tcW w:w="1607" w:type="dxa"/>
            <w:vAlign w:val="center"/>
          </w:tcPr>
          <w:p w14:paraId="520AD0D8">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D9">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DA">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DB">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DC">
            <w:pPr>
              <w:pStyle w:val="32"/>
              <w:spacing w:beforeLines="0" w:afterLines="0" w:line="240" w:lineRule="auto"/>
              <w:rPr>
                <w:rFonts w:ascii="Times New Roman"/>
                <w:snapToGrid w:val="0"/>
                <w:kern w:val="21"/>
                <w:szCs w:val="21"/>
                <w:lang w:val="en-US"/>
              </w:rPr>
            </w:pPr>
            <w:r>
              <w:rPr>
                <w:rFonts w:ascii="Times New Roman" w:eastAsia="等线"/>
                <w:szCs w:val="21"/>
              </w:rPr>
              <w:t>1.2</w:t>
            </w:r>
          </w:p>
        </w:tc>
        <w:tc>
          <w:tcPr>
            <w:tcW w:w="1607" w:type="dxa"/>
            <w:vAlign w:val="center"/>
          </w:tcPr>
          <w:p w14:paraId="520AD0DD">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DF">
            <w:pPr>
              <w:pStyle w:val="32"/>
              <w:spacing w:beforeLines="0" w:afterLines="0" w:line="240" w:lineRule="auto"/>
              <w:rPr>
                <w:rFonts w:ascii="Times New Roman"/>
                <w:snapToGrid w:val="0"/>
                <w:kern w:val="21"/>
                <w:szCs w:val="21"/>
                <w:lang w:val="en-US"/>
              </w:rPr>
            </w:pPr>
          </w:p>
        </w:tc>
        <w:tc>
          <w:tcPr>
            <w:tcW w:w="1418" w:type="dxa"/>
            <w:vAlign w:val="center"/>
          </w:tcPr>
          <w:p w14:paraId="520AD0E0">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废含油棉纱</w:t>
            </w:r>
          </w:p>
        </w:tc>
        <w:tc>
          <w:tcPr>
            <w:tcW w:w="1606" w:type="dxa"/>
            <w:vAlign w:val="center"/>
          </w:tcPr>
          <w:p w14:paraId="520AD0E1">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5</w:t>
            </w:r>
          </w:p>
        </w:tc>
        <w:tc>
          <w:tcPr>
            <w:tcW w:w="1607" w:type="dxa"/>
            <w:vAlign w:val="center"/>
          </w:tcPr>
          <w:p w14:paraId="520AD0E2">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E3">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E4">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E5">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E6">
            <w:pPr>
              <w:pStyle w:val="32"/>
              <w:spacing w:beforeLines="0" w:afterLines="0" w:line="240" w:lineRule="auto"/>
              <w:rPr>
                <w:rFonts w:ascii="Times New Roman"/>
                <w:snapToGrid w:val="0"/>
                <w:kern w:val="21"/>
                <w:szCs w:val="21"/>
                <w:lang w:val="en-US"/>
              </w:rPr>
            </w:pPr>
            <w:r>
              <w:rPr>
                <w:rFonts w:ascii="Times New Roman" w:eastAsia="等线"/>
                <w:szCs w:val="21"/>
              </w:rPr>
              <w:t>5</w:t>
            </w:r>
          </w:p>
        </w:tc>
        <w:tc>
          <w:tcPr>
            <w:tcW w:w="1607" w:type="dxa"/>
            <w:vAlign w:val="center"/>
          </w:tcPr>
          <w:p w14:paraId="520AD0E7">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E9">
            <w:pPr>
              <w:pStyle w:val="32"/>
              <w:spacing w:beforeLines="0" w:afterLines="0" w:line="240" w:lineRule="auto"/>
              <w:rPr>
                <w:rFonts w:ascii="Times New Roman"/>
                <w:snapToGrid w:val="0"/>
                <w:kern w:val="21"/>
                <w:szCs w:val="21"/>
                <w:lang w:val="en-US"/>
              </w:rPr>
            </w:pPr>
          </w:p>
        </w:tc>
        <w:tc>
          <w:tcPr>
            <w:tcW w:w="1418" w:type="dxa"/>
            <w:vAlign w:val="center"/>
          </w:tcPr>
          <w:p w14:paraId="520AD0EA">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含铬污泥</w:t>
            </w:r>
          </w:p>
        </w:tc>
        <w:tc>
          <w:tcPr>
            <w:tcW w:w="1606" w:type="dxa"/>
            <w:vAlign w:val="center"/>
          </w:tcPr>
          <w:p w14:paraId="520AD0EB">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50</w:t>
            </w:r>
          </w:p>
        </w:tc>
        <w:tc>
          <w:tcPr>
            <w:tcW w:w="1607" w:type="dxa"/>
            <w:vAlign w:val="center"/>
          </w:tcPr>
          <w:p w14:paraId="520AD0EC">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ED">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EE">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EF">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F0">
            <w:pPr>
              <w:pStyle w:val="32"/>
              <w:spacing w:beforeLines="0" w:afterLines="0" w:line="240" w:lineRule="auto"/>
              <w:rPr>
                <w:rFonts w:ascii="Times New Roman"/>
                <w:snapToGrid w:val="0"/>
                <w:kern w:val="21"/>
                <w:szCs w:val="21"/>
                <w:lang w:val="en-US"/>
              </w:rPr>
            </w:pPr>
            <w:r>
              <w:rPr>
                <w:rFonts w:ascii="Times New Roman" w:eastAsia="等线"/>
                <w:szCs w:val="21"/>
              </w:rPr>
              <w:t>50</w:t>
            </w:r>
          </w:p>
        </w:tc>
        <w:tc>
          <w:tcPr>
            <w:tcW w:w="1607" w:type="dxa"/>
            <w:vAlign w:val="center"/>
          </w:tcPr>
          <w:p w14:paraId="520AD0F1">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0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F3">
            <w:pPr>
              <w:pStyle w:val="32"/>
              <w:spacing w:beforeLines="0" w:afterLines="0" w:line="240" w:lineRule="auto"/>
              <w:rPr>
                <w:rFonts w:ascii="Times New Roman"/>
                <w:snapToGrid w:val="0"/>
                <w:kern w:val="21"/>
                <w:szCs w:val="21"/>
                <w:lang w:val="en-US"/>
              </w:rPr>
            </w:pPr>
          </w:p>
        </w:tc>
        <w:tc>
          <w:tcPr>
            <w:tcW w:w="1418" w:type="dxa"/>
            <w:vAlign w:val="center"/>
          </w:tcPr>
          <w:p w14:paraId="520AD0F4">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废活性炭（含铬）</w:t>
            </w:r>
          </w:p>
        </w:tc>
        <w:tc>
          <w:tcPr>
            <w:tcW w:w="1606" w:type="dxa"/>
            <w:vAlign w:val="center"/>
          </w:tcPr>
          <w:p w14:paraId="520AD0F5">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2</w:t>
            </w:r>
          </w:p>
        </w:tc>
        <w:tc>
          <w:tcPr>
            <w:tcW w:w="1607" w:type="dxa"/>
            <w:vAlign w:val="center"/>
          </w:tcPr>
          <w:p w14:paraId="520AD0F6">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0F7">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0F8">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0F9">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0FA">
            <w:pPr>
              <w:pStyle w:val="32"/>
              <w:spacing w:beforeLines="0" w:afterLines="0" w:line="240" w:lineRule="auto"/>
              <w:rPr>
                <w:rFonts w:ascii="Times New Roman"/>
                <w:snapToGrid w:val="0"/>
                <w:kern w:val="21"/>
                <w:szCs w:val="21"/>
                <w:lang w:val="en-US"/>
              </w:rPr>
            </w:pPr>
            <w:r>
              <w:rPr>
                <w:rFonts w:ascii="Times New Roman" w:eastAsia="等线"/>
                <w:szCs w:val="21"/>
              </w:rPr>
              <w:t>2</w:t>
            </w:r>
          </w:p>
        </w:tc>
        <w:tc>
          <w:tcPr>
            <w:tcW w:w="1607" w:type="dxa"/>
            <w:vAlign w:val="center"/>
          </w:tcPr>
          <w:p w14:paraId="520AD0FB">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1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0FD">
            <w:pPr>
              <w:pStyle w:val="32"/>
              <w:spacing w:beforeLines="0" w:afterLines="0" w:line="240" w:lineRule="auto"/>
              <w:rPr>
                <w:rFonts w:ascii="Times New Roman"/>
                <w:snapToGrid w:val="0"/>
                <w:kern w:val="21"/>
                <w:szCs w:val="21"/>
                <w:lang w:val="en-US"/>
              </w:rPr>
            </w:pPr>
          </w:p>
        </w:tc>
        <w:tc>
          <w:tcPr>
            <w:tcW w:w="1418" w:type="dxa"/>
            <w:vAlign w:val="center"/>
          </w:tcPr>
          <w:p w14:paraId="520AD0FE">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废氰化物包装物</w:t>
            </w:r>
          </w:p>
        </w:tc>
        <w:tc>
          <w:tcPr>
            <w:tcW w:w="1606" w:type="dxa"/>
            <w:vAlign w:val="center"/>
          </w:tcPr>
          <w:p w14:paraId="520AD0FF">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0.5</w:t>
            </w:r>
          </w:p>
        </w:tc>
        <w:tc>
          <w:tcPr>
            <w:tcW w:w="1607" w:type="dxa"/>
            <w:vAlign w:val="center"/>
          </w:tcPr>
          <w:p w14:paraId="520AD100">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101">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102">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103">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104">
            <w:pPr>
              <w:pStyle w:val="32"/>
              <w:spacing w:beforeLines="0" w:afterLines="0" w:line="240" w:lineRule="auto"/>
              <w:rPr>
                <w:rFonts w:ascii="Times New Roman"/>
                <w:snapToGrid w:val="0"/>
                <w:kern w:val="21"/>
                <w:szCs w:val="21"/>
                <w:lang w:val="en-US"/>
              </w:rPr>
            </w:pPr>
            <w:r>
              <w:rPr>
                <w:rFonts w:ascii="Times New Roman" w:eastAsia="等线"/>
                <w:szCs w:val="21"/>
              </w:rPr>
              <w:t>0.5</w:t>
            </w:r>
          </w:p>
        </w:tc>
        <w:tc>
          <w:tcPr>
            <w:tcW w:w="1607" w:type="dxa"/>
            <w:vAlign w:val="center"/>
          </w:tcPr>
          <w:p w14:paraId="520AD105">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1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07">
            <w:pPr>
              <w:pStyle w:val="32"/>
              <w:spacing w:beforeLines="0" w:afterLines="0" w:line="240" w:lineRule="auto"/>
              <w:rPr>
                <w:rFonts w:ascii="Times New Roman"/>
                <w:snapToGrid w:val="0"/>
                <w:kern w:val="21"/>
                <w:szCs w:val="21"/>
                <w:lang w:val="en-US"/>
              </w:rPr>
            </w:pPr>
          </w:p>
        </w:tc>
        <w:tc>
          <w:tcPr>
            <w:tcW w:w="1418" w:type="dxa"/>
            <w:vAlign w:val="center"/>
          </w:tcPr>
          <w:p w14:paraId="520AD108">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碳氢废液</w:t>
            </w:r>
          </w:p>
        </w:tc>
        <w:tc>
          <w:tcPr>
            <w:tcW w:w="1606" w:type="dxa"/>
            <w:vAlign w:val="center"/>
          </w:tcPr>
          <w:p w14:paraId="520AD109">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5</w:t>
            </w:r>
          </w:p>
        </w:tc>
        <w:tc>
          <w:tcPr>
            <w:tcW w:w="1607" w:type="dxa"/>
            <w:vAlign w:val="center"/>
          </w:tcPr>
          <w:p w14:paraId="520AD10A">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10B">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10C">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10D">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10E">
            <w:pPr>
              <w:pStyle w:val="32"/>
              <w:spacing w:beforeLines="0" w:afterLines="0" w:line="240" w:lineRule="auto"/>
              <w:rPr>
                <w:rFonts w:ascii="Times New Roman"/>
                <w:snapToGrid w:val="0"/>
                <w:kern w:val="21"/>
                <w:szCs w:val="21"/>
                <w:lang w:val="en-US"/>
              </w:rPr>
            </w:pPr>
            <w:r>
              <w:rPr>
                <w:rFonts w:ascii="Times New Roman" w:eastAsia="等线"/>
                <w:szCs w:val="21"/>
              </w:rPr>
              <w:t>5</w:t>
            </w:r>
          </w:p>
        </w:tc>
        <w:tc>
          <w:tcPr>
            <w:tcW w:w="1607" w:type="dxa"/>
            <w:vAlign w:val="center"/>
          </w:tcPr>
          <w:p w14:paraId="520AD10F">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1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11">
            <w:pPr>
              <w:pStyle w:val="32"/>
              <w:spacing w:beforeLines="0" w:afterLines="0" w:line="240" w:lineRule="auto"/>
              <w:rPr>
                <w:rFonts w:ascii="Times New Roman"/>
                <w:snapToGrid w:val="0"/>
                <w:kern w:val="21"/>
                <w:szCs w:val="21"/>
                <w:lang w:val="en-US"/>
              </w:rPr>
            </w:pPr>
          </w:p>
        </w:tc>
        <w:tc>
          <w:tcPr>
            <w:tcW w:w="1418" w:type="dxa"/>
            <w:vAlign w:val="center"/>
          </w:tcPr>
          <w:p w14:paraId="520AD112">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废催化剂</w:t>
            </w:r>
          </w:p>
        </w:tc>
        <w:tc>
          <w:tcPr>
            <w:tcW w:w="1606" w:type="dxa"/>
            <w:vAlign w:val="center"/>
          </w:tcPr>
          <w:p w14:paraId="520AD113">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0.04</w:t>
            </w:r>
            <w:r>
              <w:rPr>
                <w:rFonts w:hint="eastAsia" w:ascii="Times New Roman"/>
                <w:snapToGrid w:val="0"/>
                <w:kern w:val="21"/>
                <w:szCs w:val="21"/>
                <w:lang w:val="en-US"/>
              </w:rPr>
              <w:t>t/</w:t>
            </w:r>
            <w:r>
              <w:rPr>
                <w:rFonts w:ascii="Times New Roman"/>
                <w:snapToGrid w:val="0"/>
                <w:kern w:val="21"/>
                <w:szCs w:val="21"/>
                <w:lang w:val="en-US"/>
              </w:rPr>
              <w:t>5</w:t>
            </w:r>
            <w:r>
              <w:rPr>
                <w:rFonts w:hint="eastAsia" w:ascii="Times New Roman"/>
                <w:snapToGrid w:val="0"/>
                <w:kern w:val="21"/>
                <w:szCs w:val="21"/>
                <w:lang w:val="en-US"/>
              </w:rPr>
              <w:t>a</w:t>
            </w:r>
          </w:p>
        </w:tc>
        <w:tc>
          <w:tcPr>
            <w:tcW w:w="1607" w:type="dxa"/>
            <w:vAlign w:val="center"/>
          </w:tcPr>
          <w:p w14:paraId="520AD114">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115">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0.06t/5a</w:t>
            </w:r>
          </w:p>
        </w:tc>
        <w:tc>
          <w:tcPr>
            <w:tcW w:w="1607" w:type="dxa"/>
            <w:vAlign w:val="center"/>
          </w:tcPr>
          <w:p w14:paraId="520AD116">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117">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118">
            <w:pPr>
              <w:pStyle w:val="32"/>
              <w:spacing w:beforeLines="0" w:afterLines="0" w:line="240" w:lineRule="auto"/>
              <w:rPr>
                <w:rFonts w:ascii="Times New Roman"/>
                <w:snapToGrid w:val="0"/>
                <w:kern w:val="21"/>
                <w:szCs w:val="21"/>
                <w:lang w:val="en-US"/>
              </w:rPr>
            </w:pPr>
            <w:r>
              <w:rPr>
                <w:rFonts w:ascii="Times New Roman" w:eastAsia="等线"/>
                <w:szCs w:val="21"/>
              </w:rPr>
              <w:t>0.1t/5a</w:t>
            </w:r>
          </w:p>
        </w:tc>
        <w:tc>
          <w:tcPr>
            <w:tcW w:w="1607" w:type="dxa"/>
            <w:vAlign w:val="center"/>
          </w:tcPr>
          <w:p w14:paraId="520AD119">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1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1B">
            <w:pPr>
              <w:pStyle w:val="32"/>
              <w:spacing w:beforeLines="0" w:afterLines="0" w:line="240" w:lineRule="auto"/>
              <w:rPr>
                <w:rFonts w:ascii="Times New Roman"/>
                <w:snapToGrid w:val="0"/>
                <w:kern w:val="21"/>
                <w:szCs w:val="21"/>
                <w:lang w:val="en-US"/>
              </w:rPr>
            </w:pPr>
          </w:p>
        </w:tc>
        <w:tc>
          <w:tcPr>
            <w:tcW w:w="1418" w:type="dxa"/>
            <w:vAlign w:val="center"/>
          </w:tcPr>
          <w:p w14:paraId="520AD11C">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改性醇釜残</w:t>
            </w:r>
          </w:p>
        </w:tc>
        <w:tc>
          <w:tcPr>
            <w:tcW w:w="1606" w:type="dxa"/>
            <w:vAlign w:val="center"/>
          </w:tcPr>
          <w:p w14:paraId="520AD11D">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11E">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11F">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2.4</w:t>
            </w:r>
          </w:p>
        </w:tc>
        <w:tc>
          <w:tcPr>
            <w:tcW w:w="1607" w:type="dxa"/>
            <w:vAlign w:val="center"/>
          </w:tcPr>
          <w:p w14:paraId="520AD120">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121">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122">
            <w:pPr>
              <w:pStyle w:val="32"/>
              <w:spacing w:beforeLines="0" w:afterLines="0" w:line="240" w:lineRule="auto"/>
              <w:rPr>
                <w:rFonts w:ascii="Times New Roman"/>
                <w:snapToGrid w:val="0"/>
                <w:kern w:val="21"/>
                <w:szCs w:val="21"/>
                <w:lang w:val="en-US"/>
              </w:rPr>
            </w:pPr>
            <w:r>
              <w:rPr>
                <w:rFonts w:ascii="Times New Roman" w:eastAsia="等线"/>
                <w:szCs w:val="21"/>
              </w:rPr>
              <w:t>2.4</w:t>
            </w:r>
          </w:p>
        </w:tc>
        <w:tc>
          <w:tcPr>
            <w:tcW w:w="1607" w:type="dxa"/>
            <w:vAlign w:val="center"/>
          </w:tcPr>
          <w:p w14:paraId="520AD123">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1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25">
            <w:pPr>
              <w:pStyle w:val="32"/>
              <w:spacing w:beforeLines="0" w:afterLines="0" w:line="240" w:lineRule="auto"/>
              <w:rPr>
                <w:rFonts w:ascii="Times New Roman"/>
                <w:snapToGrid w:val="0"/>
                <w:kern w:val="21"/>
                <w:szCs w:val="21"/>
                <w:lang w:val="en-US"/>
              </w:rPr>
            </w:pPr>
          </w:p>
        </w:tc>
        <w:tc>
          <w:tcPr>
            <w:tcW w:w="1418" w:type="dxa"/>
            <w:vAlign w:val="center"/>
          </w:tcPr>
          <w:p w14:paraId="520AD126">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碳氢清洗釜残</w:t>
            </w:r>
          </w:p>
        </w:tc>
        <w:tc>
          <w:tcPr>
            <w:tcW w:w="1606" w:type="dxa"/>
            <w:vAlign w:val="center"/>
          </w:tcPr>
          <w:p w14:paraId="520AD127">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128">
            <w:pPr>
              <w:pStyle w:val="32"/>
              <w:spacing w:beforeLines="0" w:afterLines="0" w:line="240" w:lineRule="auto"/>
              <w:rPr>
                <w:rFonts w:ascii="Times New Roman"/>
                <w:snapToGrid w:val="0"/>
                <w:kern w:val="21"/>
                <w:szCs w:val="21"/>
                <w:lang w:val="en-US"/>
              </w:rPr>
            </w:pPr>
            <w:r>
              <w:rPr>
                <w:rFonts w:ascii="Times New Roman"/>
                <w:szCs w:val="21"/>
              </w:rPr>
              <w:t>/</w:t>
            </w:r>
          </w:p>
        </w:tc>
        <w:tc>
          <w:tcPr>
            <w:tcW w:w="1606" w:type="dxa"/>
            <w:vAlign w:val="center"/>
          </w:tcPr>
          <w:p w14:paraId="520AD129">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10.5</w:t>
            </w:r>
          </w:p>
        </w:tc>
        <w:tc>
          <w:tcPr>
            <w:tcW w:w="1607" w:type="dxa"/>
            <w:vAlign w:val="center"/>
          </w:tcPr>
          <w:p w14:paraId="520AD12A">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6" w:type="dxa"/>
            <w:vAlign w:val="center"/>
          </w:tcPr>
          <w:p w14:paraId="520AD12B">
            <w:pPr>
              <w:pStyle w:val="32"/>
              <w:spacing w:beforeLines="0" w:afterLines="0" w:line="240" w:lineRule="auto"/>
              <w:rPr>
                <w:rFonts w:ascii="Times New Roman"/>
                <w:snapToGrid w:val="0"/>
                <w:kern w:val="21"/>
                <w:szCs w:val="21"/>
                <w:lang w:val="en-US"/>
              </w:rPr>
            </w:pPr>
            <w:r>
              <w:rPr>
                <w:rFonts w:ascii="Times New Roman"/>
                <w:bCs/>
                <w:szCs w:val="21"/>
              </w:rPr>
              <w:t>0</w:t>
            </w:r>
          </w:p>
        </w:tc>
        <w:tc>
          <w:tcPr>
            <w:tcW w:w="1607" w:type="dxa"/>
            <w:vAlign w:val="center"/>
          </w:tcPr>
          <w:p w14:paraId="520AD12C">
            <w:pPr>
              <w:pStyle w:val="32"/>
              <w:spacing w:beforeLines="0" w:afterLines="0" w:line="240" w:lineRule="auto"/>
              <w:rPr>
                <w:rFonts w:ascii="Times New Roman"/>
                <w:snapToGrid w:val="0"/>
                <w:kern w:val="21"/>
                <w:szCs w:val="21"/>
                <w:lang w:val="en-US"/>
              </w:rPr>
            </w:pPr>
            <w:r>
              <w:rPr>
                <w:rFonts w:ascii="Times New Roman" w:eastAsia="等线"/>
                <w:szCs w:val="21"/>
              </w:rPr>
              <w:t>10.5</w:t>
            </w:r>
          </w:p>
        </w:tc>
        <w:tc>
          <w:tcPr>
            <w:tcW w:w="1607" w:type="dxa"/>
            <w:vAlign w:val="center"/>
          </w:tcPr>
          <w:p w14:paraId="520AD12D">
            <w:pPr>
              <w:pStyle w:val="32"/>
              <w:spacing w:beforeLines="0" w:afterLines="0" w:line="240" w:lineRule="auto"/>
              <w:rPr>
                <w:rFonts w:ascii="Times New Roman"/>
                <w:snapToGrid w:val="0"/>
                <w:kern w:val="21"/>
                <w:szCs w:val="21"/>
                <w:lang w:val="en-US"/>
              </w:rPr>
            </w:pPr>
            <w:r>
              <w:rPr>
                <w:rFonts w:ascii="Times New Roman" w:eastAsia="等线"/>
                <w:szCs w:val="21"/>
              </w:rPr>
              <w:t>0</w:t>
            </w:r>
          </w:p>
        </w:tc>
      </w:tr>
      <w:tr w14:paraId="520AD1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3788" w:type="dxa"/>
            <w:gridSpan w:val="9"/>
            <w:vAlign w:val="center"/>
          </w:tcPr>
          <w:p w14:paraId="520AD12F">
            <w:pPr>
              <w:pStyle w:val="32"/>
              <w:spacing w:beforeLines="0" w:afterLines="0" w:line="240" w:lineRule="auto"/>
              <w:rPr>
                <w:rFonts w:hint="eastAsia" w:hAnsi="宋体"/>
                <w:b/>
                <w:bCs/>
                <w:szCs w:val="21"/>
                <w:highlight w:val="yellow"/>
              </w:rPr>
            </w:pPr>
            <w:r>
              <w:rPr>
                <w:rFonts w:hint="eastAsia" w:hAnsi="宋体"/>
                <w:b/>
                <w:bCs/>
                <w:szCs w:val="21"/>
              </w:rPr>
              <w:t>解放路厂区</w:t>
            </w:r>
          </w:p>
        </w:tc>
      </w:tr>
      <w:tr w14:paraId="520AD1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restart"/>
            <w:vAlign w:val="center"/>
          </w:tcPr>
          <w:p w14:paraId="520AD131">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废气</w:t>
            </w:r>
          </w:p>
        </w:tc>
        <w:tc>
          <w:tcPr>
            <w:tcW w:w="1418" w:type="dxa"/>
            <w:vAlign w:val="center"/>
          </w:tcPr>
          <w:p w14:paraId="520AD132">
            <w:pPr>
              <w:pStyle w:val="32"/>
              <w:spacing w:beforeLines="0" w:afterLines="0" w:line="240" w:lineRule="auto"/>
              <w:rPr>
                <w:rFonts w:ascii="Times New Roman"/>
                <w:snapToGrid w:val="0"/>
                <w:kern w:val="21"/>
                <w:szCs w:val="21"/>
                <w:lang w:val="en-US"/>
              </w:rPr>
            </w:pPr>
            <w:r>
              <w:rPr>
                <w:rFonts w:ascii="Times New Roman"/>
                <w:szCs w:val="21"/>
              </w:rPr>
              <w:t>铬酸雾</w:t>
            </w:r>
          </w:p>
        </w:tc>
        <w:tc>
          <w:tcPr>
            <w:tcW w:w="1606" w:type="dxa"/>
            <w:vAlign w:val="center"/>
          </w:tcPr>
          <w:p w14:paraId="520AD133">
            <w:pPr>
              <w:pStyle w:val="32"/>
              <w:spacing w:beforeLines="0" w:afterLines="0" w:line="240" w:lineRule="auto"/>
              <w:rPr>
                <w:rFonts w:ascii="Times New Roman"/>
                <w:snapToGrid w:val="0"/>
                <w:kern w:val="21"/>
                <w:szCs w:val="21"/>
                <w:lang w:val="en-US"/>
              </w:rPr>
            </w:pPr>
            <w:r>
              <w:rPr>
                <w:rFonts w:ascii="Times New Roman" w:eastAsia="等线"/>
                <w:szCs w:val="21"/>
              </w:rPr>
              <w:t>0.0079</w:t>
            </w:r>
          </w:p>
        </w:tc>
        <w:tc>
          <w:tcPr>
            <w:tcW w:w="1607" w:type="dxa"/>
            <w:vAlign w:val="center"/>
          </w:tcPr>
          <w:p w14:paraId="520AD134">
            <w:pPr>
              <w:pStyle w:val="32"/>
              <w:spacing w:beforeLines="0" w:afterLines="0" w:line="240" w:lineRule="auto"/>
              <w:rPr>
                <w:rFonts w:ascii="Times New Roman"/>
                <w:szCs w:val="21"/>
              </w:rPr>
            </w:pPr>
            <w:r>
              <w:rPr>
                <w:rFonts w:ascii="Times New Roman" w:eastAsia="等线"/>
                <w:szCs w:val="21"/>
              </w:rPr>
              <w:t>0.0079</w:t>
            </w:r>
          </w:p>
        </w:tc>
        <w:tc>
          <w:tcPr>
            <w:tcW w:w="1606" w:type="dxa"/>
            <w:vAlign w:val="center"/>
          </w:tcPr>
          <w:p w14:paraId="520AD135">
            <w:pPr>
              <w:pStyle w:val="32"/>
              <w:spacing w:beforeLines="0" w:afterLines="0" w:line="240" w:lineRule="auto"/>
              <w:rPr>
                <w:rFonts w:ascii="Times New Roman"/>
                <w:snapToGrid w:val="0"/>
                <w:kern w:val="21"/>
                <w:szCs w:val="21"/>
                <w:lang w:val="en-US"/>
              </w:rPr>
            </w:pPr>
            <w:r>
              <w:rPr>
                <w:rFonts w:ascii="Times New Roman"/>
              </w:rPr>
              <w:t>/</w:t>
            </w:r>
          </w:p>
        </w:tc>
        <w:tc>
          <w:tcPr>
            <w:tcW w:w="1607" w:type="dxa"/>
            <w:vAlign w:val="center"/>
          </w:tcPr>
          <w:p w14:paraId="520AD136">
            <w:pPr>
              <w:pStyle w:val="32"/>
              <w:spacing w:beforeLines="0" w:afterLines="0" w:line="240" w:lineRule="auto"/>
              <w:rPr>
                <w:rFonts w:ascii="Times New Roman"/>
                <w:bCs/>
                <w:szCs w:val="21"/>
                <w:highlight w:val="yellow"/>
              </w:rPr>
            </w:pPr>
            <w:r>
              <w:rPr>
                <w:rFonts w:ascii="Times New Roman"/>
                <w:szCs w:val="21"/>
              </w:rPr>
              <w:t>0</w:t>
            </w:r>
          </w:p>
        </w:tc>
        <w:tc>
          <w:tcPr>
            <w:tcW w:w="1606" w:type="dxa"/>
            <w:vAlign w:val="center"/>
          </w:tcPr>
          <w:p w14:paraId="520AD137">
            <w:pPr>
              <w:pStyle w:val="32"/>
              <w:spacing w:beforeLines="0" w:afterLines="0" w:line="240" w:lineRule="auto"/>
              <w:rPr>
                <w:rFonts w:ascii="Times New Roman"/>
                <w:bCs/>
                <w:szCs w:val="21"/>
              </w:rPr>
            </w:pPr>
            <w:r>
              <w:rPr>
                <w:rFonts w:ascii="Times New Roman"/>
                <w:szCs w:val="21"/>
              </w:rPr>
              <w:t>0</w:t>
            </w:r>
          </w:p>
        </w:tc>
        <w:tc>
          <w:tcPr>
            <w:tcW w:w="1607" w:type="dxa"/>
            <w:vAlign w:val="center"/>
          </w:tcPr>
          <w:p w14:paraId="520AD138">
            <w:pPr>
              <w:pStyle w:val="32"/>
              <w:spacing w:beforeLines="0" w:afterLines="0" w:line="240" w:lineRule="auto"/>
              <w:rPr>
                <w:rFonts w:ascii="Times New Roman" w:eastAsia="等线"/>
                <w:szCs w:val="21"/>
                <w:highlight w:val="yellow"/>
              </w:rPr>
            </w:pPr>
            <w:r>
              <w:rPr>
                <w:rFonts w:ascii="Times New Roman" w:eastAsia="等线"/>
                <w:szCs w:val="21"/>
              </w:rPr>
              <w:t>0.0079</w:t>
            </w:r>
          </w:p>
        </w:tc>
        <w:tc>
          <w:tcPr>
            <w:tcW w:w="1607" w:type="dxa"/>
            <w:vAlign w:val="center"/>
          </w:tcPr>
          <w:p w14:paraId="520AD139">
            <w:pPr>
              <w:pStyle w:val="32"/>
              <w:spacing w:beforeLines="0" w:afterLines="0" w:line="240" w:lineRule="auto"/>
              <w:rPr>
                <w:rFonts w:ascii="Times New Roman" w:eastAsia="等线"/>
                <w:szCs w:val="21"/>
                <w:highlight w:val="yellow"/>
              </w:rPr>
            </w:pPr>
            <w:r>
              <w:rPr>
                <w:rFonts w:ascii="Times New Roman"/>
                <w:szCs w:val="21"/>
              </w:rPr>
              <w:t>0</w:t>
            </w:r>
          </w:p>
        </w:tc>
      </w:tr>
      <w:tr w14:paraId="520AD1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3B">
            <w:pPr>
              <w:pStyle w:val="32"/>
              <w:spacing w:beforeLines="0" w:afterLines="0" w:line="240" w:lineRule="auto"/>
              <w:rPr>
                <w:rFonts w:ascii="Times New Roman"/>
                <w:snapToGrid w:val="0"/>
                <w:kern w:val="21"/>
                <w:szCs w:val="21"/>
                <w:lang w:val="en-US"/>
              </w:rPr>
            </w:pPr>
          </w:p>
        </w:tc>
        <w:tc>
          <w:tcPr>
            <w:tcW w:w="1418" w:type="dxa"/>
            <w:vAlign w:val="center"/>
          </w:tcPr>
          <w:p w14:paraId="520AD13C">
            <w:pPr>
              <w:pStyle w:val="32"/>
              <w:spacing w:beforeLines="0" w:afterLines="0" w:line="240" w:lineRule="auto"/>
              <w:rPr>
                <w:rFonts w:ascii="Times New Roman"/>
                <w:snapToGrid w:val="0"/>
                <w:kern w:val="21"/>
                <w:szCs w:val="21"/>
                <w:lang w:val="en-US"/>
              </w:rPr>
            </w:pPr>
            <w:r>
              <w:rPr>
                <w:rFonts w:ascii="Times New Roman"/>
                <w:szCs w:val="21"/>
              </w:rPr>
              <w:t>硫酸雾</w:t>
            </w:r>
          </w:p>
        </w:tc>
        <w:tc>
          <w:tcPr>
            <w:tcW w:w="1606" w:type="dxa"/>
            <w:vAlign w:val="center"/>
          </w:tcPr>
          <w:p w14:paraId="520AD13D">
            <w:pPr>
              <w:pStyle w:val="32"/>
              <w:spacing w:beforeLines="0" w:afterLines="0" w:line="240" w:lineRule="auto"/>
              <w:rPr>
                <w:rFonts w:ascii="Times New Roman"/>
                <w:snapToGrid w:val="0"/>
                <w:kern w:val="21"/>
                <w:szCs w:val="21"/>
                <w:lang w:val="en-US"/>
              </w:rPr>
            </w:pPr>
            <w:r>
              <w:rPr>
                <w:rFonts w:ascii="Times New Roman" w:eastAsia="等线"/>
                <w:szCs w:val="21"/>
              </w:rPr>
              <w:t>2.243</w:t>
            </w:r>
          </w:p>
        </w:tc>
        <w:tc>
          <w:tcPr>
            <w:tcW w:w="1607" w:type="dxa"/>
            <w:vAlign w:val="center"/>
          </w:tcPr>
          <w:p w14:paraId="520AD13E">
            <w:pPr>
              <w:pStyle w:val="32"/>
              <w:spacing w:beforeLines="0" w:afterLines="0" w:line="240" w:lineRule="auto"/>
              <w:rPr>
                <w:rFonts w:ascii="Times New Roman"/>
                <w:szCs w:val="21"/>
              </w:rPr>
            </w:pPr>
            <w:r>
              <w:rPr>
                <w:rFonts w:ascii="Times New Roman" w:eastAsia="等线"/>
                <w:szCs w:val="21"/>
              </w:rPr>
              <w:t>2.243</w:t>
            </w:r>
          </w:p>
        </w:tc>
        <w:tc>
          <w:tcPr>
            <w:tcW w:w="1606" w:type="dxa"/>
            <w:vAlign w:val="center"/>
          </w:tcPr>
          <w:p w14:paraId="520AD13F">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D140">
            <w:pPr>
              <w:pStyle w:val="32"/>
              <w:spacing w:beforeLines="0" w:afterLines="0" w:line="240" w:lineRule="auto"/>
              <w:rPr>
                <w:rFonts w:ascii="Times New Roman"/>
                <w:bCs/>
                <w:szCs w:val="21"/>
                <w:highlight w:val="yellow"/>
              </w:rPr>
            </w:pPr>
            <w:r>
              <w:rPr>
                <w:rFonts w:ascii="Times New Roman"/>
                <w:szCs w:val="21"/>
              </w:rPr>
              <w:t>0</w:t>
            </w:r>
          </w:p>
        </w:tc>
        <w:tc>
          <w:tcPr>
            <w:tcW w:w="1606" w:type="dxa"/>
            <w:vAlign w:val="center"/>
          </w:tcPr>
          <w:p w14:paraId="520AD141">
            <w:pPr>
              <w:pStyle w:val="32"/>
              <w:spacing w:beforeLines="0" w:afterLines="0" w:line="240" w:lineRule="auto"/>
              <w:rPr>
                <w:rFonts w:ascii="Times New Roman"/>
                <w:bCs/>
                <w:szCs w:val="21"/>
              </w:rPr>
            </w:pPr>
            <w:r>
              <w:rPr>
                <w:rFonts w:ascii="Times New Roman"/>
                <w:szCs w:val="21"/>
              </w:rPr>
              <w:t>0</w:t>
            </w:r>
          </w:p>
        </w:tc>
        <w:tc>
          <w:tcPr>
            <w:tcW w:w="1607" w:type="dxa"/>
            <w:vAlign w:val="center"/>
          </w:tcPr>
          <w:p w14:paraId="520AD142">
            <w:pPr>
              <w:pStyle w:val="32"/>
              <w:spacing w:beforeLines="0" w:afterLines="0" w:line="240" w:lineRule="auto"/>
              <w:rPr>
                <w:rFonts w:ascii="Times New Roman" w:eastAsia="等线"/>
                <w:szCs w:val="21"/>
                <w:highlight w:val="yellow"/>
              </w:rPr>
            </w:pPr>
            <w:r>
              <w:rPr>
                <w:rFonts w:ascii="Times New Roman" w:eastAsia="等线"/>
                <w:szCs w:val="21"/>
              </w:rPr>
              <w:t>2.243</w:t>
            </w:r>
          </w:p>
        </w:tc>
        <w:tc>
          <w:tcPr>
            <w:tcW w:w="1607" w:type="dxa"/>
            <w:vAlign w:val="center"/>
          </w:tcPr>
          <w:p w14:paraId="520AD143">
            <w:pPr>
              <w:pStyle w:val="32"/>
              <w:spacing w:beforeLines="0" w:afterLines="0" w:line="240" w:lineRule="auto"/>
              <w:rPr>
                <w:rFonts w:ascii="Times New Roman" w:eastAsia="等线"/>
                <w:szCs w:val="21"/>
                <w:highlight w:val="yellow"/>
              </w:rPr>
            </w:pPr>
            <w:r>
              <w:rPr>
                <w:rFonts w:ascii="Times New Roman"/>
                <w:szCs w:val="21"/>
              </w:rPr>
              <w:t>0</w:t>
            </w:r>
          </w:p>
        </w:tc>
      </w:tr>
      <w:tr w14:paraId="520AD1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45">
            <w:pPr>
              <w:pStyle w:val="32"/>
              <w:spacing w:beforeLines="0" w:afterLines="0" w:line="240" w:lineRule="auto"/>
              <w:rPr>
                <w:rFonts w:ascii="Times New Roman"/>
                <w:snapToGrid w:val="0"/>
                <w:kern w:val="21"/>
                <w:szCs w:val="21"/>
                <w:lang w:val="en-US"/>
              </w:rPr>
            </w:pPr>
          </w:p>
        </w:tc>
        <w:tc>
          <w:tcPr>
            <w:tcW w:w="1418" w:type="dxa"/>
            <w:vAlign w:val="center"/>
          </w:tcPr>
          <w:p w14:paraId="520AD146">
            <w:pPr>
              <w:pStyle w:val="32"/>
              <w:spacing w:beforeLines="0" w:afterLines="0" w:line="240" w:lineRule="auto"/>
              <w:rPr>
                <w:rFonts w:ascii="Times New Roman"/>
                <w:snapToGrid w:val="0"/>
                <w:kern w:val="21"/>
                <w:szCs w:val="21"/>
                <w:lang w:val="en-US"/>
              </w:rPr>
            </w:pPr>
            <w:r>
              <w:rPr>
                <w:rFonts w:ascii="Times New Roman"/>
                <w:szCs w:val="21"/>
              </w:rPr>
              <w:t>氯化氢</w:t>
            </w:r>
          </w:p>
        </w:tc>
        <w:tc>
          <w:tcPr>
            <w:tcW w:w="1606" w:type="dxa"/>
            <w:vAlign w:val="center"/>
          </w:tcPr>
          <w:p w14:paraId="520AD147">
            <w:pPr>
              <w:pStyle w:val="32"/>
              <w:spacing w:beforeLines="0" w:afterLines="0" w:line="240" w:lineRule="auto"/>
              <w:rPr>
                <w:rFonts w:ascii="Times New Roman"/>
                <w:snapToGrid w:val="0"/>
                <w:kern w:val="21"/>
                <w:szCs w:val="21"/>
                <w:lang w:val="en-US"/>
              </w:rPr>
            </w:pPr>
            <w:r>
              <w:rPr>
                <w:rFonts w:ascii="Times New Roman" w:eastAsia="等线"/>
                <w:szCs w:val="21"/>
              </w:rPr>
              <w:t>0.6769</w:t>
            </w:r>
          </w:p>
        </w:tc>
        <w:tc>
          <w:tcPr>
            <w:tcW w:w="1607" w:type="dxa"/>
            <w:vAlign w:val="center"/>
          </w:tcPr>
          <w:p w14:paraId="520AD148">
            <w:pPr>
              <w:pStyle w:val="32"/>
              <w:spacing w:beforeLines="0" w:afterLines="0" w:line="240" w:lineRule="auto"/>
              <w:rPr>
                <w:rFonts w:ascii="Times New Roman"/>
                <w:szCs w:val="21"/>
              </w:rPr>
            </w:pPr>
            <w:r>
              <w:rPr>
                <w:rFonts w:ascii="Times New Roman" w:eastAsia="等线"/>
                <w:szCs w:val="21"/>
              </w:rPr>
              <w:t>0.6769</w:t>
            </w:r>
          </w:p>
        </w:tc>
        <w:tc>
          <w:tcPr>
            <w:tcW w:w="1606" w:type="dxa"/>
            <w:vAlign w:val="center"/>
          </w:tcPr>
          <w:p w14:paraId="520AD149">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D14A">
            <w:pPr>
              <w:pStyle w:val="32"/>
              <w:spacing w:beforeLines="0" w:afterLines="0" w:line="240" w:lineRule="auto"/>
              <w:rPr>
                <w:rFonts w:ascii="Times New Roman"/>
                <w:bCs/>
                <w:szCs w:val="21"/>
                <w:highlight w:val="yellow"/>
              </w:rPr>
            </w:pPr>
            <w:r>
              <w:rPr>
                <w:rFonts w:ascii="Times New Roman"/>
                <w:szCs w:val="21"/>
              </w:rPr>
              <w:t>0</w:t>
            </w:r>
          </w:p>
        </w:tc>
        <w:tc>
          <w:tcPr>
            <w:tcW w:w="1606" w:type="dxa"/>
            <w:vAlign w:val="center"/>
          </w:tcPr>
          <w:p w14:paraId="520AD14B">
            <w:pPr>
              <w:pStyle w:val="32"/>
              <w:spacing w:beforeLines="0" w:afterLines="0" w:line="240" w:lineRule="auto"/>
              <w:rPr>
                <w:rFonts w:ascii="Times New Roman"/>
                <w:bCs/>
                <w:szCs w:val="21"/>
              </w:rPr>
            </w:pPr>
            <w:r>
              <w:rPr>
                <w:rFonts w:ascii="Times New Roman"/>
                <w:szCs w:val="21"/>
              </w:rPr>
              <w:t>0</w:t>
            </w:r>
          </w:p>
        </w:tc>
        <w:tc>
          <w:tcPr>
            <w:tcW w:w="1607" w:type="dxa"/>
            <w:vAlign w:val="center"/>
          </w:tcPr>
          <w:p w14:paraId="520AD14C">
            <w:pPr>
              <w:pStyle w:val="32"/>
              <w:spacing w:beforeLines="0" w:afterLines="0" w:line="240" w:lineRule="auto"/>
              <w:rPr>
                <w:rFonts w:ascii="Times New Roman" w:eastAsia="等线"/>
                <w:szCs w:val="21"/>
                <w:highlight w:val="yellow"/>
              </w:rPr>
            </w:pPr>
            <w:r>
              <w:rPr>
                <w:rFonts w:ascii="Times New Roman" w:eastAsia="等线"/>
                <w:szCs w:val="21"/>
              </w:rPr>
              <w:t>0.6769</w:t>
            </w:r>
          </w:p>
        </w:tc>
        <w:tc>
          <w:tcPr>
            <w:tcW w:w="1607" w:type="dxa"/>
            <w:vAlign w:val="center"/>
          </w:tcPr>
          <w:p w14:paraId="520AD14D">
            <w:pPr>
              <w:pStyle w:val="32"/>
              <w:spacing w:beforeLines="0" w:afterLines="0" w:line="240" w:lineRule="auto"/>
              <w:rPr>
                <w:rFonts w:ascii="Times New Roman" w:eastAsia="等线"/>
                <w:szCs w:val="21"/>
                <w:highlight w:val="yellow"/>
              </w:rPr>
            </w:pPr>
            <w:r>
              <w:rPr>
                <w:rFonts w:ascii="Times New Roman"/>
                <w:szCs w:val="21"/>
              </w:rPr>
              <w:t>0</w:t>
            </w:r>
          </w:p>
        </w:tc>
      </w:tr>
      <w:tr w14:paraId="520AD1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4F">
            <w:pPr>
              <w:pStyle w:val="32"/>
              <w:spacing w:beforeLines="0" w:afterLines="0" w:line="240" w:lineRule="auto"/>
              <w:rPr>
                <w:rFonts w:ascii="Times New Roman"/>
                <w:snapToGrid w:val="0"/>
                <w:kern w:val="21"/>
                <w:szCs w:val="21"/>
                <w:lang w:val="en-US"/>
              </w:rPr>
            </w:pPr>
          </w:p>
        </w:tc>
        <w:tc>
          <w:tcPr>
            <w:tcW w:w="1418" w:type="dxa"/>
            <w:vAlign w:val="center"/>
          </w:tcPr>
          <w:p w14:paraId="520AD150">
            <w:pPr>
              <w:pStyle w:val="32"/>
              <w:spacing w:beforeLines="0" w:afterLines="0" w:line="240" w:lineRule="auto"/>
              <w:rPr>
                <w:rFonts w:ascii="Times New Roman"/>
                <w:snapToGrid w:val="0"/>
                <w:kern w:val="21"/>
                <w:szCs w:val="21"/>
                <w:lang w:val="en-US"/>
              </w:rPr>
            </w:pPr>
            <w:r>
              <w:rPr>
                <w:rFonts w:ascii="Times New Roman"/>
                <w:szCs w:val="21"/>
              </w:rPr>
              <w:t>氰化氢</w:t>
            </w:r>
          </w:p>
        </w:tc>
        <w:tc>
          <w:tcPr>
            <w:tcW w:w="1606" w:type="dxa"/>
            <w:vAlign w:val="center"/>
          </w:tcPr>
          <w:p w14:paraId="520AD151">
            <w:pPr>
              <w:pStyle w:val="32"/>
              <w:spacing w:beforeLines="0" w:afterLines="0" w:line="240" w:lineRule="auto"/>
              <w:rPr>
                <w:rFonts w:ascii="Times New Roman"/>
                <w:snapToGrid w:val="0"/>
                <w:kern w:val="21"/>
                <w:szCs w:val="21"/>
                <w:lang w:val="en-US"/>
              </w:rPr>
            </w:pPr>
            <w:r>
              <w:rPr>
                <w:rFonts w:ascii="Times New Roman" w:eastAsia="等线"/>
                <w:szCs w:val="21"/>
              </w:rPr>
              <w:t>0.0041</w:t>
            </w:r>
          </w:p>
        </w:tc>
        <w:tc>
          <w:tcPr>
            <w:tcW w:w="1607" w:type="dxa"/>
            <w:vAlign w:val="center"/>
          </w:tcPr>
          <w:p w14:paraId="520AD152">
            <w:pPr>
              <w:pStyle w:val="32"/>
              <w:spacing w:beforeLines="0" w:afterLines="0" w:line="240" w:lineRule="auto"/>
              <w:rPr>
                <w:rFonts w:ascii="Times New Roman"/>
                <w:szCs w:val="21"/>
              </w:rPr>
            </w:pPr>
            <w:r>
              <w:rPr>
                <w:rFonts w:ascii="Times New Roman" w:eastAsia="等线"/>
                <w:szCs w:val="21"/>
              </w:rPr>
              <w:t>0.0041</w:t>
            </w:r>
          </w:p>
        </w:tc>
        <w:tc>
          <w:tcPr>
            <w:tcW w:w="1606" w:type="dxa"/>
            <w:vAlign w:val="center"/>
          </w:tcPr>
          <w:p w14:paraId="520AD153">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D154">
            <w:pPr>
              <w:pStyle w:val="32"/>
              <w:spacing w:beforeLines="0" w:afterLines="0" w:line="240" w:lineRule="auto"/>
              <w:rPr>
                <w:rFonts w:ascii="Times New Roman"/>
                <w:bCs/>
                <w:szCs w:val="21"/>
                <w:highlight w:val="yellow"/>
              </w:rPr>
            </w:pPr>
            <w:r>
              <w:rPr>
                <w:rFonts w:ascii="Times New Roman"/>
                <w:szCs w:val="21"/>
              </w:rPr>
              <w:t>0</w:t>
            </w:r>
          </w:p>
        </w:tc>
        <w:tc>
          <w:tcPr>
            <w:tcW w:w="1606" w:type="dxa"/>
            <w:vAlign w:val="center"/>
          </w:tcPr>
          <w:p w14:paraId="520AD155">
            <w:pPr>
              <w:pStyle w:val="32"/>
              <w:spacing w:beforeLines="0" w:afterLines="0" w:line="240" w:lineRule="auto"/>
              <w:rPr>
                <w:rFonts w:ascii="Times New Roman"/>
                <w:bCs/>
                <w:szCs w:val="21"/>
              </w:rPr>
            </w:pPr>
            <w:r>
              <w:rPr>
                <w:rFonts w:ascii="Times New Roman"/>
                <w:szCs w:val="21"/>
              </w:rPr>
              <w:t>0</w:t>
            </w:r>
          </w:p>
        </w:tc>
        <w:tc>
          <w:tcPr>
            <w:tcW w:w="1607" w:type="dxa"/>
            <w:vAlign w:val="center"/>
          </w:tcPr>
          <w:p w14:paraId="520AD156">
            <w:pPr>
              <w:pStyle w:val="32"/>
              <w:spacing w:beforeLines="0" w:afterLines="0" w:line="240" w:lineRule="auto"/>
              <w:rPr>
                <w:rFonts w:ascii="Times New Roman" w:eastAsia="等线"/>
                <w:szCs w:val="21"/>
                <w:highlight w:val="yellow"/>
              </w:rPr>
            </w:pPr>
            <w:r>
              <w:rPr>
                <w:rFonts w:ascii="Times New Roman" w:eastAsia="等线"/>
                <w:szCs w:val="21"/>
              </w:rPr>
              <w:t>0.0041</w:t>
            </w:r>
          </w:p>
        </w:tc>
        <w:tc>
          <w:tcPr>
            <w:tcW w:w="1607" w:type="dxa"/>
            <w:vAlign w:val="center"/>
          </w:tcPr>
          <w:p w14:paraId="520AD157">
            <w:pPr>
              <w:pStyle w:val="32"/>
              <w:spacing w:beforeLines="0" w:afterLines="0" w:line="240" w:lineRule="auto"/>
              <w:rPr>
                <w:rFonts w:ascii="Times New Roman" w:eastAsia="等线"/>
                <w:szCs w:val="21"/>
                <w:highlight w:val="yellow"/>
              </w:rPr>
            </w:pPr>
            <w:r>
              <w:rPr>
                <w:rFonts w:ascii="Times New Roman"/>
                <w:szCs w:val="21"/>
              </w:rPr>
              <w:t>0</w:t>
            </w:r>
          </w:p>
        </w:tc>
      </w:tr>
      <w:tr w14:paraId="520AD1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59">
            <w:pPr>
              <w:pStyle w:val="32"/>
              <w:spacing w:beforeLines="0" w:afterLines="0" w:line="240" w:lineRule="auto"/>
              <w:rPr>
                <w:rFonts w:ascii="Times New Roman"/>
                <w:snapToGrid w:val="0"/>
                <w:kern w:val="21"/>
                <w:szCs w:val="21"/>
                <w:lang w:val="en-US"/>
              </w:rPr>
            </w:pPr>
          </w:p>
        </w:tc>
        <w:tc>
          <w:tcPr>
            <w:tcW w:w="1418" w:type="dxa"/>
            <w:vAlign w:val="center"/>
          </w:tcPr>
          <w:p w14:paraId="520AD15A">
            <w:pPr>
              <w:pStyle w:val="32"/>
              <w:spacing w:beforeLines="0" w:afterLines="0" w:line="240" w:lineRule="auto"/>
              <w:rPr>
                <w:rFonts w:ascii="Times New Roman"/>
                <w:snapToGrid w:val="0"/>
                <w:kern w:val="21"/>
                <w:szCs w:val="21"/>
                <w:lang w:val="en-US"/>
              </w:rPr>
            </w:pPr>
            <w:r>
              <w:rPr>
                <w:rFonts w:ascii="Times New Roman"/>
                <w:szCs w:val="21"/>
              </w:rPr>
              <w:t>氮氧化物</w:t>
            </w:r>
          </w:p>
        </w:tc>
        <w:tc>
          <w:tcPr>
            <w:tcW w:w="1606" w:type="dxa"/>
            <w:vAlign w:val="center"/>
          </w:tcPr>
          <w:p w14:paraId="520AD15B">
            <w:pPr>
              <w:pStyle w:val="32"/>
              <w:spacing w:beforeLines="0" w:afterLines="0" w:line="240" w:lineRule="auto"/>
              <w:rPr>
                <w:rFonts w:ascii="Times New Roman"/>
                <w:snapToGrid w:val="0"/>
                <w:kern w:val="21"/>
                <w:szCs w:val="21"/>
                <w:lang w:val="en-US"/>
              </w:rPr>
            </w:pPr>
            <w:r>
              <w:rPr>
                <w:rFonts w:ascii="Times New Roman" w:eastAsia="等线"/>
                <w:szCs w:val="21"/>
              </w:rPr>
              <w:t>2.035</w:t>
            </w:r>
          </w:p>
        </w:tc>
        <w:tc>
          <w:tcPr>
            <w:tcW w:w="1607" w:type="dxa"/>
            <w:vAlign w:val="center"/>
          </w:tcPr>
          <w:p w14:paraId="520AD15C">
            <w:pPr>
              <w:pStyle w:val="32"/>
              <w:spacing w:beforeLines="0" w:afterLines="0" w:line="240" w:lineRule="auto"/>
              <w:rPr>
                <w:rFonts w:ascii="Times New Roman"/>
                <w:szCs w:val="21"/>
              </w:rPr>
            </w:pPr>
            <w:r>
              <w:rPr>
                <w:rFonts w:ascii="Times New Roman" w:eastAsia="等线"/>
                <w:szCs w:val="21"/>
              </w:rPr>
              <w:t>2.035</w:t>
            </w:r>
          </w:p>
        </w:tc>
        <w:tc>
          <w:tcPr>
            <w:tcW w:w="1606" w:type="dxa"/>
            <w:vAlign w:val="center"/>
          </w:tcPr>
          <w:p w14:paraId="520AD15D">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D15E">
            <w:pPr>
              <w:pStyle w:val="32"/>
              <w:spacing w:beforeLines="0" w:afterLines="0" w:line="240" w:lineRule="auto"/>
              <w:rPr>
                <w:rFonts w:ascii="Times New Roman"/>
                <w:bCs/>
                <w:szCs w:val="21"/>
                <w:highlight w:val="yellow"/>
              </w:rPr>
            </w:pPr>
            <w:r>
              <w:rPr>
                <w:rFonts w:ascii="Times New Roman"/>
                <w:szCs w:val="21"/>
              </w:rPr>
              <w:t>0</w:t>
            </w:r>
          </w:p>
        </w:tc>
        <w:tc>
          <w:tcPr>
            <w:tcW w:w="1606" w:type="dxa"/>
            <w:vAlign w:val="center"/>
          </w:tcPr>
          <w:p w14:paraId="520AD15F">
            <w:pPr>
              <w:pStyle w:val="32"/>
              <w:spacing w:beforeLines="0" w:afterLines="0" w:line="240" w:lineRule="auto"/>
              <w:rPr>
                <w:rFonts w:ascii="Times New Roman"/>
                <w:bCs/>
                <w:szCs w:val="21"/>
              </w:rPr>
            </w:pPr>
            <w:r>
              <w:rPr>
                <w:rFonts w:ascii="Times New Roman"/>
                <w:szCs w:val="21"/>
              </w:rPr>
              <w:t>0</w:t>
            </w:r>
          </w:p>
        </w:tc>
        <w:tc>
          <w:tcPr>
            <w:tcW w:w="1607" w:type="dxa"/>
            <w:vAlign w:val="center"/>
          </w:tcPr>
          <w:p w14:paraId="520AD160">
            <w:pPr>
              <w:pStyle w:val="32"/>
              <w:spacing w:beforeLines="0" w:afterLines="0" w:line="240" w:lineRule="auto"/>
              <w:rPr>
                <w:rFonts w:ascii="Times New Roman" w:eastAsia="等线"/>
                <w:szCs w:val="21"/>
                <w:highlight w:val="yellow"/>
              </w:rPr>
            </w:pPr>
            <w:r>
              <w:rPr>
                <w:rFonts w:ascii="Times New Roman" w:eastAsia="等线"/>
                <w:szCs w:val="21"/>
              </w:rPr>
              <w:t>2.035</w:t>
            </w:r>
          </w:p>
        </w:tc>
        <w:tc>
          <w:tcPr>
            <w:tcW w:w="1607" w:type="dxa"/>
            <w:vAlign w:val="center"/>
          </w:tcPr>
          <w:p w14:paraId="520AD161">
            <w:pPr>
              <w:pStyle w:val="32"/>
              <w:spacing w:beforeLines="0" w:afterLines="0" w:line="240" w:lineRule="auto"/>
              <w:rPr>
                <w:rFonts w:ascii="Times New Roman" w:eastAsia="等线"/>
                <w:szCs w:val="21"/>
                <w:highlight w:val="yellow"/>
              </w:rPr>
            </w:pPr>
            <w:r>
              <w:rPr>
                <w:rFonts w:ascii="Times New Roman"/>
                <w:szCs w:val="21"/>
              </w:rPr>
              <w:t>0</w:t>
            </w:r>
          </w:p>
        </w:tc>
      </w:tr>
      <w:tr w14:paraId="520AD1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63">
            <w:pPr>
              <w:pStyle w:val="32"/>
              <w:spacing w:beforeLines="0" w:afterLines="0" w:line="240" w:lineRule="auto"/>
              <w:rPr>
                <w:rFonts w:ascii="Times New Roman"/>
                <w:snapToGrid w:val="0"/>
                <w:kern w:val="21"/>
                <w:szCs w:val="21"/>
                <w:lang w:val="en-US"/>
              </w:rPr>
            </w:pPr>
          </w:p>
        </w:tc>
        <w:tc>
          <w:tcPr>
            <w:tcW w:w="1418" w:type="dxa"/>
            <w:vAlign w:val="center"/>
          </w:tcPr>
          <w:p w14:paraId="520AD164">
            <w:pPr>
              <w:pStyle w:val="32"/>
              <w:spacing w:beforeLines="0" w:afterLines="0" w:line="240" w:lineRule="auto"/>
              <w:rPr>
                <w:rFonts w:ascii="Times New Roman"/>
                <w:snapToGrid w:val="0"/>
                <w:kern w:val="21"/>
                <w:szCs w:val="21"/>
                <w:lang w:val="en-US"/>
              </w:rPr>
            </w:pPr>
            <w:r>
              <w:rPr>
                <w:rFonts w:ascii="Times New Roman"/>
                <w:szCs w:val="21"/>
              </w:rPr>
              <w:t>硫化氢</w:t>
            </w:r>
          </w:p>
        </w:tc>
        <w:tc>
          <w:tcPr>
            <w:tcW w:w="1606" w:type="dxa"/>
            <w:vAlign w:val="center"/>
          </w:tcPr>
          <w:p w14:paraId="520AD165">
            <w:pPr>
              <w:pStyle w:val="32"/>
              <w:spacing w:beforeLines="0" w:afterLines="0" w:line="240" w:lineRule="auto"/>
              <w:rPr>
                <w:rFonts w:ascii="Times New Roman"/>
                <w:snapToGrid w:val="0"/>
                <w:kern w:val="21"/>
                <w:szCs w:val="21"/>
                <w:lang w:val="en-US"/>
              </w:rPr>
            </w:pPr>
            <w:r>
              <w:rPr>
                <w:rFonts w:ascii="Times New Roman" w:eastAsia="等线"/>
                <w:szCs w:val="21"/>
              </w:rPr>
              <w:t>0.0005</w:t>
            </w:r>
          </w:p>
        </w:tc>
        <w:tc>
          <w:tcPr>
            <w:tcW w:w="1607" w:type="dxa"/>
            <w:vAlign w:val="center"/>
          </w:tcPr>
          <w:p w14:paraId="520AD166">
            <w:pPr>
              <w:pStyle w:val="32"/>
              <w:spacing w:beforeLines="0" w:afterLines="0" w:line="240" w:lineRule="auto"/>
              <w:rPr>
                <w:rFonts w:ascii="Times New Roman"/>
                <w:szCs w:val="21"/>
              </w:rPr>
            </w:pPr>
            <w:r>
              <w:rPr>
                <w:rFonts w:ascii="Times New Roman" w:eastAsia="等线"/>
                <w:szCs w:val="21"/>
              </w:rPr>
              <w:t>0.00054</w:t>
            </w:r>
          </w:p>
        </w:tc>
        <w:tc>
          <w:tcPr>
            <w:tcW w:w="1606" w:type="dxa"/>
            <w:vAlign w:val="center"/>
          </w:tcPr>
          <w:p w14:paraId="520AD167">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D168">
            <w:pPr>
              <w:pStyle w:val="32"/>
              <w:spacing w:beforeLines="0" w:afterLines="0" w:line="240" w:lineRule="auto"/>
              <w:rPr>
                <w:rFonts w:ascii="Times New Roman"/>
                <w:bCs/>
                <w:szCs w:val="21"/>
                <w:highlight w:val="yellow"/>
              </w:rPr>
            </w:pPr>
            <w:r>
              <w:rPr>
                <w:rFonts w:ascii="Times New Roman" w:eastAsia="等线"/>
                <w:szCs w:val="21"/>
              </w:rPr>
              <w:t>0</w:t>
            </w:r>
            <w:r>
              <w:rPr>
                <w:rFonts w:hint="eastAsia" w:ascii="Times New Roman" w:eastAsia="等线"/>
                <w:szCs w:val="21"/>
              </w:rPr>
              <w:t>.00006</w:t>
            </w:r>
          </w:p>
        </w:tc>
        <w:tc>
          <w:tcPr>
            <w:tcW w:w="1606" w:type="dxa"/>
            <w:vAlign w:val="center"/>
          </w:tcPr>
          <w:p w14:paraId="520AD169">
            <w:pPr>
              <w:pStyle w:val="32"/>
              <w:spacing w:beforeLines="0" w:afterLines="0" w:line="240" w:lineRule="auto"/>
              <w:rPr>
                <w:rFonts w:ascii="Times New Roman"/>
                <w:bCs/>
                <w:szCs w:val="21"/>
              </w:rPr>
            </w:pPr>
            <w:r>
              <w:rPr>
                <w:rFonts w:ascii="Times New Roman" w:eastAsia="等线"/>
                <w:szCs w:val="21"/>
              </w:rPr>
              <w:t>0</w:t>
            </w:r>
            <w:r>
              <w:rPr>
                <w:rFonts w:hint="eastAsia" w:ascii="Times New Roman" w:eastAsia="等线"/>
                <w:szCs w:val="21"/>
              </w:rPr>
              <w:t>.00006</w:t>
            </w:r>
          </w:p>
        </w:tc>
        <w:tc>
          <w:tcPr>
            <w:tcW w:w="1607" w:type="dxa"/>
            <w:vAlign w:val="center"/>
          </w:tcPr>
          <w:p w14:paraId="520AD16A">
            <w:pPr>
              <w:pStyle w:val="32"/>
              <w:spacing w:beforeLines="0" w:afterLines="0" w:line="240" w:lineRule="auto"/>
              <w:rPr>
                <w:rFonts w:ascii="Times New Roman" w:eastAsia="等线"/>
                <w:szCs w:val="21"/>
                <w:highlight w:val="yellow"/>
              </w:rPr>
            </w:pPr>
            <w:r>
              <w:rPr>
                <w:rFonts w:ascii="Times New Roman" w:eastAsia="等线"/>
                <w:szCs w:val="21"/>
              </w:rPr>
              <w:t>0.0005</w:t>
            </w:r>
          </w:p>
        </w:tc>
        <w:tc>
          <w:tcPr>
            <w:tcW w:w="1607" w:type="dxa"/>
            <w:vAlign w:val="center"/>
          </w:tcPr>
          <w:p w14:paraId="520AD16B">
            <w:pPr>
              <w:pStyle w:val="32"/>
              <w:spacing w:beforeLines="0" w:afterLines="0" w:line="240" w:lineRule="auto"/>
              <w:rPr>
                <w:rFonts w:ascii="Times New Roman" w:eastAsia="等线"/>
                <w:szCs w:val="21"/>
                <w:highlight w:val="yellow"/>
              </w:rPr>
            </w:pPr>
            <w:r>
              <w:rPr>
                <w:rFonts w:ascii="Times New Roman" w:eastAsia="等线"/>
                <w:szCs w:val="21"/>
              </w:rPr>
              <w:t>0</w:t>
            </w:r>
          </w:p>
        </w:tc>
      </w:tr>
      <w:tr w14:paraId="520AD1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6D">
            <w:pPr>
              <w:pStyle w:val="32"/>
              <w:spacing w:beforeLines="0" w:afterLines="0" w:line="240" w:lineRule="auto"/>
              <w:rPr>
                <w:rFonts w:ascii="Times New Roman"/>
                <w:snapToGrid w:val="0"/>
                <w:kern w:val="21"/>
                <w:szCs w:val="21"/>
                <w:lang w:val="en-US"/>
              </w:rPr>
            </w:pPr>
          </w:p>
        </w:tc>
        <w:tc>
          <w:tcPr>
            <w:tcW w:w="1418" w:type="dxa"/>
            <w:vAlign w:val="center"/>
          </w:tcPr>
          <w:p w14:paraId="520AD16E">
            <w:pPr>
              <w:pStyle w:val="32"/>
              <w:spacing w:beforeLines="0" w:afterLines="0" w:line="240" w:lineRule="auto"/>
              <w:rPr>
                <w:rFonts w:ascii="Times New Roman"/>
                <w:snapToGrid w:val="0"/>
                <w:kern w:val="21"/>
                <w:szCs w:val="21"/>
                <w:lang w:val="en-US"/>
              </w:rPr>
            </w:pPr>
            <w:r>
              <w:rPr>
                <w:rFonts w:ascii="Times New Roman"/>
                <w:szCs w:val="21"/>
              </w:rPr>
              <w:t>颗粒物</w:t>
            </w:r>
          </w:p>
        </w:tc>
        <w:tc>
          <w:tcPr>
            <w:tcW w:w="1606" w:type="dxa"/>
            <w:vAlign w:val="center"/>
          </w:tcPr>
          <w:p w14:paraId="520AD16F">
            <w:pPr>
              <w:pStyle w:val="32"/>
              <w:spacing w:beforeLines="0" w:afterLines="0" w:line="240" w:lineRule="auto"/>
              <w:rPr>
                <w:rFonts w:ascii="Times New Roman"/>
                <w:snapToGrid w:val="0"/>
                <w:kern w:val="21"/>
                <w:szCs w:val="21"/>
                <w:lang w:val="en-US"/>
              </w:rPr>
            </w:pPr>
            <w:r>
              <w:rPr>
                <w:rFonts w:ascii="Times New Roman"/>
                <w:szCs w:val="21"/>
              </w:rPr>
              <w:t>1.9554</w:t>
            </w:r>
          </w:p>
        </w:tc>
        <w:tc>
          <w:tcPr>
            <w:tcW w:w="1607" w:type="dxa"/>
            <w:vAlign w:val="center"/>
          </w:tcPr>
          <w:p w14:paraId="520AD170">
            <w:pPr>
              <w:pStyle w:val="32"/>
              <w:spacing w:beforeLines="0" w:afterLines="0" w:line="240" w:lineRule="auto"/>
              <w:rPr>
                <w:rFonts w:ascii="Times New Roman"/>
                <w:szCs w:val="21"/>
              </w:rPr>
            </w:pPr>
            <w:r>
              <w:rPr>
                <w:rFonts w:ascii="Times New Roman"/>
                <w:szCs w:val="21"/>
              </w:rPr>
              <w:t>2.6009</w:t>
            </w:r>
          </w:p>
        </w:tc>
        <w:tc>
          <w:tcPr>
            <w:tcW w:w="1606" w:type="dxa"/>
            <w:vAlign w:val="center"/>
          </w:tcPr>
          <w:p w14:paraId="520AD171">
            <w:pPr>
              <w:pStyle w:val="32"/>
              <w:spacing w:beforeLines="0" w:afterLines="0" w:line="240" w:lineRule="auto"/>
              <w:rPr>
                <w:rFonts w:ascii="Times New Roman"/>
                <w:snapToGrid w:val="0"/>
                <w:kern w:val="21"/>
                <w:szCs w:val="21"/>
                <w:lang w:val="en-US"/>
              </w:rPr>
            </w:pPr>
            <w:r>
              <w:rPr>
                <w:rFonts w:ascii="Times New Roman"/>
                <w:szCs w:val="21"/>
              </w:rPr>
              <w:t>0.0595</w:t>
            </w:r>
          </w:p>
        </w:tc>
        <w:tc>
          <w:tcPr>
            <w:tcW w:w="1607" w:type="dxa"/>
            <w:vAlign w:val="center"/>
          </w:tcPr>
          <w:p w14:paraId="520AD172">
            <w:pPr>
              <w:pStyle w:val="32"/>
              <w:spacing w:beforeLines="0" w:afterLines="0" w:line="240" w:lineRule="auto"/>
              <w:rPr>
                <w:rFonts w:ascii="Times New Roman"/>
                <w:bCs/>
                <w:szCs w:val="21"/>
                <w:highlight w:val="yellow"/>
              </w:rPr>
            </w:pPr>
            <w:r>
              <w:rPr>
                <w:rFonts w:ascii="Times New Roman"/>
                <w:szCs w:val="21"/>
              </w:rPr>
              <w:t>0</w:t>
            </w:r>
          </w:p>
        </w:tc>
        <w:tc>
          <w:tcPr>
            <w:tcW w:w="1606" w:type="dxa"/>
            <w:vAlign w:val="center"/>
          </w:tcPr>
          <w:p w14:paraId="520AD173">
            <w:pPr>
              <w:pStyle w:val="32"/>
              <w:spacing w:beforeLines="0" w:afterLines="0" w:line="240" w:lineRule="auto"/>
              <w:rPr>
                <w:rFonts w:ascii="Times New Roman"/>
                <w:bCs/>
                <w:szCs w:val="21"/>
              </w:rPr>
            </w:pPr>
            <w:r>
              <w:rPr>
                <w:rFonts w:ascii="Times New Roman"/>
                <w:szCs w:val="21"/>
              </w:rPr>
              <w:t>0</w:t>
            </w:r>
          </w:p>
        </w:tc>
        <w:tc>
          <w:tcPr>
            <w:tcW w:w="1607" w:type="dxa"/>
            <w:vAlign w:val="center"/>
          </w:tcPr>
          <w:p w14:paraId="520AD174">
            <w:pPr>
              <w:pStyle w:val="32"/>
              <w:spacing w:beforeLines="0" w:afterLines="0" w:line="240" w:lineRule="auto"/>
              <w:rPr>
                <w:rFonts w:ascii="Times New Roman" w:eastAsia="等线"/>
                <w:szCs w:val="21"/>
                <w:highlight w:val="yellow"/>
              </w:rPr>
            </w:pPr>
            <w:r>
              <w:rPr>
                <w:rFonts w:ascii="Times New Roman" w:eastAsia="等线"/>
                <w:szCs w:val="21"/>
              </w:rPr>
              <w:t>2.</w:t>
            </w:r>
            <w:r>
              <w:rPr>
                <w:rFonts w:hint="eastAsia" w:ascii="Times New Roman" w:eastAsia="等线"/>
                <w:szCs w:val="21"/>
              </w:rPr>
              <w:t>0149</w:t>
            </w:r>
          </w:p>
        </w:tc>
        <w:tc>
          <w:tcPr>
            <w:tcW w:w="1607" w:type="dxa"/>
            <w:vAlign w:val="center"/>
          </w:tcPr>
          <w:p w14:paraId="520AD175">
            <w:pPr>
              <w:pStyle w:val="32"/>
              <w:spacing w:beforeLines="0" w:afterLines="0" w:line="240" w:lineRule="auto"/>
              <w:rPr>
                <w:rFonts w:ascii="Times New Roman" w:eastAsia="等线"/>
                <w:szCs w:val="21"/>
                <w:highlight w:val="yellow"/>
              </w:rPr>
            </w:pPr>
            <w:r>
              <w:rPr>
                <w:rFonts w:ascii="Times New Roman"/>
                <w:szCs w:val="21"/>
              </w:rPr>
              <w:t>0</w:t>
            </w:r>
          </w:p>
        </w:tc>
      </w:tr>
      <w:tr w14:paraId="520AD1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77">
            <w:pPr>
              <w:pStyle w:val="32"/>
              <w:spacing w:beforeLines="0" w:afterLines="0" w:line="240" w:lineRule="auto"/>
              <w:rPr>
                <w:rFonts w:ascii="Times New Roman"/>
                <w:snapToGrid w:val="0"/>
                <w:kern w:val="21"/>
                <w:szCs w:val="21"/>
                <w:lang w:val="en-US"/>
              </w:rPr>
            </w:pPr>
          </w:p>
        </w:tc>
        <w:tc>
          <w:tcPr>
            <w:tcW w:w="1418" w:type="dxa"/>
            <w:vAlign w:val="center"/>
          </w:tcPr>
          <w:p w14:paraId="520AD178">
            <w:pPr>
              <w:pStyle w:val="32"/>
              <w:spacing w:beforeLines="0" w:afterLines="0" w:line="240" w:lineRule="auto"/>
              <w:rPr>
                <w:rFonts w:ascii="Times New Roman"/>
                <w:snapToGrid w:val="0"/>
                <w:kern w:val="21"/>
                <w:szCs w:val="21"/>
                <w:lang w:val="en-US"/>
              </w:rPr>
            </w:pPr>
            <w:r>
              <w:rPr>
                <w:rFonts w:ascii="Times New Roman"/>
                <w:szCs w:val="21"/>
              </w:rPr>
              <w:t>氨</w:t>
            </w:r>
          </w:p>
        </w:tc>
        <w:tc>
          <w:tcPr>
            <w:tcW w:w="1606" w:type="dxa"/>
            <w:vAlign w:val="center"/>
          </w:tcPr>
          <w:p w14:paraId="520AD179">
            <w:pPr>
              <w:pStyle w:val="32"/>
              <w:spacing w:beforeLines="0" w:afterLines="0" w:line="240" w:lineRule="auto"/>
              <w:rPr>
                <w:rFonts w:ascii="Times New Roman"/>
                <w:snapToGrid w:val="0"/>
                <w:kern w:val="21"/>
                <w:szCs w:val="21"/>
                <w:lang w:val="en-US"/>
              </w:rPr>
            </w:pPr>
            <w:r>
              <w:rPr>
                <w:rFonts w:ascii="Times New Roman"/>
                <w:szCs w:val="21"/>
              </w:rPr>
              <w:t>/</w:t>
            </w:r>
          </w:p>
        </w:tc>
        <w:tc>
          <w:tcPr>
            <w:tcW w:w="1607" w:type="dxa"/>
            <w:vAlign w:val="center"/>
          </w:tcPr>
          <w:p w14:paraId="520AD17A">
            <w:pPr>
              <w:pStyle w:val="32"/>
              <w:spacing w:beforeLines="0" w:afterLines="0" w:line="240" w:lineRule="auto"/>
              <w:rPr>
                <w:rFonts w:ascii="Times New Roman"/>
                <w:szCs w:val="21"/>
              </w:rPr>
            </w:pPr>
            <w:r>
              <w:rPr>
                <w:rFonts w:ascii="Times New Roman"/>
                <w:szCs w:val="21"/>
              </w:rPr>
              <w:t>/</w:t>
            </w:r>
          </w:p>
        </w:tc>
        <w:tc>
          <w:tcPr>
            <w:tcW w:w="1606" w:type="dxa"/>
            <w:vAlign w:val="center"/>
          </w:tcPr>
          <w:p w14:paraId="520AD17B">
            <w:pPr>
              <w:pStyle w:val="32"/>
              <w:spacing w:beforeLines="0" w:afterLines="0" w:line="240" w:lineRule="auto"/>
              <w:rPr>
                <w:rFonts w:ascii="Times New Roman"/>
                <w:snapToGrid w:val="0"/>
                <w:kern w:val="21"/>
                <w:szCs w:val="21"/>
                <w:lang w:val="en-US"/>
              </w:rPr>
            </w:pPr>
            <w:r>
              <w:rPr>
                <w:rFonts w:ascii="Times New Roman"/>
                <w:szCs w:val="21"/>
              </w:rPr>
              <w:t>0.045</w:t>
            </w:r>
          </w:p>
        </w:tc>
        <w:tc>
          <w:tcPr>
            <w:tcW w:w="1607" w:type="dxa"/>
            <w:vAlign w:val="center"/>
          </w:tcPr>
          <w:p w14:paraId="520AD17C">
            <w:pPr>
              <w:pStyle w:val="32"/>
              <w:spacing w:beforeLines="0" w:afterLines="0" w:line="240" w:lineRule="auto"/>
              <w:rPr>
                <w:rFonts w:ascii="Times New Roman"/>
                <w:bCs/>
                <w:szCs w:val="21"/>
                <w:highlight w:val="yellow"/>
              </w:rPr>
            </w:pPr>
            <w:r>
              <w:rPr>
                <w:rFonts w:ascii="Times New Roman"/>
                <w:szCs w:val="21"/>
              </w:rPr>
              <w:t>0</w:t>
            </w:r>
          </w:p>
        </w:tc>
        <w:tc>
          <w:tcPr>
            <w:tcW w:w="1606" w:type="dxa"/>
            <w:vAlign w:val="center"/>
          </w:tcPr>
          <w:p w14:paraId="520AD17D">
            <w:pPr>
              <w:pStyle w:val="32"/>
              <w:spacing w:beforeLines="0" w:afterLines="0" w:line="240" w:lineRule="auto"/>
              <w:rPr>
                <w:rFonts w:ascii="Times New Roman"/>
                <w:bCs/>
                <w:szCs w:val="21"/>
              </w:rPr>
            </w:pPr>
            <w:r>
              <w:rPr>
                <w:rFonts w:ascii="Times New Roman"/>
                <w:szCs w:val="21"/>
              </w:rPr>
              <w:t>0</w:t>
            </w:r>
          </w:p>
        </w:tc>
        <w:tc>
          <w:tcPr>
            <w:tcW w:w="1607" w:type="dxa"/>
            <w:vAlign w:val="center"/>
          </w:tcPr>
          <w:p w14:paraId="520AD17E">
            <w:pPr>
              <w:pStyle w:val="32"/>
              <w:spacing w:beforeLines="0" w:afterLines="0" w:line="240" w:lineRule="auto"/>
              <w:rPr>
                <w:rFonts w:ascii="Times New Roman" w:eastAsia="等线"/>
                <w:szCs w:val="21"/>
                <w:highlight w:val="yellow"/>
              </w:rPr>
            </w:pPr>
            <w:r>
              <w:rPr>
                <w:rFonts w:ascii="Times New Roman" w:eastAsia="等线"/>
                <w:szCs w:val="21"/>
              </w:rPr>
              <w:t>0.045</w:t>
            </w:r>
          </w:p>
        </w:tc>
        <w:tc>
          <w:tcPr>
            <w:tcW w:w="1607" w:type="dxa"/>
            <w:vAlign w:val="center"/>
          </w:tcPr>
          <w:p w14:paraId="520AD17F">
            <w:pPr>
              <w:pStyle w:val="32"/>
              <w:spacing w:beforeLines="0" w:afterLines="0" w:line="240" w:lineRule="auto"/>
              <w:rPr>
                <w:rFonts w:ascii="Times New Roman" w:eastAsia="等线"/>
                <w:szCs w:val="21"/>
                <w:highlight w:val="yellow"/>
              </w:rPr>
            </w:pPr>
            <w:r>
              <w:rPr>
                <w:rFonts w:ascii="Times New Roman"/>
                <w:szCs w:val="21"/>
              </w:rPr>
              <w:t>0</w:t>
            </w:r>
          </w:p>
        </w:tc>
      </w:tr>
      <w:tr w14:paraId="7B5419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091F0F26">
            <w:pPr>
              <w:pStyle w:val="32"/>
              <w:spacing w:beforeLines="0" w:afterLines="0" w:line="240" w:lineRule="auto"/>
              <w:rPr>
                <w:rFonts w:ascii="Times New Roman"/>
                <w:snapToGrid w:val="0"/>
                <w:kern w:val="21"/>
                <w:szCs w:val="21"/>
                <w:lang w:val="en-US"/>
              </w:rPr>
            </w:pPr>
          </w:p>
        </w:tc>
        <w:tc>
          <w:tcPr>
            <w:tcW w:w="1418" w:type="dxa"/>
            <w:vAlign w:val="center"/>
          </w:tcPr>
          <w:p w14:paraId="0794D523">
            <w:pPr>
              <w:pStyle w:val="32"/>
              <w:spacing w:beforeLines="0" w:afterLines="0" w:line="240" w:lineRule="auto"/>
              <w:rPr>
                <w:rFonts w:ascii="Times New Roman"/>
                <w:szCs w:val="21"/>
              </w:rPr>
            </w:pPr>
            <w:r>
              <w:rPr>
                <w:rFonts w:ascii="Times New Roman"/>
                <w:szCs w:val="21"/>
              </w:rPr>
              <w:t>VOCs</w:t>
            </w:r>
          </w:p>
        </w:tc>
        <w:tc>
          <w:tcPr>
            <w:tcW w:w="1606" w:type="dxa"/>
            <w:vAlign w:val="center"/>
          </w:tcPr>
          <w:p w14:paraId="73C15942">
            <w:pPr>
              <w:pStyle w:val="32"/>
              <w:spacing w:beforeLines="0" w:afterLines="0" w:line="240" w:lineRule="auto"/>
              <w:rPr>
                <w:rFonts w:ascii="Times New Roman"/>
                <w:bCs/>
                <w:szCs w:val="21"/>
              </w:rPr>
            </w:pPr>
            <w:r>
              <w:rPr>
                <w:rFonts w:ascii="Times New Roman"/>
                <w:bCs/>
                <w:szCs w:val="21"/>
              </w:rPr>
              <w:t>3.</w:t>
            </w:r>
            <w:r>
              <w:rPr>
                <w:rFonts w:hint="eastAsia" w:ascii="Times New Roman"/>
                <w:bCs/>
                <w:szCs w:val="21"/>
              </w:rPr>
              <w:t>3834</w:t>
            </w:r>
          </w:p>
        </w:tc>
        <w:tc>
          <w:tcPr>
            <w:tcW w:w="1607" w:type="dxa"/>
            <w:vAlign w:val="center"/>
          </w:tcPr>
          <w:p w14:paraId="5B8A25FF">
            <w:pPr>
              <w:pStyle w:val="32"/>
              <w:spacing w:beforeLines="0" w:afterLines="0" w:line="240" w:lineRule="auto"/>
              <w:rPr>
                <w:rFonts w:ascii="Times New Roman"/>
                <w:bCs/>
                <w:szCs w:val="21"/>
              </w:rPr>
            </w:pPr>
            <w:r>
              <w:rPr>
                <w:rFonts w:ascii="Times New Roman"/>
                <w:bCs/>
                <w:szCs w:val="21"/>
              </w:rPr>
              <w:t>4.9384</w:t>
            </w:r>
          </w:p>
        </w:tc>
        <w:tc>
          <w:tcPr>
            <w:tcW w:w="1606" w:type="dxa"/>
            <w:vAlign w:val="center"/>
          </w:tcPr>
          <w:p w14:paraId="5DE08C90">
            <w:pPr>
              <w:pStyle w:val="32"/>
              <w:spacing w:beforeLines="0" w:afterLines="0" w:line="240" w:lineRule="auto"/>
              <w:rPr>
                <w:rFonts w:ascii="Times New Roman"/>
                <w:szCs w:val="21"/>
              </w:rPr>
            </w:pPr>
            <w:r>
              <w:rPr>
                <w:rFonts w:ascii="Times New Roman"/>
                <w:szCs w:val="21"/>
              </w:rPr>
              <w:t>0.6209</w:t>
            </w:r>
          </w:p>
        </w:tc>
        <w:tc>
          <w:tcPr>
            <w:tcW w:w="1607" w:type="dxa"/>
            <w:vAlign w:val="center"/>
          </w:tcPr>
          <w:p w14:paraId="0A7D63DB">
            <w:pPr>
              <w:pStyle w:val="32"/>
              <w:spacing w:beforeLines="0" w:afterLines="0" w:line="240" w:lineRule="auto"/>
              <w:rPr>
                <w:rFonts w:ascii="Times New Roman" w:eastAsia="等线"/>
                <w:szCs w:val="21"/>
              </w:rPr>
            </w:pPr>
            <w:r>
              <w:rPr>
                <w:rFonts w:ascii="Times New Roman" w:eastAsia="等线"/>
                <w:szCs w:val="21"/>
                <w:lang w:val="pt-BR"/>
              </w:rPr>
              <w:t>0.00</w:t>
            </w:r>
            <w:r>
              <w:rPr>
                <w:rFonts w:hint="eastAsia" w:ascii="Times New Roman" w:eastAsia="等线"/>
                <w:szCs w:val="21"/>
                <w:lang w:val="pt-BR"/>
              </w:rPr>
              <w:t>0</w:t>
            </w:r>
            <w:r>
              <w:rPr>
                <w:rFonts w:ascii="Times New Roman" w:eastAsia="等线"/>
                <w:szCs w:val="21"/>
                <w:lang w:val="pt-BR"/>
              </w:rPr>
              <w:t>2</w:t>
            </w:r>
          </w:p>
        </w:tc>
        <w:tc>
          <w:tcPr>
            <w:tcW w:w="1606" w:type="dxa"/>
            <w:vAlign w:val="center"/>
          </w:tcPr>
          <w:p w14:paraId="076C7F7C">
            <w:pPr>
              <w:pStyle w:val="32"/>
              <w:spacing w:beforeLines="0" w:afterLines="0" w:line="240" w:lineRule="auto"/>
              <w:rPr>
                <w:rFonts w:ascii="Times New Roman" w:eastAsia="等线"/>
                <w:szCs w:val="21"/>
              </w:rPr>
            </w:pPr>
            <w:r>
              <w:rPr>
                <w:rFonts w:ascii="Times New Roman" w:eastAsia="等线"/>
                <w:szCs w:val="21"/>
                <w:lang w:val="pt-BR"/>
              </w:rPr>
              <w:t>0.00</w:t>
            </w:r>
            <w:r>
              <w:rPr>
                <w:rFonts w:hint="eastAsia" w:ascii="Times New Roman" w:eastAsia="等线"/>
                <w:szCs w:val="21"/>
                <w:lang w:val="pt-BR"/>
              </w:rPr>
              <w:t>0</w:t>
            </w:r>
            <w:r>
              <w:rPr>
                <w:rFonts w:ascii="Times New Roman" w:eastAsia="等线"/>
                <w:szCs w:val="21"/>
                <w:lang w:val="pt-BR"/>
              </w:rPr>
              <w:t>2</w:t>
            </w:r>
          </w:p>
        </w:tc>
        <w:tc>
          <w:tcPr>
            <w:tcW w:w="1607" w:type="dxa"/>
            <w:vAlign w:val="center"/>
          </w:tcPr>
          <w:p w14:paraId="686370FE">
            <w:pPr>
              <w:pStyle w:val="32"/>
              <w:spacing w:beforeLines="0" w:afterLines="0" w:line="240" w:lineRule="auto"/>
              <w:rPr>
                <w:rFonts w:ascii="Times New Roman" w:eastAsia="等线"/>
                <w:szCs w:val="21"/>
              </w:rPr>
            </w:pPr>
            <w:r>
              <w:rPr>
                <w:rFonts w:ascii="Times New Roman" w:eastAsia="等线"/>
                <w:szCs w:val="21"/>
              </w:rPr>
              <w:t>4.0</w:t>
            </w:r>
            <w:r>
              <w:rPr>
                <w:rFonts w:hint="eastAsia" w:ascii="Times New Roman" w:eastAsia="等线"/>
                <w:szCs w:val="21"/>
              </w:rPr>
              <w:t>043</w:t>
            </w:r>
          </w:p>
        </w:tc>
        <w:tc>
          <w:tcPr>
            <w:tcW w:w="1607" w:type="dxa"/>
            <w:vAlign w:val="center"/>
          </w:tcPr>
          <w:p w14:paraId="49F29BE9">
            <w:pPr>
              <w:pStyle w:val="32"/>
              <w:spacing w:beforeLines="0" w:afterLines="0" w:line="240" w:lineRule="auto"/>
              <w:rPr>
                <w:rFonts w:ascii="Times New Roman" w:eastAsia="等线"/>
                <w:szCs w:val="21"/>
              </w:rPr>
            </w:pPr>
            <w:r>
              <w:rPr>
                <w:rFonts w:ascii="Times New Roman" w:eastAsia="等线"/>
                <w:szCs w:val="21"/>
              </w:rPr>
              <w:t>0</w:t>
            </w:r>
          </w:p>
        </w:tc>
      </w:tr>
      <w:tr w14:paraId="520AD1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81">
            <w:pPr>
              <w:pStyle w:val="32"/>
              <w:spacing w:beforeLines="0" w:afterLines="0" w:line="240" w:lineRule="auto"/>
              <w:rPr>
                <w:rFonts w:ascii="Times New Roman"/>
                <w:snapToGrid w:val="0"/>
                <w:kern w:val="21"/>
                <w:szCs w:val="21"/>
                <w:lang w:val="en-US"/>
              </w:rPr>
            </w:pPr>
          </w:p>
        </w:tc>
        <w:tc>
          <w:tcPr>
            <w:tcW w:w="1418" w:type="dxa"/>
            <w:vAlign w:val="center"/>
          </w:tcPr>
          <w:p w14:paraId="520AD182">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SO</w:t>
            </w:r>
            <w:r>
              <w:rPr>
                <w:rFonts w:hint="eastAsia" w:ascii="Times New Roman"/>
                <w:snapToGrid w:val="0"/>
                <w:kern w:val="21"/>
                <w:szCs w:val="21"/>
                <w:vertAlign w:val="subscript"/>
                <w:lang w:val="en-US"/>
              </w:rPr>
              <w:t>2</w:t>
            </w:r>
          </w:p>
        </w:tc>
        <w:tc>
          <w:tcPr>
            <w:tcW w:w="1606" w:type="dxa"/>
            <w:vAlign w:val="center"/>
          </w:tcPr>
          <w:p w14:paraId="520AD183">
            <w:pPr>
              <w:pStyle w:val="32"/>
              <w:spacing w:beforeLines="0" w:afterLines="0" w:line="240" w:lineRule="auto"/>
              <w:rPr>
                <w:rFonts w:ascii="Times New Roman"/>
                <w:snapToGrid w:val="0"/>
                <w:kern w:val="21"/>
                <w:szCs w:val="21"/>
                <w:lang w:val="en-US"/>
              </w:rPr>
            </w:pPr>
            <w:r>
              <w:rPr>
                <w:rFonts w:ascii="Times New Roman"/>
                <w:bCs/>
                <w:szCs w:val="21"/>
              </w:rPr>
              <w:t>0.035</w:t>
            </w:r>
            <w:r>
              <w:rPr>
                <w:rFonts w:hint="eastAsia" w:ascii="Times New Roman"/>
                <w:bCs/>
                <w:szCs w:val="21"/>
              </w:rPr>
              <w:t>1</w:t>
            </w:r>
          </w:p>
        </w:tc>
        <w:tc>
          <w:tcPr>
            <w:tcW w:w="1607" w:type="dxa"/>
            <w:vAlign w:val="center"/>
          </w:tcPr>
          <w:p w14:paraId="520AD184">
            <w:pPr>
              <w:pStyle w:val="32"/>
              <w:spacing w:beforeLines="0" w:afterLines="0" w:line="240" w:lineRule="auto"/>
              <w:rPr>
                <w:rFonts w:ascii="Times New Roman"/>
                <w:szCs w:val="21"/>
              </w:rPr>
            </w:pPr>
            <w:r>
              <w:rPr>
                <w:rFonts w:ascii="Times New Roman"/>
                <w:bCs/>
                <w:szCs w:val="21"/>
              </w:rPr>
              <w:t>0.035</w:t>
            </w:r>
            <w:r>
              <w:rPr>
                <w:rFonts w:hint="eastAsia" w:ascii="Times New Roman"/>
                <w:bCs/>
                <w:szCs w:val="21"/>
              </w:rPr>
              <w:t>1</w:t>
            </w:r>
          </w:p>
        </w:tc>
        <w:tc>
          <w:tcPr>
            <w:tcW w:w="1606" w:type="dxa"/>
            <w:vAlign w:val="center"/>
          </w:tcPr>
          <w:p w14:paraId="520AD185">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w:t>
            </w:r>
          </w:p>
        </w:tc>
        <w:tc>
          <w:tcPr>
            <w:tcW w:w="1607" w:type="dxa"/>
            <w:vAlign w:val="center"/>
          </w:tcPr>
          <w:p w14:paraId="520AD186">
            <w:pPr>
              <w:pStyle w:val="32"/>
              <w:spacing w:beforeLines="0" w:afterLines="0" w:line="240" w:lineRule="auto"/>
              <w:rPr>
                <w:rFonts w:ascii="Times New Roman"/>
                <w:bCs/>
                <w:szCs w:val="21"/>
                <w:highlight w:val="yellow"/>
              </w:rPr>
            </w:pPr>
            <w:r>
              <w:rPr>
                <w:rFonts w:ascii="Times New Roman" w:eastAsia="等线"/>
                <w:szCs w:val="21"/>
                <w:lang w:val="pt-BR"/>
              </w:rPr>
              <w:t>0.0009</w:t>
            </w:r>
          </w:p>
        </w:tc>
        <w:tc>
          <w:tcPr>
            <w:tcW w:w="1606" w:type="dxa"/>
            <w:vAlign w:val="center"/>
          </w:tcPr>
          <w:p w14:paraId="520AD187">
            <w:pPr>
              <w:pStyle w:val="32"/>
              <w:spacing w:beforeLines="0" w:afterLines="0" w:line="240" w:lineRule="auto"/>
              <w:rPr>
                <w:rFonts w:ascii="Times New Roman"/>
                <w:bCs/>
                <w:szCs w:val="21"/>
              </w:rPr>
            </w:pPr>
            <w:r>
              <w:rPr>
                <w:rFonts w:ascii="Times New Roman" w:eastAsia="等线"/>
                <w:szCs w:val="21"/>
                <w:lang w:val="pt-BR"/>
              </w:rPr>
              <w:t>0.0009</w:t>
            </w:r>
          </w:p>
        </w:tc>
        <w:tc>
          <w:tcPr>
            <w:tcW w:w="1607" w:type="dxa"/>
            <w:vAlign w:val="center"/>
          </w:tcPr>
          <w:p w14:paraId="520AD188">
            <w:pPr>
              <w:pStyle w:val="32"/>
              <w:spacing w:beforeLines="0" w:afterLines="0" w:line="240" w:lineRule="auto"/>
              <w:rPr>
                <w:rFonts w:ascii="Times New Roman" w:eastAsia="等线"/>
                <w:szCs w:val="21"/>
              </w:rPr>
            </w:pPr>
            <w:r>
              <w:rPr>
                <w:rFonts w:ascii="Times New Roman" w:eastAsia="等线"/>
                <w:szCs w:val="21"/>
              </w:rPr>
              <w:t>0.035</w:t>
            </w:r>
            <w:r>
              <w:rPr>
                <w:rFonts w:hint="eastAsia" w:ascii="Times New Roman" w:eastAsia="等线"/>
                <w:szCs w:val="21"/>
              </w:rPr>
              <w:t>1</w:t>
            </w:r>
          </w:p>
        </w:tc>
        <w:tc>
          <w:tcPr>
            <w:tcW w:w="1607" w:type="dxa"/>
            <w:vAlign w:val="center"/>
          </w:tcPr>
          <w:p w14:paraId="520AD189">
            <w:pPr>
              <w:pStyle w:val="32"/>
              <w:spacing w:beforeLines="0" w:afterLines="0" w:line="240" w:lineRule="auto"/>
              <w:rPr>
                <w:rFonts w:ascii="Times New Roman" w:eastAsia="等线"/>
                <w:szCs w:val="21"/>
              </w:rPr>
            </w:pPr>
            <w:r>
              <w:rPr>
                <w:rFonts w:hint="eastAsia" w:ascii="Times New Roman" w:eastAsia="等线"/>
                <w:szCs w:val="21"/>
              </w:rPr>
              <w:t>0</w:t>
            </w:r>
          </w:p>
        </w:tc>
      </w:tr>
      <w:tr w14:paraId="520AD1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restart"/>
            <w:vAlign w:val="center"/>
          </w:tcPr>
          <w:p w14:paraId="520AD18B">
            <w:pPr>
              <w:pStyle w:val="32"/>
              <w:spacing w:before="24" w:after="24" w:line="240" w:lineRule="auto"/>
              <w:rPr>
                <w:rFonts w:ascii="Times New Roman"/>
                <w:szCs w:val="21"/>
              </w:rPr>
            </w:pPr>
            <w:r>
              <w:rPr>
                <w:rFonts w:ascii="Times New Roman"/>
                <w:szCs w:val="21"/>
              </w:rPr>
              <w:t>废水</w:t>
            </w:r>
          </w:p>
          <w:p w14:paraId="520AD18C">
            <w:pPr>
              <w:pStyle w:val="32"/>
              <w:spacing w:beforeLines="0" w:afterLines="0" w:line="240" w:lineRule="auto"/>
              <w:rPr>
                <w:rFonts w:ascii="Times New Roman"/>
                <w:snapToGrid w:val="0"/>
                <w:kern w:val="21"/>
                <w:szCs w:val="21"/>
                <w:lang w:val="en-US"/>
              </w:rPr>
            </w:pPr>
            <w:r>
              <w:rPr>
                <w:rFonts w:hint="eastAsia" w:ascii="Times New Roman"/>
                <w:szCs w:val="21"/>
              </w:rPr>
              <w:t>（排环境</w:t>
            </w:r>
          </w:p>
        </w:tc>
        <w:tc>
          <w:tcPr>
            <w:tcW w:w="1418" w:type="dxa"/>
            <w:vAlign w:val="center"/>
          </w:tcPr>
          <w:p w14:paraId="520AD18D">
            <w:pPr>
              <w:pStyle w:val="32"/>
              <w:spacing w:beforeLines="0" w:afterLines="0" w:line="240" w:lineRule="auto"/>
              <w:rPr>
                <w:rFonts w:ascii="Times New Roman"/>
                <w:snapToGrid w:val="0"/>
                <w:kern w:val="21"/>
                <w:szCs w:val="21"/>
                <w:lang w:val="en-US"/>
              </w:rPr>
            </w:pPr>
            <w:r>
              <w:rPr>
                <w:rFonts w:hint="eastAsia" w:ascii="Times New Roman"/>
                <w:szCs w:val="21"/>
              </w:rPr>
              <w:t>废水量(m</w:t>
            </w:r>
            <w:r>
              <w:rPr>
                <w:rFonts w:hint="eastAsia" w:ascii="Times New Roman"/>
                <w:szCs w:val="21"/>
                <w:vertAlign w:val="superscript"/>
              </w:rPr>
              <w:t>3</w:t>
            </w:r>
            <w:r>
              <w:rPr>
                <w:rFonts w:hint="eastAsia" w:ascii="Times New Roman"/>
                <w:szCs w:val="21"/>
              </w:rPr>
              <w:t>/a)</w:t>
            </w:r>
          </w:p>
        </w:tc>
        <w:tc>
          <w:tcPr>
            <w:tcW w:w="1606" w:type="dxa"/>
            <w:vAlign w:val="center"/>
          </w:tcPr>
          <w:p w14:paraId="520AD18E">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51420.5</w:t>
            </w:r>
          </w:p>
        </w:tc>
        <w:tc>
          <w:tcPr>
            <w:tcW w:w="1607" w:type="dxa"/>
            <w:vAlign w:val="center"/>
          </w:tcPr>
          <w:p w14:paraId="520AD18F">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114545.5</w:t>
            </w:r>
          </w:p>
        </w:tc>
        <w:tc>
          <w:tcPr>
            <w:tcW w:w="1606" w:type="dxa"/>
            <w:vAlign w:val="center"/>
          </w:tcPr>
          <w:p w14:paraId="520AD190">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18</w:t>
            </w:r>
          </w:p>
        </w:tc>
        <w:tc>
          <w:tcPr>
            <w:tcW w:w="1607" w:type="dxa"/>
            <w:vAlign w:val="center"/>
          </w:tcPr>
          <w:p w14:paraId="520AD191">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192">
            <w:pPr>
              <w:pStyle w:val="32"/>
              <w:spacing w:beforeLines="0" w:afterLines="0" w:line="240" w:lineRule="auto"/>
              <w:rPr>
                <w:rFonts w:ascii="Times New Roman"/>
                <w:bCs/>
                <w:szCs w:val="21"/>
              </w:rPr>
            </w:pPr>
            <w:r>
              <w:rPr>
                <w:rFonts w:hint="eastAsia" w:ascii="Times New Roman"/>
                <w:bCs/>
                <w:szCs w:val="21"/>
              </w:rPr>
              <w:t>0</w:t>
            </w:r>
          </w:p>
        </w:tc>
        <w:tc>
          <w:tcPr>
            <w:tcW w:w="1607" w:type="dxa"/>
            <w:vAlign w:val="center"/>
          </w:tcPr>
          <w:p w14:paraId="520AD193">
            <w:pPr>
              <w:pStyle w:val="32"/>
              <w:spacing w:beforeLines="0" w:afterLines="0" w:line="240" w:lineRule="auto"/>
              <w:rPr>
                <w:rFonts w:ascii="Times New Roman" w:eastAsia="等线"/>
                <w:szCs w:val="21"/>
                <w:highlight w:val="yellow"/>
              </w:rPr>
            </w:pPr>
            <w:r>
              <w:rPr>
                <w:rFonts w:hint="eastAsia" w:ascii="Times New Roman"/>
                <w:bCs/>
                <w:szCs w:val="21"/>
              </w:rPr>
              <w:t>51438.5</w:t>
            </w:r>
          </w:p>
        </w:tc>
        <w:tc>
          <w:tcPr>
            <w:tcW w:w="1607" w:type="dxa"/>
            <w:vAlign w:val="center"/>
          </w:tcPr>
          <w:p w14:paraId="520AD194">
            <w:pPr>
              <w:pStyle w:val="32"/>
              <w:spacing w:beforeLines="0" w:afterLines="0" w:line="240" w:lineRule="auto"/>
              <w:rPr>
                <w:rFonts w:ascii="Times New Roman" w:eastAsia="等线"/>
                <w:szCs w:val="21"/>
                <w:highlight w:val="yellow"/>
              </w:rPr>
            </w:pPr>
            <w:r>
              <w:rPr>
                <w:rFonts w:hint="eastAsia" w:ascii="Times New Roman"/>
                <w:bCs/>
                <w:szCs w:val="21"/>
              </w:rPr>
              <w:t>0</w:t>
            </w:r>
          </w:p>
        </w:tc>
      </w:tr>
      <w:tr w14:paraId="520AD1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96">
            <w:pPr>
              <w:pStyle w:val="32"/>
              <w:spacing w:beforeLines="0" w:afterLines="0" w:line="240" w:lineRule="auto"/>
              <w:rPr>
                <w:rFonts w:ascii="Times New Roman"/>
                <w:snapToGrid w:val="0"/>
                <w:kern w:val="21"/>
                <w:szCs w:val="21"/>
                <w:lang w:val="en-US"/>
              </w:rPr>
            </w:pPr>
          </w:p>
        </w:tc>
        <w:tc>
          <w:tcPr>
            <w:tcW w:w="1418" w:type="dxa"/>
            <w:vAlign w:val="center"/>
          </w:tcPr>
          <w:p w14:paraId="520AD197">
            <w:pPr>
              <w:pStyle w:val="32"/>
              <w:spacing w:beforeLines="0" w:afterLines="0" w:line="240" w:lineRule="auto"/>
              <w:rPr>
                <w:rFonts w:ascii="Times New Roman"/>
                <w:snapToGrid w:val="0"/>
                <w:kern w:val="21"/>
                <w:szCs w:val="21"/>
                <w:lang w:val="en-US"/>
              </w:rPr>
            </w:pPr>
            <w:r>
              <w:rPr>
                <w:rFonts w:ascii="Times New Roman"/>
                <w:szCs w:val="21"/>
              </w:rPr>
              <w:t>COD</w:t>
            </w:r>
          </w:p>
        </w:tc>
        <w:tc>
          <w:tcPr>
            <w:tcW w:w="1606" w:type="dxa"/>
            <w:vAlign w:val="center"/>
          </w:tcPr>
          <w:p w14:paraId="520AD198">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2.571</w:t>
            </w:r>
          </w:p>
        </w:tc>
        <w:tc>
          <w:tcPr>
            <w:tcW w:w="1607" w:type="dxa"/>
            <w:vAlign w:val="center"/>
          </w:tcPr>
          <w:p w14:paraId="520AD199">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4.4734</w:t>
            </w:r>
          </w:p>
        </w:tc>
        <w:tc>
          <w:tcPr>
            <w:tcW w:w="1606" w:type="dxa"/>
            <w:vAlign w:val="center"/>
          </w:tcPr>
          <w:p w14:paraId="520AD19A">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0.0007</w:t>
            </w:r>
          </w:p>
        </w:tc>
        <w:tc>
          <w:tcPr>
            <w:tcW w:w="1607" w:type="dxa"/>
            <w:vAlign w:val="center"/>
          </w:tcPr>
          <w:p w14:paraId="520AD19B">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19C">
            <w:pPr>
              <w:pStyle w:val="32"/>
              <w:spacing w:beforeLines="0" w:afterLines="0" w:line="240" w:lineRule="auto"/>
              <w:rPr>
                <w:rFonts w:ascii="Times New Roman"/>
                <w:bCs/>
                <w:szCs w:val="21"/>
              </w:rPr>
            </w:pPr>
            <w:r>
              <w:rPr>
                <w:rFonts w:hint="eastAsia" w:ascii="Times New Roman"/>
                <w:bCs/>
                <w:szCs w:val="21"/>
              </w:rPr>
              <w:t>0</w:t>
            </w:r>
          </w:p>
        </w:tc>
        <w:tc>
          <w:tcPr>
            <w:tcW w:w="1607" w:type="dxa"/>
            <w:vAlign w:val="center"/>
          </w:tcPr>
          <w:p w14:paraId="520AD19D">
            <w:pPr>
              <w:pStyle w:val="32"/>
              <w:spacing w:beforeLines="0" w:afterLines="0" w:line="240" w:lineRule="auto"/>
              <w:rPr>
                <w:rFonts w:ascii="Times New Roman" w:eastAsia="等线"/>
                <w:szCs w:val="21"/>
                <w:highlight w:val="yellow"/>
              </w:rPr>
            </w:pPr>
            <w:r>
              <w:rPr>
                <w:rFonts w:hint="eastAsia" w:ascii="Times New Roman"/>
                <w:bCs/>
                <w:szCs w:val="21"/>
              </w:rPr>
              <w:t>2.5717</w:t>
            </w:r>
          </w:p>
        </w:tc>
        <w:tc>
          <w:tcPr>
            <w:tcW w:w="1607" w:type="dxa"/>
            <w:vAlign w:val="center"/>
          </w:tcPr>
          <w:p w14:paraId="520AD19E">
            <w:pPr>
              <w:pStyle w:val="32"/>
              <w:spacing w:beforeLines="0" w:afterLines="0" w:line="240" w:lineRule="auto"/>
              <w:rPr>
                <w:rFonts w:ascii="Times New Roman" w:eastAsia="等线"/>
                <w:szCs w:val="21"/>
                <w:highlight w:val="yellow"/>
              </w:rPr>
            </w:pPr>
            <w:r>
              <w:rPr>
                <w:rFonts w:hint="eastAsia" w:ascii="Times New Roman"/>
                <w:bCs/>
                <w:szCs w:val="21"/>
              </w:rPr>
              <w:t>0</w:t>
            </w:r>
          </w:p>
        </w:tc>
      </w:tr>
      <w:tr w14:paraId="520AD1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A0">
            <w:pPr>
              <w:pStyle w:val="32"/>
              <w:spacing w:beforeLines="0" w:afterLines="0" w:line="240" w:lineRule="auto"/>
              <w:rPr>
                <w:rFonts w:ascii="Times New Roman"/>
                <w:snapToGrid w:val="0"/>
                <w:kern w:val="21"/>
                <w:szCs w:val="21"/>
                <w:lang w:val="en-US"/>
              </w:rPr>
            </w:pPr>
          </w:p>
        </w:tc>
        <w:tc>
          <w:tcPr>
            <w:tcW w:w="1418" w:type="dxa"/>
            <w:vAlign w:val="center"/>
          </w:tcPr>
          <w:p w14:paraId="520AD1A1">
            <w:pPr>
              <w:pStyle w:val="32"/>
              <w:spacing w:beforeLines="0" w:afterLines="0" w:line="240" w:lineRule="auto"/>
              <w:rPr>
                <w:rFonts w:ascii="Times New Roman"/>
                <w:snapToGrid w:val="0"/>
                <w:kern w:val="21"/>
                <w:szCs w:val="21"/>
                <w:lang w:val="en-US"/>
              </w:rPr>
            </w:pPr>
            <w:r>
              <w:rPr>
                <w:rFonts w:ascii="Times New Roman"/>
                <w:szCs w:val="21"/>
              </w:rPr>
              <w:t>NH</w:t>
            </w:r>
            <w:r>
              <w:rPr>
                <w:rFonts w:ascii="Times New Roman"/>
                <w:szCs w:val="21"/>
                <w:vertAlign w:val="subscript"/>
              </w:rPr>
              <w:t>3</w:t>
            </w:r>
            <w:r>
              <w:rPr>
                <w:rFonts w:ascii="Times New Roman"/>
                <w:szCs w:val="21"/>
              </w:rPr>
              <w:t>-N</w:t>
            </w:r>
          </w:p>
        </w:tc>
        <w:tc>
          <w:tcPr>
            <w:tcW w:w="1606" w:type="dxa"/>
            <w:vAlign w:val="center"/>
          </w:tcPr>
          <w:p w14:paraId="520AD1A2">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0.2571</w:t>
            </w:r>
          </w:p>
        </w:tc>
        <w:tc>
          <w:tcPr>
            <w:tcW w:w="1607" w:type="dxa"/>
            <w:vAlign w:val="center"/>
          </w:tcPr>
          <w:p w14:paraId="520AD1A3">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0.5735</w:t>
            </w:r>
          </w:p>
        </w:tc>
        <w:tc>
          <w:tcPr>
            <w:tcW w:w="1606" w:type="dxa"/>
            <w:vAlign w:val="center"/>
          </w:tcPr>
          <w:p w14:paraId="520AD1A4">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0.0001</w:t>
            </w:r>
          </w:p>
        </w:tc>
        <w:tc>
          <w:tcPr>
            <w:tcW w:w="1607" w:type="dxa"/>
            <w:vAlign w:val="center"/>
          </w:tcPr>
          <w:p w14:paraId="520AD1A5">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1A6">
            <w:pPr>
              <w:pStyle w:val="32"/>
              <w:spacing w:beforeLines="0" w:afterLines="0" w:line="240" w:lineRule="auto"/>
              <w:rPr>
                <w:rFonts w:ascii="Times New Roman"/>
                <w:bCs/>
                <w:szCs w:val="21"/>
              </w:rPr>
            </w:pPr>
            <w:r>
              <w:rPr>
                <w:rFonts w:hint="eastAsia" w:ascii="Times New Roman"/>
                <w:bCs/>
                <w:szCs w:val="21"/>
              </w:rPr>
              <w:t>0</w:t>
            </w:r>
          </w:p>
        </w:tc>
        <w:tc>
          <w:tcPr>
            <w:tcW w:w="1607" w:type="dxa"/>
            <w:vAlign w:val="center"/>
          </w:tcPr>
          <w:p w14:paraId="520AD1A7">
            <w:pPr>
              <w:pStyle w:val="32"/>
              <w:spacing w:beforeLines="0" w:afterLines="0" w:line="240" w:lineRule="auto"/>
              <w:rPr>
                <w:rFonts w:ascii="Times New Roman" w:eastAsia="等线"/>
                <w:szCs w:val="21"/>
                <w:highlight w:val="yellow"/>
              </w:rPr>
            </w:pPr>
            <w:r>
              <w:rPr>
                <w:rFonts w:hint="eastAsia" w:ascii="Times New Roman"/>
                <w:bCs/>
                <w:szCs w:val="21"/>
              </w:rPr>
              <w:t>0.2572</w:t>
            </w:r>
          </w:p>
        </w:tc>
        <w:tc>
          <w:tcPr>
            <w:tcW w:w="1607" w:type="dxa"/>
            <w:vAlign w:val="center"/>
          </w:tcPr>
          <w:p w14:paraId="520AD1A8">
            <w:pPr>
              <w:pStyle w:val="32"/>
              <w:spacing w:beforeLines="0" w:afterLines="0" w:line="240" w:lineRule="auto"/>
              <w:rPr>
                <w:rFonts w:ascii="Times New Roman" w:eastAsia="等线"/>
                <w:szCs w:val="21"/>
                <w:highlight w:val="yellow"/>
              </w:rPr>
            </w:pPr>
            <w:r>
              <w:rPr>
                <w:rFonts w:hint="eastAsia" w:ascii="Times New Roman"/>
                <w:bCs/>
                <w:szCs w:val="21"/>
              </w:rPr>
              <w:t>0</w:t>
            </w:r>
          </w:p>
        </w:tc>
      </w:tr>
      <w:tr w14:paraId="520AD1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AA">
            <w:pPr>
              <w:pStyle w:val="32"/>
              <w:spacing w:beforeLines="0" w:afterLines="0" w:line="240" w:lineRule="auto"/>
              <w:rPr>
                <w:rFonts w:ascii="Times New Roman"/>
                <w:snapToGrid w:val="0"/>
                <w:kern w:val="21"/>
                <w:szCs w:val="21"/>
                <w:lang w:val="en-US"/>
              </w:rPr>
            </w:pPr>
          </w:p>
        </w:tc>
        <w:tc>
          <w:tcPr>
            <w:tcW w:w="1418" w:type="dxa"/>
            <w:vAlign w:val="center"/>
          </w:tcPr>
          <w:p w14:paraId="520AD1AB">
            <w:pPr>
              <w:pStyle w:val="32"/>
              <w:spacing w:beforeLines="0" w:afterLines="0" w:line="240" w:lineRule="auto"/>
              <w:rPr>
                <w:rFonts w:ascii="Times New Roman"/>
                <w:snapToGrid w:val="0"/>
                <w:kern w:val="21"/>
                <w:szCs w:val="21"/>
                <w:lang w:val="en-US"/>
              </w:rPr>
            </w:pPr>
            <w:r>
              <w:rPr>
                <w:rFonts w:ascii="Times New Roman"/>
                <w:szCs w:val="21"/>
              </w:rPr>
              <w:t>TP</w:t>
            </w:r>
          </w:p>
        </w:tc>
        <w:tc>
          <w:tcPr>
            <w:tcW w:w="1606" w:type="dxa"/>
            <w:vAlign w:val="center"/>
          </w:tcPr>
          <w:p w14:paraId="520AD1AC">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0.0257</w:t>
            </w:r>
          </w:p>
        </w:tc>
        <w:tc>
          <w:tcPr>
            <w:tcW w:w="1607" w:type="dxa"/>
            <w:vAlign w:val="center"/>
          </w:tcPr>
          <w:p w14:paraId="520AD1AD">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0.0401</w:t>
            </w:r>
          </w:p>
        </w:tc>
        <w:tc>
          <w:tcPr>
            <w:tcW w:w="1606" w:type="dxa"/>
            <w:vAlign w:val="center"/>
          </w:tcPr>
          <w:p w14:paraId="520AD1AE">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w:t>
            </w:r>
          </w:p>
        </w:tc>
        <w:tc>
          <w:tcPr>
            <w:tcW w:w="1607" w:type="dxa"/>
            <w:vAlign w:val="center"/>
          </w:tcPr>
          <w:p w14:paraId="520AD1AF">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1B0">
            <w:pPr>
              <w:pStyle w:val="32"/>
              <w:spacing w:beforeLines="0" w:afterLines="0" w:line="240" w:lineRule="auto"/>
              <w:rPr>
                <w:rFonts w:ascii="Times New Roman"/>
                <w:bCs/>
                <w:szCs w:val="21"/>
              </w:rPr>
            </w:pPr>
            <w:r>
              <w:rPr>
                <w:rFonts w:hint="eastAsia" w:ascii="Times New Roman"/>
                <w:bCs/>
                <w:szCs w:val="21"/>
              </w:rPr>
              <w:t>0</w:t>
            </w:r>
          </w:p>
        </w:tc>
        <w:tc>
          <w:tcPr>
            <w:tcW w:w="1607" w:type="dxa"/>
            <w:vAlign w:val="center"/>
          </w:tcPr>
          <w:p w14:paraId="520AD1B1">
            <w:pPr>
              <w:pStyle w:val="32"/>
              <w:spacing w:beforeLines="0" w:afterLines="0" w:line="240" w:lineRule="auto"/>
              <w:rPr>
                <w:rFonts w:ascii="Times New Roman" w:eastAsia="等线"/>
                <w:szCs w:val="21"/>
                <w:highlight w:val="yellow"/>
              </w:rPr>
            </w:pPr>
            <w:r>
              <w:rPr>
                <w:rFonts w:hint="eastAsia" w:ascii="Times New Roman"/>
                <w:bCs/>
                <w:szCs w:val="21"/>
              </w:rPr>
              <w:t>0.0257</w:t>
            </w:r>
          </w:p>
        </w:tc>
        <w:tc>
          <w:tcPr>
            <w:tcW w:w="1607" w:type="dxa"/>
            <w:vAlign w:val="center"/>
          </w:tcPr>
          <w:p w14:paraId="520AD1B2">
            <w:pPr>
              <w:pStyle w:val="32"/>
              <w:spacing w:beforeLines="0" w:afterLines="0" w:line="240" w:lineRule="auto"/>
              <w:rPr>
                <w:rFonts w:ascii="Times New Roman" w:eastAsia="等线"/>
                <w:szCs w:val="21"/>
                <w:highlight w:val="yellow"/>
              </w:rPr>
            </w:pPr>
            <w:r>
              <w:rPr>
                <w:rFonts w:hint="eastAsia" w:ascii="Times New Roman"/>
                <w:bCs/>
                <w:szCs w:val="21"/>
              </w:rPr>
              <w:t>0</w:t>
            </w:r>
          </w:p>
        </w:tc>
      </w:tr>
      <w:tr w14:paraId="520AD1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B4">
            <w:pPr>
              <w:pStyle w:val="32"/>
              <w:spacing w:beforeLines="0" w:afterLines="0" w:line="240" w:lineRule="auto"/>
              <w:rPr>
                <w:rFonts w:ascii="Times New Roman"/>
                <w:snapToGrid w:val="0"/>
                <w:kern w:val="21"/>
                <w:szCs w:val="21"/>
                <w:lang w:val="en-US"/>
              </w:rPr>
            </w:pPr>
          </w:p>
        </w:tc>
        <w:tc>
          <w:tcPr>
            <w:tcW w:w="1418" w:type="dxa"/>
            <w:vAlign w:val="center"/>
          </w:tcPr>
          <w:p w14:paraId="520AD1B5">
            <w:pPr>
              <w:pStyle w:val="32"/>
              <w:spacing w:beforeLines="0" w:afterLines="0" w:line="240" w:lineRule="auto"/>
              <w:rPr>
                <w:rFonts w:ascii="Times New Roman"/>
                <w:snapToGrid w:val="0"/>
                <w:kern w:val="21"/>
                <w:szCs w:val="21"/>
                <w:lang w:val="en-US"/>
              </w:rPr>
            </w:pPr>
            <w:r>
              <w:rPr>
                <w:rFonts w:ascii="Times New Roman"/>
                <w:szCs w:val="21"/>
              </w:rPr>
              <w:t>TN</w:t>
            </w:r>
          </w:p>
        </w:tc>
        <w:tc>
          <w:tcPr>
            <w:tcW w:w="1606" w:type="dxa"/>
            <w:vAlign w:val="center"/>
          </w:tcPr>
          <w:p w14:paraId="520AD1B6">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0.7713</w:t>
            </w:r>
          </w:p>
        </w:tc>
        <w:tc>
          <w:tcPr>
            <w:tcW w:w="1607" w:type="dxa"/>
            <w:vAlign w:val="center"/>
          </w:tcPr>
          <w:p w14:paraId="520AD1B7">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1.4567</w:t>
            </w:r>
          </w:p>
        </w:tc>
        <w:tc>
          <w:tcPr>
            <w:tcW w:w="1606" w:type="dxa"/>
            <w:vAlign w:val="center"/>
          </w:tcPr>
          <w:p w14:paraId="520AD1B8">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0.0002</w:t>
            </w:r>
          </w:p>
        </w:tc>
        <w:tc>
          <w:tcPr>
            <w:tcW w:w="1607" w:type="dxa"/>
            <w:vAlign w:val="center"/>
          </w:tcPr>
          <w:p w14:paraId="520AD1B9">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1BA">
            <w:pPr>
              <w:pStyle w:val="32"/>
              <w:spacing w:beforeLines="0" w:afterLines="0" w:line="240" w:lineRule="auto"/>
              <w:rPr>
                <w:rFonts w:ascii="Times New Roman"/>
                <w:bCs/>
                <w:szCs w:val="21"/>
              </w:rPr>
            </w:pPr>
            <w:r>
              <w:rPr>
                <w:rFonts w:hint="eastAsia" w:ascii="Times New Roman"/>
                <w:bCs/>
                <w:szCs w:val="21"/>
              </w:rPr>
              <w:t>0</w:t>
            </w:r>
          </w:p>
        </w:tc>
        <w:tc>
          <w:tcPr>
            <w:tcW w:w="1607" w:type="dxa"/>
            <w:vAlign w:val="center"/>
          </w:tcPr>
          <w:p w14:paraId="520AD1BB">
            <w:pPr>
              <w:pStyle w:val="32"/>
              <w:spacing w:beforeLines="0" w:afterLines="0" w:line="240" w:lineRule="auto"/>
              <w:rPr>
                <w:rFonts w:ascii="Times New Roman" w:eastAsia="等线"/>
                <w:szCs w:val="21"/>
                <w:highlight w:val="yellow"/>
              </w:rPr>
            </w:pPr>
            <w:r>
              <w:rPr>
                <w:rFonts w:hint="eastAsia" w:ascii="Times New Roman"/>
                <w:bCs/>
                <w:szCs w:val="21"/>
              </w:rPr>
              <w:t>0.7715</w:t>
            </w:r>
          </w:p>
        </w:tc>
        <w:tc>
          <w:tcPr>
            <w:tcW w:w="1607" w:type="dxa"/>
            <w:vAlign w:val="center"/>
          </w:tcPr>
          <w:p w14:paraId="520AD1BC">
            <w:pPr>
              <w:pStyle w:val="32"/>
              <w:spacing w:beforeLines="0" w:afterLines="0" w:line="240" w:lineRule="auto"/>
              <w:rPr>
                <w:rFonts w:ascii="Times New Roman" w:eastAsia="等线"/>
                <w:szCs w:val="21"/>
                <w:highlight w:val="yellow"/>
              </w:rPr>
            </w:pPr>
            <w:r>
              <w:rPr>
                <w:rFonts w:hint="eastAsia" w:ascii="Times New Roman"/>
                <w:bCs/>
                <w:szCs w:val="21"/>
              </w:rPr>
              <w:t>0</w:t>
            </w:r>
          </w:p>
        </w:tc>
      </w:tr>
      <w:tr w14:paraId="520AD1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restart"/>
            <w:vAlign w:val="center"/>
          </w:tcPr>
          <w:p w14:paraId="520AD1BE">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一般工业</w:t>
            </w:r>
          </w:p>
          <w:p w14:paraId="520AD1BF">
            <w:pPr>
              <w:pStyle w:val="32"/>
              <w:spacing w:beforeLines="0" w:afterLines="0" w:line="240" w:lineRule="auto"/>
              <w:rPr>
                <w:rFonts w:ascii="Times New Roman"/>
                <w:snapToGrid w:val="0"/>
                <w:kern w:val="21"/>
                <w:szCs w:val="21"/>
                <w:lang w:val="en-US"/>
              </w:rPr>
            </w:pPr>
            <w:r>
              <w:rPr>
                <w:rFonts w:ascii="Times New Roman"/>
                <w:snapToGrid w:val="0"/>
                <w:kern w:val="21"/>
                <w:szCs w:val="21"/>
                <w:lang w:val="en-US"/>
              </w:rPr>
              <w:t>固体废物</w:t>
            </w:r>
          </w:p>
        </w:tc>
        <w:tc>
          <w:tcPr>
            <w:tcW w:w="1418" w:type="dxa"/>
            <w:vAlign w:val="center"/>
          </w:tcPr>
          <w:p w14:paraId="520AD1C0">
            <w:pPr>
              <w:pStyle w:val="32"/>
              <w:spacing w:beforeLines="0" w:afterLines="0" w:line="240" w:lineRule="auto"/>
              <w:rPr>
                <w:rFonts w:ascii="Times New Roman"/>
                <w:snapToGrid w:val="0"/>
                <w:kern w:val="21"/>
                <w:szCs w:val="21"/>
                <w:lang w:val="en-US"/>
              </w:rPr>
            </w:pPr>
            <w:r>
              <w:rPr>
                <w:rFonts w:hint="eastAsia"/>
                <w:szCs w:val="21"/>
              </w:rPr>
              <w:t>废金属屑</w:t>
            </w:r>
          </w:p>
        </w:tc>
        <w:tc>
          <w:tcPr>
            <w:tcW w:w="1606" w:type="dxa"/>
            <w:vAlign w:val="center"/>
          </w:tcPr>
          <w:p w14:paraId="520AD1C1">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41</w:t>
            </w:r>
          </w:p>
        </w:tc>
        <w:tc>
          <w:tcPr>
            <w:tcW w:w="1607" w:type="dxa"/>
            <w:vAlign w:val="center"/>
          </w:tcPr>
          <w:p w14:paraId="520AD1C2">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1C3">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1C4">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1C5">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1C6">
            <w:pPr>
              <w:pStyle w:val="32"/>
              <w:spacing w:beforeLines="0" w:afterLines="0" w:line="240" w:lineRule="auto"/>
              <w:rPr>
                <w:rFonts w:ascii="Times New Roman" w:eastAsia="等线"/>
                <w:szCs w:val="21"/>
              </w:rPr>
            </w:pPr>
            <w:r>
              <w:rPr>
                <w:rFonts w:hint="eastAsia" w:ascii="Times New Roman" w:eastAsia="等线"/>
                <w:szCs w:val="21"/>
              </w:rPr>
              <w:t>41</w:t>
            </w:r>
          </w:p>
        </w:tc>
        <w:tc>
          <w:tcPr>
            <w:tcW w:w="1607" w:type="dxa"/>
            <w:vAlign w:val="center"/>
          </w:tcPr>
          <w:p w14:paraId="520AD1C7">
            <w:pPr>
              <w:pStyle w:val="32"/>
              <w:spacing w:beforeLines="0" w:afterLines="0" w:line="240" w:lineRule="auto"/>
              <w:rPr>
                <w:rFonts w:ascii="Times New Roman" w:eastAsia="等线"/>
                <w:szCs w:val="21"/>
              </w:rPr>
            </w:pPr>
            <w:r>
              <w:rPr>
                <w:rFonts w:hint="eastAsia" w:ascii="Times New Roman" w:eastAsia="等线"/>
                <w:szCs w:val="21"/>
              </w:rPr>
              <w:t>0</w:t>
            </w:r>
          </w:p>
        </w:tc>
      </w:tr>
      <w:tr w14:paraId="520AD1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C9">
            <w:pPr>
              <w:pStyle w:val="32"/>
              <w:spacing w:beforeLines="0" w:afterLines="0" w:line="240" w:lineRule="auto"/>
              <w:rPr>
                <w:rFonts w:ascii="Times New Roman"/>
                <w:snapToGrid w:val="0"/>
                <w:kern w:val="21"/>
                <w:szCs w:val="21"/>
                <w:lang w:val="en-US"/>
              </w:rPr>
            </w:pPr>
          </w:p>
        </w:tc>
        <w:tc>
          <w:tcPr>
            <w:tcW w:w="1418" w:type="dxa"/>
            <w:vAlign w:val="center"/>
          </w:tcPr>
          <w:p w14:paraId="520AD1CA">
            <w:pPr>
              <w:pStyle w:val="32"/>
              <w:spacing w:beforeLines="0" w:afterLines="0" w:line="240" w:lineRule="auto"/>
              <w:rPr>
                <w:szCs w:val="21"/>
              </w:rPr>
            </w:pPr>
            <w:r>
              <w:rPr>
                <w:rFonts w:hint="eastAsia"/>
                <w:szCs w:val="21"/>
              </w:rPr>
              <w:t>除尘器收集粉尘</w:t>
            </w:r>
          </w:p>
        </w:tc>
        <w:tc>
          <w:tcPr>
            <w:tcW w:w="1606" w:type="dxa"/>
            <w:vAlign w:val="center"/>
          </w:tcPr>
          <w:p w14:paraId="520AD1CB">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1CC">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1CD">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0.3505</w:t>
            </w:r>
          </w:p>
        </w:tc>
        <w:tc>
          <w:tcPr>
            <w:tcW w:w="1607" w:type="dxa"/>
            <w:vAlign w:val="center"/>
          </w:tcPr>
          <w:p w14:paraId="520AD1CE">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1CF">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1D0">
            <w:pPr>
              <w:pStyle w:val="32"/>
              <w:spacing w:beforeLines="0" w:afterLines="0" w:line="240" w:lineRule="auto"/>
              <w:rPr>
                <w:rFonts w:ascii="Times New Roman" w:eastAsia="等线"/>
                <w:szCs w:val="21"/>
              </w:rPr>
            </w:pPr>
            <w:r>
              <w:rPr>
                <w:rFonts w:hint="eastAsia" w:ascii="Times New Roman" w:eastAsia="等线"/>
                <w:szCs w:val="21"/>
              </w:rPr>
              <w:t>0.3505</w:t>
            </w:r>
          </w:p>
        </w:tc>
        <w:tc>
          <w:tcPr>
            <w:tcW w:w="1607" w:type="dxa"/>
            <w:vAlign w:val="center"/>
          </w:tcPr>
          <w:p w14:paraId="520AD1D1">
            <w:pPr>
              <w:pStyle w:val="32"/>
              <w:spacing w:beforeLines="0" w:afterLines="0" w:line="240" w:lineRule="auto"/>
              <w:rPr>
                <w:rFonts w:ascii="Times New Roman" w:eastAsia="等线"/>
                <w:szCs w:val="21"/>
              </w:rPr>
            </w:pPr>
            <w:r>
              <w:rPr>
                <w:rFonts w:hint="eastAsia" w:ascii="Times New Roman" w:eastAsia="等线"/>
                <w:szCs w:val="21"/>
              </w:rPr>
              <w:t>0</w:t>
            </w:r>
          </w:p>
        </w:tc>
      </w:tr>
      <w:tr w14:paraId="520AD1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restart"/>
            <w:vAlign w:val="center"/>
          </w:tcPr>
          <w:p w14:paraId="520AD1D3">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危险废物</w:t>
            </w:r>
          </w:p>
        </w:tc>
        <w:tc>
          <w:tcPr>
            <w:tcW w:w="1418" w:type="dxa"/>
            <w:vAlign w:val="center"/>
          </w:tcPr>
          <w:p w14:paraId="520AD1D4">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废矿物油</w:t>
            </w:r>
          </w:p>
        </w:tc>
        <w:tc>
          <w:tcPr>
            <w:tcW w:w="1606" w:type="dxa"/>
            <w:vAlign w:val="center"/>
          </w:tcPr>
          <w:p w14:paraId="520AD1D5">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72.46</w:t>
            </w:r>
          </w:p>
        </w:tc>
        <w:tc>
          <w:tcPr>
            <w:tcW w:w="1607" w:type="dxa"/>
            <w:vAlign w:val="center"/>
          </w:tcPr>
          <w:p w14:paraId="520AD1D6">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1D7">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10.675</w:t>
            </w:r>
          </w:p>
        </w:tc>
        <w:tc>
          <w:tcPr>
            <w:tcW w:w="1607" w:type="dxa"/>
            <w:vAlign w:val="center"/>
          </w:tcPr>
          <w:p w14:paraId="520AD1D8">
            <w:pPr>
              <w:pStyle w:val="32"/>
              <w:spacing w:beforeLines="0" w:afterLines="0" w:line="240" w:lineRule="auto"/>
              <w:rPr>
                <w:rFonts w:ascii="Times New Roman"/>
                <w:bCs/>
                <w:szCs w:val="21"/>
                <w:highlight w:val="yellow"/>
              </w:rPr>
            </w:pPr>
            <w:r>
              <w:rPr>
                <w:rFonts w:hint="eastAsia" w:ascii="Times New Roman"/>
                <w:bCs/>
                <w:szCs w:val="21"/>
              </w:rPr>
              <w:t>0.085</w:t>
            </w:r>
          </w:p>
        </w:tc>
        <w:tc>
          <w:tcPr>
            <w:tcW w:w="1606" w:type="dxa"/>
            <w:vAlign w:val="center"/>
          </w:tcPr>
          <w:p w14:paraId="520AD1D9">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1DA">
            <w:pPr>
              <w:pStyle w:val="32"/>
              <w:spacing w:beforeLines="0" w:afterLines="0" w:line="240" w:lineRule="auto"/>
              <w:rPr>
                <w:rFonts w:ascii="Times New Roman" w:eastAsia="等线"/>
                <w:szCs w:val="21"/>
              </w:rPr>
            </w:pPr>
            <w:r>
              <w:rPr>
                <w:rFonts w:hint="eastAsia" w:ascii="Times New Roman" w:eastAsia="等线"/>
                <w:szCs w:val="21"/>
              </w:rPr>
              <w:t>83.22</w:t>
            </w:r>
          </w:p>
        </w:tc>
        <w:tc>
          <w:tcPr>
            <w:tcW w:w="1607" w:type="dxa"/>
            <w:vAlign w:val="center"/>
          </w:tcPr>
          <w:p w14:paraId="520AD1DB">
            <w:pPr>
              <w:pStyle w:val="32"/>
              <w:spacing w:beforeLines="0" w:afterLines="0" w:line="240" w:lineRule="auto"/>
              <w:rPr>
                <w:rFonts w:ascii="Times New Roman" w:eastAsia="等线"/>
                <w:szCs w:val="21"/>
              </w:rPr>
            </w:pPr>
            <w:r>
              <w:rPr>
                <w:rFonts w:hint="eastAsia" w:ascii="Times New Roman" w:eastAsia="等线"/>
                <w:szCs w:val="21"/>
              </w:rPr>
              <w:t>+0.085</w:t>
            </w:r>
          </w:p>
        </w:tc>
      </w:tr>
      <w:tr w14:paraId="520AD1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DD">
            <w:pPr>
              <w:pStyle w:val="32"/>
              <w:spacing w:beforeLines="0" w:afterLines="0" w:line="240" w:lineRule="auto"/>
              <w:rPr>
                <w:rFonts w:ascii="Times New Roman"/>
                <w:snapToGrid w:val="0"/>
                <w:kern w:val="21"/>
                <w:szCs w:val="21"/>
                <w:lang w:val="en-US"/>
              </w:rPr>
            </w:pPr>
          </w:p>
        </w:tc>
        <w:tc>
          <w:tcPr>
            <w:tcW w:w="1418" w:type="dxa"/>
            <w:vAlign w:val="center"/>
          </w:tcPr>
          <w:p w14:paraId="520AD1DE">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废乳化液</w:t>
            </w:r>
          </w:p>
        </w:tc>
        <w:tc>
          <w:tcPr>
            <w:tcW w:w="1606" w:type="dxa"/>
            <w:vAlign w:val="center"/>
          </w:tcPr>
          <w:p w14:paraId="520AD1DF">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52.46</w:t>
            </w:r>
          </w:p>
        </w:tc>
        <w:tc>
          <w:tcPr>
            <w:tcW w:w="1607" w:type="dxa"/>
            <w:vAlign w:val="center"/>
          </w:tcPr>
          <w:p w14:paraId="520AD1E0">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1E1">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1E2">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1E3">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1E4">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52.46</w:t>
            </w:r>
          </w:p>
        </w:tc>
        <w:tc>
          <w:tcPr>
            <w:tcW w:w="1607" w:type="dxa"/>
            <w:vAlign w:val="center"/>
          </w:tcPr>
          <w:p w14:paraId="520AD1E5">
            <w:pPr>
              <w:pStyle w:val="32"/>
              <w:spacing w:beforeLines="0" w:afterLines="0" w:line="240" w:lineRule="auto"/>
              <w:rPr>
                <w:rFonts w:ascii="Times New Roman" w:eastAsia="等线"/>
                <w:szCs w:val="21"/>
              </w:rPr>
            </w:pPr>
            <w:r>
              <w:rPr>
                <w:rFonts w:hint="eastAsia" w:ascii="Times New Roman" w:eastAsia="等线"/>
                <w:szCs w:val="21"/>
              </w:rPr>
              <w:t>0</w:t>
            </w:r>
          </w:p>
        </w:tc>
      </w:tr>
      <w:tr w14:paraId="520AD1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E7">
            <w:pPr>
              <w:pStyle w:val="32"/>
              <w:spacing w:beforeLines="0" w:afterLines="0" w:line="240" w:lineRule="auto"/>
              <w:rPr>
                <w:rFonts w:ascii="Times New Roman"/>
                <w:snapToGrid w:val="0"/>
                <w:kern w:val="21"/>
                <w:szCs w:val="21"/>
                <w:lang w:val="en-US"/>
              </w:rPr>
            </w:pPr>
          </w:p>
        </w:tc>
        <w:tc>
          <w:tcPr>
            <w:tcW w:w="1418" w:type="dxa"/>
            <w:vAlign w:val="center"/>
          </w:tcPr>
          <w:p w14:paraId="520AD1E8">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含硌废液</w:t>
            </w:r>
          </w:p>
        </w:tc>
        <w:tc>
          <w:tcPr>
            <w:tcW w:w="1606" w:type="dxa"/>
            <w:vAlign w:val="center"/>
          </w:tcPr>
          <w:p w14:paraId="520AD1E9">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26.91</w:t>
            </w:r>
          </w:p>
        </w:tc>
        <w:tc>
          <w:tcPr>
            <w:tcW w:w="1607" w:type="dxa"/>
            <w:vAlign w:val="center"/>
          </w:tcPr>
          <w:p w14:paraId="520AD1EA">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1EB">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1EC">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1ED">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1EE">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26.91</w:t>
            </w:r>
          </w:p>
        </w:tc>
        <w:tc>
          <w:tcPr>
            <w:tcW w:w="1607" w:type="dxa"/>
            <w:vAlign w:val="center"/>
          </w:tcPr>
          <w:p w14:paraId="520AD1EF">
            <w:pPr>
              <w:pStyle w:val="32"/>
              <w:spacing w:beforeLines="0" w:afterLines="0" w:line="240" w:lineRule="auto"/>
              <w:rPr>
                <w:rFonts w:ascii="Times New Roman" w:eastAsia="等线"/>
                <w:szCs w:val="21"/>
              </w:rPr>
            </w:pPr>
            <w:r>
              <w:rPr>
                <w:rFonts w:hint="eastAsia" w:ascii="Times New Roman" w:eastAsia="等线"/>
                <w:szCs w:val="21"/>
              </w:rPr>
              <w:t>0</w:t>
            </w:r>
          </w:p>
        </w:tc>
      </w:tr>
      <w:tr w14:paraId="520AD1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F1">
            <w:pPr>
              <w:pStyle w:val="32"/>
              <w:spacing w:beforeLines="0" w:afterLines="0" w:line="240" w:lineRule="auto"/>
              <w:rPr>
                <w:rFonts w:ascii="Times New Roman"/>
                <w:snapToGrid w:val="0"/>
                <w:kern w:val="21"/>
                <w:szCs w:val="21"/>
                <w:lang w:val="en-US"/>
              </w:rPr>
            </w:pPr>
          </w:p>
        </w:tc>
        <w:tc>
          <w:tcPr>
            <w:tcW w:w="1418" w:type="dxa"/>
            <w:vAlign w:val="center"/>
          </w:tcPr>
          <w:p w14:paraId="520AD1F2">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含镍废液</w:t>
            </w:r>
          </w:p>
        </w:tc>
        <w:tc>
          <w:tcPr>
            <w:tcW w:w="1606" w:type="dxa"/>
            <w:vAlign w:val="center"/>
          </w:tcPr>
          <w:p w14:paraId="520AD1F3">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43.28</w:t>
            </w:r>
          </w:p>
        </w:tc>
        <w:tc>
          <w:tcPr>
            <w:tcW w:w="1607" w:type="dxa"/>
            <w:vAlign w:val="center"/>
          </w:tcPr>
          <w:p w14:paraId="520AD1F4">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1F5">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1F6">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1F7">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1F8">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43.28</w:t>
            </w:r>
          </w:p>
        </w:tc>
        <w:tc>
          <w:tcPr>
            <w:tcW w:w="1607" w:type="dxa"/>
            <w:vAlign w:val="center"/>
          </w:tcPr>
          <w:p w14:paraId="520AD1F9">
            <w:pPr>
              <w:pStyle w:val="32"/>
              <w:spacing w:beforeLines="0" w:afterLines="0" w:line="240" w:lineRule="auto"/>
              <w:rPr>
                <w:rFonts w:ascii="Times New Roman" w:eastAsia="等线"/>
                <w:szCs w:val="21"/>
              </w:rPr>
            </w:pPr>
            <w:r>
              <w:rPr>
                <w:rFonts w:hint="eastAsia" w:ascii="Times New Roman" w:eastAsia="等线"/>
                <w:szCs w:val="21"/>
              </w:rPr>
              <w:t>0</w:t>
            </w:r>
          </w:p>
        </w:tc>
      </w:tr>
      <w:tr w14:paraId="520AD2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1FB">
            <w:pPr>
              <w:pStyle w:val="32"/>
              <w:spacing w:beforeLines="0" w:afterLines="0" w:line="240" w:lineRule="auto"/>
              <w:rPr>
                <w:rFonts w:ascii="Times New Roman"/>
                <w:snapToGrid w:val="0"/>
                <w:kern w:val="21"/>
                <w:szCs w:val="21"/>
                <w:lang w:val="en-US"/>
              </w:rPr>
            </w:pPr>
          </w:p>
        </w:tc>
        <w:tc>
          <w:tcPr>
            <w:tcW w:w="1418" w:type="dxa"/>
            <w:vAlign w:val="center"/>
          </w:tcPr>
          <w:p w14:paraId="520AD1FC">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表面处理废液</w:t>
            </w:r>
          </w:p>
        </w:tc>
        <w:tc>
          <w:tcPr>
            <w:tcW w:w="1606" w:type="dxa"/>
            <w:vAlign w:val="center"/>
          </w:tcPr>
          <w:p w14:paraId="520AD1FD">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84.22</w:t>
            </w:r>
          </w:p>
        </w:tc>
        <w:tc>
          <w:tcPr>
            <w:tcW w:w="1607" w:type="dxa"/>
            <w:vAlign w:val="center"/>
          </w:tcPr>
          <w:p w14:paraId="520AD1FE">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1FF">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200">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01">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02">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84.22</w:t>
            </w:r>
          </w:p>
        </w:tc>
        <w:tc>
          <w:tcPr>
            <w:tcW w:w="1607" w:type="dxa"/>
            <w:vAlign w:val="center"/>
          </w:tcPr>
          <w:p w14:paraId="520AD203">
            <w:pPr>
              <w:pStyle w:val="32"/>
              <w:spacing w:beforeLines="0" w:afterLines="0" w:line="240" w:lineRule="auto"/>
              <w:rPr>
                <w:rFonts w:ascii="Times New Roman" w:eastAsia="等线"/>
                <w:szCs w:val="21"/>
              </w:rPr>
            </w:pPr>
            <w:r>
              <w:rPr>
                <w:rFonts w:hint="eastAsia" w:ascii="Times New Roman" w:eastAsia="等线"/>
                <w:szCs w:val="21"/>
              </w:rPr>
              <w:t>0</w:t>
            </w:r>
          </w:p>
        </w:tc>
      </w:tr>
      <w:tr w14:paraId="520AD2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205">
            <w:pPr>
              <w:pStyle w:val="32"/>
              <w:spacing w:beforeLines="0" w:afterLines="0" w:line="240" w:lineRule="auto"/>
              <w:rPr>
                <w:rFonts w:ascii="Times New Roman"/>
                <w:snapToGrid w:val="0"/>
                <w:kern w:val="21"/>
                <w:szCs w:val="21"/>
                <w:lang w:val="en-US"/>
              </w:rPr>
            </w:pPr>
          </w:p>
        </w:tc>
        <w:tc>
          <w:tcPr>
            <w:tcW w:w="1418" w:type="dxa"/>
            <w:vAlign w:val="center"/>
          </w:tcPr>
          <w:p w14:paraId="520AD206">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涂料废物</w:t>
            </w:r>
          </w:p>
        </w:tc>
        <w:tc>
          <w:tcPr>
            <w:tcW w:w="1606" w:type="dxa"/>
            <w:vAlign w:val="center"/>
          </w:tcPr>
          <w:p w14:paraId="520AD207">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12.14</w:t>
            </w:r>
          </w:p>
        </w:tc>
        <w:tc>
          <w:tcPr>
            <w:tcW w:w="1607" w:type="dxa"/>
            <w:vAlign w:val="center"/>
          </w:tcPr>
          <w:p w14:paraId="520AD208">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209">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20A">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0B">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0C">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12.14</w:t>
            </w:r>
          </w:p>
        </w:tc>
        <w:tc>
          <w:tcPr>
            <w:tcW w:w="1607" w:type="dxa"/>
            <w:vAlign w:val="center"/>
          </w:tcPr>
          <w:p w14:paraId="520AD20D">
            <w:pPr>
              <w:pStyle w:val="32"/>
              <w:spacing w:beforeLines="0" w:afterLines="0" w:line="240" w:lineRule="auto"/>
              <w:rPr>
                <w:rFonts w:ascii="Times New Roman" w:eastAsia="等线"/>
                <w:szCs w:val="21"/>
              </w:rPr>
            </w:pPr>
            <w:r>
              <w:rPr>
                <w:rFonts w:hint="eastAsia" w:ascii="Times New Roman" w:eastAsia="等线"/>
                <w:szCs w:val="21"/>
              </w:rPr>
              <w:t>0</w:t>
            </w:r>
          </w:p>
        </w:tc>
      </w:tr>
      <w:tr w14:paraId="520AD2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20F">
            <w:pPr>
              <w:pStyle w:val="32"/>
              <w:spacing w:beforeLines="0" w:afterLines="0" w:line="240" w:lineRule="auto"/>
              <w:rPr>
                <w:rFonts w:ascii="Times New Roman"/>
                <w:snapToGrid w:val="0"/>
                <w:kern w:val="21"/>
                <w:szCs w:val="21"/>
                <w:lang w:val="en-US"/>
              </w:rPr>
            </w:pPr>
          </w:p>
        </w:tc>
        <w:tc>
          <w:tcPr>
            <w:tcW w:w="1418" w:type="dxa"/>
            <w:vAlign w:val="center"/>
          </w:tcPr>
          <w:p w14:paraId="520AD210">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含铬污泥</w:t>
            </w:r>
          </w:p>
        </w:tc>
        <w:tc>
          <w:tcPr>
            <w:tcW w:w="1606" w:type="dxa"/>
            <w:vAlign w:val="center"/>
          </w:tcPr>
          <w:p w14:paraId="520AD211">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28.58</w:t>
            </w:r>
          </w:p>
        </w:tc>
        <w:tc>
          <w:tcPr>
            <w:tcW w:w="1607" w:type="dxa"/>
            <w:vAlign w:val="center"/>
          </w:tcPr>
          <w:p w14:paraId="520AD212">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213">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214">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15">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16">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28.58</w:t>
            </w:r>
          </w:p>
        </w:tc>
        <w:tc>
          <w:tcPr>
            <w:tcW w:w="1607" w:type="dxa"/>
            <w:vAlign w:val="center"/>
          </w:tcPr>
          <w:p w14:paraId="520AD217">
            <w:pPr>
              <w:pStyle w:val="32"/>
              <w:spacing w:beforeLines="0" w:afterLines="0" w:line="240" w:lineRule="auto"/>
              <w:rPr>
                <w:rFonts w:ascii="Times New Roman" w:eastAsia="等线"/>
                <w:szCs w:val="21"/>
              </w:rPr>
            </w:pPr>
            <w:r>
              <w:rPr>
                <w:rFonts w:hint="eastAsia" w:ascii="Times New Roman" w:eastAsia="等线"/>
                <w:szCs w:val="21"/>
              </w:rPr>
              <w:t>0</w:t>
            </w:r>
          </w:p>
        </w:tc>
      </w:tr>
      <w:tr w14:paraId="520AD2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219">
            <w:pPr>
              <w:pStyle w:val="32"/>
              <w:spacing w:beforeLines="0" w:afterLines="0" w:line="240" w:lineRule="auto"/>
              <w:rPr>
                <w:rFonts w:ascii="Times New Roman"/>
                <w:snapToGrid w:val="0"/>
                <w:kern w:val="21"/>
                <w:szCs w:val="21"/>
                <w:lang w:val="en-US"/>
              </w:rPr>
            </w:pPr>
          </w:p>
        </w:tc>
        <w:tc>
          <w:tcPr>
            <w:tcW w:w="1418" w:type="dxa"/>
            <w:vAlign w:val="center"/>
          </w:tcPr>
          <w:p w14:paraId="520AD21A">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废弃包装物</w:t>
            </w:r>
          </w:p>
        </w:tc>
        <w:tc>
          <w:tcPr>
            <w:tcW w:w="1606" w:type="dxa"/>
            <w:vAlign w:val="center"/>
          </w:tcPr>
          <w:p w14:paraId="520AD21B">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29.46</w:t>
            </w:r>
          </w:p>
        </w:tc>
        <w:tc>
          <w:tcPr>
            <w:tcW w:w="1607" w:type="dxa"/>
            <w:vAlign w:val="center"/>
          </w:tcPr>
          <w:p w14:paraId="520AD21C">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21D">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21E">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1F">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20">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29.46</w:t>
            </w:r>
          </w:p>
        </w:tc>
        <w:tc>
          <w:tcPr>
            <w:tcW w:w="1607" w:type="dxa"/>
            <w:vAlign w:val="center"/>
          </w:tcPr>
          <w:p w14:paraId="520AD221">
            <w:pPr>
              <w:pStyle w:val="32"/>
              <w:spacing w:beforeLines="0" w:afterLines="0" w:line="240" w:lineRule="auto"/>
              <w:rPr>
                <w:rFonts w:ascii="Times New Roman" w:eastAsia="等线"/>
                <w:szCs w:val="21"/>
              </w:rPr>
            </w:pPr>
            <w:r>
              <w:rPr>
                <w:rFonts w:hint="eastAsia" w:ascii="Times New Roman" w:eastAsia="等线"/>
                <w:szCs w:val="21"/>
              </w:rPr>
              <w:t>0</w:t>
            </w:r>
          </w:p>
        </w:tc>
      </w:tr>
      <w:tr w14:paraId="520AD2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223">
            <w:pPr>
              <w:pStyle w:val="32"/>
              <w:spacing w:beforeLines="0" w:afterLines="0" w:line="240" w:lineRule="auto"/>
              <w:rPr>
                <w:rFonts w:ascii="Times New Roman"/>
                <w:snapToGrid w:val="0"/>
                <w:kern w:val="21"/>
                <w:szCs w:val="21"/>
                <w:lang w:val="en-US"/>
              </w:rPr>
            </w:pPr>
          </w:p>
        </w:tc>
        <w:tc>
          <w:tcPr>
            <w:tcW w:w="1418" w:type="dxa"/>
            <w:vAlign w:val="center"/>
          </w:tcPr>
          <w:p w14:paraId="520AD224">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废活性炭</w:t>
            </w:r>
          </w:p>
        </w:tc>
        <w:tc>
          <w:tcPr>
            <w:tcW w:w="1606" w:type="dxa"/>
            <w:vAlign w:val="center"/>
          </w:tcPr>
          <w:p w14:paraId="520AD225">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8.87</w:t>
            </w:r>
          </w:p>
        </w:tc>
        <w:tc>
          <w:tcPr>
            <w:tcW w:w="1607" w:type="dxa"/>
            <w:vAlign w:val="center"/>
          </w:tcPr>
          <w:p w14:paraId="520AD226">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227">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0.7592</w:t>
            </w:r>
          </w:p>
        </w:tc>
        <w:tc>
          <w:tcPr>
            <w:tcW w:w="1607" w:type="dxa"/>
            <w:vAlign w:val="center"/>
          </w:tcPr>
          <w:p w14:paraId="520AD228">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29">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2A">
            <w:pPr>
              <w:pStyle w:val="32"/>
              <w:spacing w:beforeLines="0" w:afterLines="0" w:line="240" w:lineRule="auto"/>
              <w:rPr>
                <w:rFonts w:ascii="Times New Roman" w:eastAsia="等线"/>
                <w:szCs w:val="21"/>
                <w:highlight w:val="yellow"/>
              </w:rPr>
            </w:pPr>
            <w:r>
              <w:rPr>
                <w:rFonts w:hint="eastAsia" w:ascii="Times New Roman" w:eastAsia="等线"/>
                <w:szCs w:val="21"/>
              </w:rPr>
              <w:t>9.6292</w:t>
            </w:r>
          </w:p>
        </w:tc>
        <w:tc>
          <w:tcPr>
            <w:tcW w:w="1607" w:type="dxa"/>
            <w:vAlign w:val="center"/>
          </w:tcPr>
          <w:p w14:paraId="520AD22B">
            <w:pPr>
              <w:pStyle w:val="32"/>
              <w:spacing w:beforeLines="0" w:afterLines="0" w:line="240" w:lineRule="auto"/>
              <w:rPr>
                <w:rFonts w:ascii="Times New Roman" w:eastAsia="等线"/>
                <w:szCs w:val="21"/>
              </w:rPr>
            </w:pPr>
            <w:r>
              <w:rPr>
                <w:rFonts w:hint="eastAsia" w:ascii="Times New Roman" w:eastAsia="等线"/>
                <w:szCs w:val="21"/>
              </w:rPr>
              <w:t>0</w:t>
            </w:r>
          </w:p>
        </w:tc>
      </w:tr>
      <w:tr w14:paraId="520AD2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22D">
            <w:pPr>
              <w:pStyle w:val="32"/>
              <w:spacing w:beforeLines="0" w:afterLines="0" w:line="240" w:lineRule="auto"/>
              <w:rPr>
                <w:rFonts w:ascii="Times New Roman"/>
                <w:snapToGrid w:val="0"/>
                <w:kern w:val="21"/>
                <w:szCs w:val="21"/>
                <w:lang w:val="en-US"/>
              </w:rPr>
            </w:pPr>
          </w:p>
        </w:tc>
        <w:tc>
          <w:tcPr>
            <w:tcW w:w="1418" w:type="dxa"/>
            <w:vAlign w:val="center"/>
          </w:tcPr>
          <w:p w14:paraId="520AD22E">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废弃树脂</w:t>
            </w:r>
          </w:p>
        </w:tc>
        <w:tc>
          <w:tcPr>
            <w:tcW w:w="1606" w:type="dxa"/>
            <w:vAlign w:val="center"/>
          </w:tcPr>
          <w:p w14:paraId="520AD22F">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1.23</w:t>
            </w:r>
          </w:p>
        </w:tc>
        <w:tc>
          <w:tcPr>
            <w:tcW w:w="1607" w:type="dxa"/>
            <w:vAlign w:val="center"/>
          </w:tcPr>
          <w:p w14:paraId="520AD230">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231">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232">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33">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34">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1.23</w:t>
            </w:r>
          </w:p>
        </w:tc>
        <w:tc>
          <w:tcPr>
            <w:tcW w:w="1607" w:type="dxa"/>
            <w:vAlign w:val="center"/>
          </w:tcPr>
          <w:p w14:paraId="520AD235">
            <w:pPr>
              <w:pStyle w:val="32"/>
              <w:spacing w:beforeLines="0" w:afterLines="0" w:line="240" w:lineRule="auto"/>
              <w:rPr>
                <w:rFonts w:ascii="Times New Roman" w:eastAsia="等线"/>
                <w:szCs w:val="21"/>
              </w:rPr>
            </w:pPr>
            <w:r>
              <w:rPr>
                <w:rFonts w:hint="eastAsia" w:ascii="Times New Roman" w:eastAsia="等线"/>
                <w:szCs w:val="21"/>
              </w:rPr>
              <w:t>0</w:t>
            </w:r>
          </w:p>
        </w:tc>
      </w:tr>
      <w:tr w14:paraId="520AD2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237">
            <w:pPr>
              <w:pStyle w:val="32"/>
              <w:spacing w:beforeLines="0" w:afterLines="0" w:line="240" w:lineRule="auto"/>
              <w:rPr>
                <w:rFonts w:ascii="Times New Roman"/>
                <w:snapToGrid w:val="0"/>
                <w:kern w:val="21"/>
                <w:szCs w:val="21"/>
                <w:lang w:val="en-US"/>
              </w:rPr>
            </w:pPr>
          </w:p>
        </w:tc>
        <w:tc>
          <w:tcPr>
            <w:tcW w:w="1418" w:type="dxa"/>
            <w:vAlign w:val="center"/>
          </w:tcPr>
          <w:p w14:paraId="520AD238">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废化学品</w:t>
            </w:r>
          </w:p>
        </w:tc>
        <w:tc>
          <w:tcPr>
            <w:tcW w:w="1606" w:type="dxa"/>
            <w:vAlign w:val="center"/>
          </w:tcPr>
          <w:p w14:paraId="520AD239">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0.97</w:t>
            </w:r>
          </w:p>
        </w:tc>
        <w:tc>
          <w:tcPr>
            <w:tcW w:w="1607" w:type="dxa"/>
            <w:vAlign w:val="center"/>
          </w:tcPr>
          <w:p w14:paraId="520AD23A">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23B">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23C">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3D">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3E">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0.97</w:t>
            </w:r>
          </w:p>
        </w:tc>
        <w:tc>
          <w:tcPr>
            <w:tcW w:w="1607" w:type="dxa"/>
            <w:vAlign w:val="center"/>
          </w:tcPr>
          <w:p w14:paraId="520AD23F">
            <w:pPr>
              <w:pStyle w:val="32"/>
              <w:spacing w:beforeLines="0" w:afterLines="0" w:line="240" w:lineRule="auto"/>
              <w:rPr>
                <w:rFonts w:ascii="Times New Roman" w:eastAsia="等线"/>
                <w:szCs w:val="21"/>
              </w:rPr>
            </w:pPr>
            <w:r>
              <w:rPr>
                <w:rFonts w:hint="eastAsia" w:ascii="Times New Roman" w:eastAsia="等线"/>
                <w:szCs w:val="21"/>
              </w:rPr>
              <w:t>0</w:t>
            </w:r>
          </w:p>
        </w:tc>
      </w:tr>
      <w:tr w14:paraId="520AD2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241">
            <w:pPr>
              <w:pStyle w:val="32"/>
              <w:spacing w:beforeLines="0" w:afterLines="0" w:line="240" w:lineRule="auto"/>
              <w:rPr>
                <w:rFonts w:ascii="Times New Roman"/>
                <w:snapToGrid w:val="0"/>
                <w:kern w:val="21"/>
                <w:szCs w:val="21"/>
                <w:lang w:val="en-US"/>
              </w:rPr>
            </w:pPr>
          </w:p>
        </w:tc>
        <w:tc>
          <w:tcPr>
            <w:tcW w:w="1418" w:type="dxa"/>
            <w:vAlign w:val="center"/>
          </w:tcPr>
          <w:p w14:paraId="520AD242">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废槽体</w:t>
            </w:r>
          </w:p>
        </w:tc>
        <w:tc>
          <w:tcPr>
            <w:tcW w:w="1606" w:type="dxa"/>
            <w:vAlign w:val="center"/>
          </w:tcPr>
          <w:p w14:paraId="520AD243">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4.12</w:t>
            </w:r>
          </w:p>
        </w:tc>
        <w:tc>
          <w:tcPr>
            <w:tcW w:w="1607" w:type="dxa"/>
            <w:vAlign w:val="center"/>
          </w:tcPr>
          <w:p w14:paraId="520AD244">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245">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246">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47">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48">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4.12</w:t>
            </w:r>
          </w:p>
        </w:tc>
        <w:tc>
          <w:tcPr>
            <w:tcW w:w="1607" w:type="dxa"/>
            <w:vAlign w:val="center"/>
          </w:tcPr>
          <w:p w14:paraId="520AD249">
            <w:pPr>
              <w:pStyle w:val="32"/>
              <w:spacing w:beforeLines="0" w:afterLines="0" w:line="240" w:lineRule="auto"/>
              <w:rPr>
                <w:rFonts w:ascii="Times New Roman" w:eastAsia="等线"/>
                <w:szCs w:val="21"/>
              </w:rPr>
            </w:pPr>
            <w:r>
              <w:rPr>
                <w:rFonts w:hint="eastAsia" w:ascii="Times New Roman" w:eastAsia="等线"/>
                <w:szCs w:val="21"/>
              </w:rPr>
              <w:t>0</w:t>
            </w:r>
          </w:p>
        </w:tc>
      </w:tr>
      <w:tr w14:paraId="520AD2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24B">
            <w:pPr>
              <w:pStyle w:val="32"/>
              <w:spacing w:beforeLines="0" w:afterLines="0" w:line="240" w:lineRule="auto"/>
              <w:rPr>
                <w:rFonts w:ascii="Times New Roman"/>
                <w:snapToGrid w:val="0"/>
                <w:kern w:val="21"/>
                <w:szCs w:val="21"/>
                <w:lang w:val="en-US"/>
              </w:rPr>
            </w:pPr>
          </w:p>
        </w:tc>
        <w:tc>
          <w:tcPr>
            <w:tcW w:w="1418" w:type="dxa"/>
            <w:vAlign w:val="center"/>
          </w:tcPr>
          <w:p w14:paraId="520AD24C">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废石英砂</w:t>
            </w:r>
          </w:p>
        </w:tc>
        <w:tc>
          <w:tcPr>
            <w:tcW w:w="1606" w:type="dxa"/>
            <w:vAlign w:val="center"/>
          </w:tcPr>
          <w:p w14:paraId="520AD24D">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10.96</w:t>
            </w:r>
          </w:p>
        </w:tc>
        <w:tc>
          <w:tcPr>
            <w:tcW w:w="1607" w:type="dxa"/>
            <w:vAlign w:val="center"/>
          </w:tcPr>
          <w:p w14:paraId="520AD24E">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24F">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250">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51">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52">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10.96</w:t>
            </w:r>
          </w:p>
        </w:tc>
        <w:tc>
          <w:tcPr>
            <w:tcW w:w="1607" w:type="dxa"/>
            <w:vAlign w:val="center"/>
          </w:tcPr>
          <w:p w14:paraId="520AD253">
            <w:pPr>
              <w:pStyle w:val="32"/>
              <w:spacing w:beforeLines="0" w:afterLines="0" w:line="240" w:lineRule="auto"/>
              <w:rPr>
                <w:rFonts w:ascii="Times New Roman" w:eastAsia="等线"/>
                <w:szCs w:val="21"/>
              </w:rPr>
            </w:pPr>
            <w:r>
              <w:rPr>
                <w:rFonts w:hint="eastAsia" w:ascii="Times New Roman" w:eastAsia="等线"/>
                <w:szCs w:val="21"/>
              </w:rPr>
              <w:t>0</w:t>
            </w:r>
          </w:p>
        </w:tc>
      </w:tr>
      <w:tr w14:paraId="520AD2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255">
            <w:pPr>
              <w:pStyle w:val="32"/>
              <w:spacing w:beforeLines="0" w:afterLines="0" w:line="240" w:lineRule="auto"/>
              <w:rPr>
                <w:rFonts w:ascii="Times New Roman"/>
                <w:snapToGrid w:val="0"/>
                <w:kern w:val="21"/>
                <w:szCs w:val="21"/>
                <w:lang w:val="en-US"/>
              </w:rPr>
            </w:pPr>
          </w:p>
        </w:tc>
        <w:tc>
          <w:tcPr>
            <w:tcW w:w="1418" w:type="dxa"/>
            <w:vAlign w:val="center"/>
          </w:tcPr>
          <w:p w14:paraId="520AD256">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废过滤膜</w:t>
            </w:r>
          </w:p>
        </w:tc>
        <w:tc>
          <w:tcPr>
            <w:tcW w:w="1606" w:type="dxa"/>
            <w:vAlign w:val="center"/>
          </w:tcPr>
          <w:p w14:paraId="520AD257">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2.4</w:t>
            </w:r>
          </w:p>
        </w:tc>
        <w:tc>
          <w:tcPr>
            <w:tcW w:w="1607" w:type="dxa"/>
            <w:vAlign w:val="center"/>
          </w:tcPr>
          <w:p w14:paraId="520AD258">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259">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25A">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5B">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5C">
            <w:pPr>
              <w:pStyle w:val="32"/>
              <w:spacing w:beforeLines="0" w:afterLines="0" w:line="240" w:lineRule="auto"/>
              <w:rPr>
                <w:rFonts w:ascii="Times New Roman" w:eastAsia="等线"/>
                <w:szCs w:val="21"/>
                <w:highlight w:val="yellow"/>
              </w:rPr>
            </w:pPr>
            <w:r>
              <w:rPr>
                <w:rFonts w:hint="eastAsia" w:ascii="Times New Roman"/>
                <w:snapToGrid w:val="0"/>
                <w:kern w:val="21"/>
                <w:szCs w:val="21"/>
                <w:lang w:val="en-US"/>
              </w:rPr>
              <w:t>2.4</w:t>
            </w:r>
          </w:p>
        </w:tc>
        <w:tc>
          <w:tcPr>
            <w:tcW w:w="1607" w:type="dxa"/>
            <w:vAlign w:val="center"/>
          </w:tcPr>
          <w:p w14:paraId="520AD25D">
            <w:pPr>
              <w:pStyle w:val="32"/>
              <w:spacing w:beforeLines="0" w:afterLines="0" w:line="240" w:lineRule="auto"/>
              <w:rPr>
                <w:rFonts w:ascii="Times New Roman" w:eastAsia="等线"/>
                <w:szCs w:val="21"/>
              </w:rPr>
            </w:pPr>
            <w:r>
              <w:rPr>
                <w:rFonts w:hint="eastAsia" w:ascii="Times New Roman" w:eastAsia="等线"/>
                <w:szCs w:val="21"/>
              </w:rPr>
              <w:t>0</w:t>
            </w:r>
          </w:p>
        </w:tc>
      </w:tr>
      <w:tr w14:paraId="520AD2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25F">
            <w:pPr>
              <w:pStyle w:val="32"/>
              <w:spacing w:beforeLines="0" w:afterLines="0" w:line="240" w:lineRule="auto"/>
              <w:rPr>
                <w:rFonts w:ascii="Times New Roman"/>
                <w:snapToGrid w:val="0"/>
                <w:kern w:val="21"/>
                <w:szCs w:val="21"/>
                <w:lang w:val="en-US"/>
              </w:rPr>
            </w:pPr>
          </w:p>
        </w:tc>
        <w:tc>
          <w:tcPr>
            <w:tcW w:w="1418" w:type="dxa"/>
            <w:vAlign w:val="center"/>
          </w:tcPr>
          <w:p w14:paraId="520AD260">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废催化剂</w:t>
            </w:r>
          </w:p>
        </w:tc>
        <w:tc>
          <w:tcPr>
            <w:tcW w:w="1606" w:type="dxa"/>
            <w:vAlign w:val="center"/>
          </w:tcPr>
          <w:p w14:paraId="520AD261">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0.34</w:t>
            </w:r>
          </w:p>
        </w:tc>
        <w:tc>
          <w:tcPr>
            <w:tcW w:w="1607" w:type="dxa"/>
            <w:vAlign w:val="center"/>
          </w:tcPr>
          <w:p w14:paraId="520AD262">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263">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0.02t/5a</w:t>
            </w:r>
          </w:p>
        </w:tc>
        <w:tc>
          <w:tcPr>
            <w:tcW w:w="1607" w:type="dxa"/>
            <w:vAlign w:val="center"/>
          </w:tcPr>
          <w:p w14:paraId="520AD264">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65">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66">
            <w:pPr>
              <w:pStyle w:val="32"/>
              <w:spacing w:beforeLines="0" w:afterLines="0" w:line="240" w:lineRule="auto"/>
              <w:rPr>
                <w:rFonts w:ascii="Times New Roman" w:eastAsia="等线"/>
                <w:szCs w:val="21"/>
              </w:rPr>
            </w:pPr>
            <w:r>
              <w:rPr>
                <w:rFonts w:hint="eastAsia" w:ascii="Times New Roman" w:eastAsia="等线"/>
                <w:szCs w:val="21"/>
              </w:rPr>
              <w:t>0.344</w:t>
            </w:r>
          </w:p>
        </w:tc>
        <w:tc>
          <w:tcPr>
            <w:tcW w:w="1607" w:type="dxa"/>
            <w:vAlign w:val="center"/>
          </w:tcPr>
          <w:p w14:paraId="520AD267">
            <w:pPr>
              <w:pStyle w:val="32"/>
              <w:spacing w:beforeLines="0" w:afterLines="0" w:line="240" w:lineRule="auto"/>
              <w:rPr>
                <w:rFonts w:ascii="Times New Roman" w:eastAsia="等线"/>
                <w:szCs w:val="21"/>
              </w:rPr>
            </w:pPr>
            <w:r>
              <w:rPr>
                <w:rFonts w:hint="eastAsia" w:ascii="Times New Roman" w:eastAsia="等线"/>
                <w:szCs w:val="21"/>
              </w:rPr>
              <w:t>0</w:t>
            </w:r>
          </w:p>
        </w:tc>
      </w:tr>
      <w:tr w14:paraId="520AD2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1124" w:type="dxa"/>
            <w:vMerge w:val="continue"/>
            <w:vAlign w:val="center"/>
          </w:tcPr>
          <w:p w14:paraId="520AD269">
            <w:pPr>
              <w:pStyle w:val="32"/>
              <w:spacing w:beforeLines="0" w:afterLines="0" w:line="240" w:lineRule="auto"/>
              <w:rPr>
                <w:rFonts w:ascii="Times New Roman"/>
                <w:snapToGrid w:val="0"/>
                <w:kern w:val="21"/>
                <w:szCs w:val="21"/>
                <w:lang w:val="en-US"/>
              </w:rPr>
            </w:pPr>
          </w:p>
        </w:tc>
        <w:tc>
          <w:tcPr>
            <w:tcW w:w="1418" w:type="dxa"/>
            <w:vAlign w:val="center"/>
          </w:tcPr>
          <w:p w14:paraId="520AD26A">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碳氢清洗剂蒸馏釜残</w:t>
            </w:r>
          </w:p>
        </w:tc>
        <w:tc>
          <w:tcPr>
            <w:tcW w:w="1606" w:type="dxa"/>
            <w:vAlign w:val="center"/>
          </w:tcPr>
          <w:p w14:paraId="520AD26B">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0</w:t>
            </w:r>
          </w:p>
        </w:tc>
        <w:tc>
          <w:tcPr>
            <w:tcW w:w="1607" w:type="dxa"/>
            <w:vAlign w:val="center"/>
          </w:tcPr>
          <w:p w14:paraId="520AD26C">
            <w:pPr>
              <w:pStyle w:val="32"/>
              <w:spacing w:beforeLines="0" w:afterLines="0" w:line="240" w:lineRule="auto"/>
              <w:rPr>
                <w:rFonts w:ascii="Times New Roman"/>
                <w:szCs w:val="21"/>
              </w:rPr>
            </w:pPr>
            <w:r>
              <w:rPr>
                <w:rFonts w:hint="eastAsia" w:ascii="Times New Roman"/>
                <w:szCs w:val="21"/>
              </w:rPr>
              <w:t>/</w:t>
            </w:r>
          </w:p>
        </w:tc>
        <w:tc>
          <w:tcPr>
            <w:tcW w:w="1606" w:type="dxa"/>
            <w:vAlign w:val="center"/>
          </w:tcPr>
          <w:p w14:paraId="520AD26D">
            <w:pPr>
              <w:pStyle w:val="32"/>
              <w:spacing w:beforeLines="0" w:afterLines="0" w:line="240" w:lineRule="auto"/>
              <w:rPr>
                <w:rFonts w:ascii="Times New Roman"/>
                <w:snapToGrid w:val="0"/>
                <w:kern w:val="21"/>
                <w:szCs w:val="21"/>
                <w:lang w:val="en-US"/>
              </w:rPr>
            </w:pPr>
            <w:r>
              <w:rPr>
                <w:rFonts w:hint="eastAsia" w:ascii="Times New Roman"/>
                <w:snapToGrid w:val="0"/>
                <w:kern w:val="21"/>
                <w:szCs w:val="21"/>
                <w:lang w:val="en-US"/>
              </w:rPr>
              <w:t>2</w:t>
            </w:r>
          </w:p>
        </w:tc>
        <w:tc>
          <w:tcPr>
            <w:tcW w:w="1607" w:type="dxa"/>
            <w:vAlign w:val="center"/>
          </w:tcPr>
          <w:p w14:paraId="520AD26E">
            <w:pPr>
              <w:pStyle w:val="32"/>
              <w:spacing w:beforeLines="0" w:afterLines="0" w:line="240" w:lineRule="auto"/>
              <w:rPr>
                <w:rFonts w:ascii="Times New Roman"/>
                <w:bCs/>
                <w:szCs w:val="21"/>
              </w:rPr>
            </w:pPr>
            <w:r>
              <w:rPr>
                <w:rFonts w:hint="eastAsia" w:ascii="Times New Roman"/>
                <w:bCs/>
                <w:szCs w:val="21"/>
              </w:rPr>
              <w:t>0</w:t>
            </w:r>
          </w:p>
        </w:tc>
        <w:tc>
          <w:tcPr>
            <w:tcW w:w="1606" w:type="dxa"/>
            <w:vAlign w:val="center"/>
          </w:tcPr>
          <w:p w14:paraId="520AD26F">
            <w:pPr>
              <w:pStyle w:val="32"/>
              <w:spacing w:beforeLines="0" w:afterLines="0" w:line="240" w:lineRule="auto"/>
              <w:rPr>
                <w:rFonts w:ascii="Times New Roman"/>
                <w:bCs/>
                <w:szCs w:val="21"/>
              </w:rPr>
            </w:pPr>
            <w:r>
              <w:rPr>
                <w:rFonts w:ascii="Times New Roman"/>
                <w:bCs/>
                <w:szCs w:val="21"/>
              </w:rPr>
              <w:t>0</w:t>
            </w:r>
          </w:p>
        </w:tc>
        <w:tc>
          <w:tcPr>
            <w:tcW w:w="1607" w:type="dxa"/>
            <w:vAlign w:val="center"/>
          </w:tcPr>
          <w:p w14:paraId="520AD270">
            <w:pPr>
              <w:pStyle w:val="32"/>
              <w:spacing w:beforeLines="0" w:afterLines="0" w:line="240" w:lineRule="auto"/>
              <w:rPr>
                <w:rFonts w:ascii="Times New Roman" w:eastAsia="等线"/>
                <w:szCs w:val="21"/>
              </w:rPr>
            </w:pPr>
            <w:r>
              <w:rPr>
                <w:rFonts w:hint="eastAsia" w:ascii="Times New Roman" w:eastAsia="等线"/>
                <w:szCs w:val="21"/>
              </w:rPr>
              <w:t>2</w:t>
            </w:r>
          </w:p>
        </w:tc>
        <w:tc>
          <w:tcPr>
            <w:tcW w:w="1607" w:type="dxa"/>
            <w:vAlign w:val="center"/>
          </w:tcPr>
          <w:p w14:paraId="520AD271">
            <w:pPr>
              <w:pStyle w:val="32"/>
              <w:spacing w:beforeLines="0" w:afterLines="0" w:line="240" w:lineRule="auto"/>
              <w:rPr>
                <w:rFonts w:ascii="Times New Roman" w:eastAsia="等线"/>
                <w:szCs w:val="21"/>
              </w:rPr>
            </w:pPr>
            <w:r>
              <w:rPr>
                <w:rFonts w:hint="eastAsia" w:ascii="Times New Roman" w:eastAsia="等线"/>
                <w:szCs w:val="21"/>
              </w:rPr>
              <w:t>0</w:t>
            </w:r>
          </w:p>
        </w:tc>
      </w:tr>
    </w:tbl>
    <w:p w14:paraId="520AD273">
      <w:pPr>
        <w:pStyle w:val="32"/>
        <w:spacing w:beforeLines="0" w:afterLines="0" w:line="240" w:lineRule="auto"/>
        <w:jc w:val="both"/>
        <w:rPr>
          <w:rFonts w:hint="eastAsia" w:hAnsi="宋体"/>
          <w:snapToGrid w:val="0"/>
          <w:spacing w:val="-6"/>
          <w:kern w:val="21"/>
          <w:szCs w:val="21"/>
        </w:rPr>
      </w:pPr>
      <w:r>
        <w:rPr>
          <w:rFonts w:hAnsi="宋体"/>
          <w:snapToGrid w:val="0"/>
          <w:kern w:val="21"/>
          <w:szCs w:val="21"/>
        </w:rPr>
        <w:t>注</w:t>
      </w:r>
      <w:r>
        <w:rPr>
          <w:rFonts w:hAnsi="宋体"/>
          <w:snapToGrid w:val="0"/>
          <w:kern w:val="21"/>
          <w:szCs w:val="21"/>
          <w:lang w:val="en-US"/>
        </w:rPr>
        <w:t>：</w:t>
      </w:r>
      <w:r>
        <w:rPr>
          <w:rFonts w:hAnsi="宋体"/>
          <w:snapToGrid w:val="0"/>
          <w:spacing w:val="-16"/>
          <w:kern w:val="21"/>
          <w:szCs w:val="21"/>
        </w:rPr>
        <w:fldChar w:fldCharType="begin"/>
      </w:r>
      <w:r>
        <w:rPr>
          <w:rFonts w:hAnsi="宋体"/>
          <w:snapToGrid w:val="0"/>
          <w:spacing w:val="-16"/>
          <w:kern w:val="21"/>
          <w:szCs w:val="21"/>
          <w:lang w:val="en-US"/>
        </w:rPr>
        <w:instrText xml:space="preserve"> = 6 \* GB3 \* MERGEFORMAT </w:instrText>
      </w:r>
      <w:r>
        <w:rPr>
          <w:rFonts w:hAnsi="宋体"/>
          <w:snapToGrid w:val="0"/>
          <w:spacing w:val="-16"/>
          <w:kern w:val="21"/>
          <w:szCs w:val="21"/>
        </w:rPr>
        <w:fldChar w:fldCharType="separate"/>
      </w:r>
      <w:r>
        <w:rPr>
          <w:rFonts w:hint="eastAsia" w:hAnsi="宋体"/>
          <w:szCs w:val="21"/>
          <w:lang w:val="en-US"/>
        </w:rPr>
        <w:t>⑥</w:t>
      </w:r>
      <w:r>
        <w:rPr>
          <w:rFonts w:hAnsi="宋体"/>
          <w:snapToGrid w:val="0"/>
          <w:spacing w:val="-16"/>
          <w:kern w:val="21"/>
          <w:szCs w:val="21"/>
        </w:rPr>
        <w:fldChar w:fldCharType="end"/>
      </w:r>
      <w:r>
        <w:rPr>
          <w:rFonts w:hAnsi="宋体"/>
          <w:snapToGrid w:val="0"/>
          <w:spacing w:val="-16"/>
          <w:kern w:val="21"/>
          <w:szCs w:val="21"/>
          <w:lang w:val="en-US"/>
        </w:rPr>
        <w:t>=</w:t>
      </w:r>
      <w:r>
        <w:rPr>
          <w:rFonts w:hAnsi="宋体"/>
          <w:snapToGrid w:val="0"/>
          <w:spacing w:val="-6"/>
          <w:kern w:val="21"/>
          <w:szCs w:val="21"/>
        </w:rPr>
        <w:fldChar w:fldCharType="begin"/>
      </w:r>
      <w:r>
        <w:rPr>
          <w:rFonts w:hAnsi="宋体"/>
          <w:snapToGrid w:val="0"/>
          <w:spacing w:val="-6"/>
          <w:kern w:val="21"/>
          <w:szCs w:val="21"/>
          <w:lang w:val="en-US"/>
        </w:rPr>
        <w:instrText xml:space="preserve"> = 1 \* GB3 \* MERGEFORMAT </w:instrText>
      </w:r>
      <w:r>
        <w:rPr>
          <w:rFonts w:hAnsi="宋体"/>
          <w:snapToGrid w:val="0"/>
          <w:spacing w:val="-6"/>
          <w:kern w:val="21"/>
          <w:szCs w:val="21"/>
        </w:rPr>
        <w:fldChar w:fldCharType="separate"/>
      </w:r>
      <w:r>
        <w:rPr>
          <w:rFonts w:hint="eastAsia" w:hAnsi="宋体"/>
          <w:szCs w:val="21"/>
          <w:lang w:val="en-US"/>
        </w:rPr>
        <w:t>①</w:t>
      </w:r>
      <w:r>
        <w:rPr>
          <w:rFonts w:hAnsi="宋体"/>
          <w:snapToGrid w:val="0"/>
          <w:spacing w:val="-6"/>
          <w:kern w:val="21"/>
          <w:szCs w:val="21"/>
        </w:rPr>
        <w:fldChar w:fldCharType="end"/>
      </w:r>
      <w:r>
        <w:rPr>
          <w:rFonts w:hAnsi="宋体"/>
          <w:snapToGrid w:val="0"/>
          <w:spacing w:val="-6"/>
          <w:kern w:val="21"/>
          <w:szCs w:val="21"/>
          <w:lang w:val="en-US"/>
        </w:rPr>
        <w:t>+</w:t>
      </w:r>
      <w:r>
        <w:rPr>
          <w:rFonts w:hAnsi="宋体"/>
          <w:snapToGrid w:val="0"/>
          <w:spacing w:val="-6"/>
          <w:kern w:val="21"/>
          <w:szCs w:val="21"/>
        </w:rPr>
        <w:fldChar w:fldCharType="begin"/>
      </w:r>
      <w:r>
        <w:rPr>
          <w:rFonts w:hAnsi="宋体"/>
          <w:snapToGrid w:val="0"/>
          <w:spacing w:val="-6"/>
          <w:kern w:val="21"/>
          <w:szCs w:val="21"/>
          <w:lang w:val="en-US"/>
        </w:rPr>
        <w:instrText xml:space="preserve"> = 3 \* GB3 \* MERGEFORMAT </w:instrText>
      </w:r>
      <w:r>
        <w:rPr>
          <w:rFonts w:hAnsi="宋体"/>
          <w:snapToGrid w:val="0"/>
          <w:spacing w:val="-6"/>
          <w:kern w:val="21"/>
          <w:szCs w:val="21"/>
        </w:rPr>
        <w:fldChar w:fldCharType="separate"/>
      </w:r>
      <w:r>
        <w:rPr>
          <w:rFonts w:hint="eastAsia" w:hAnsi="宋体"/>
          <w:szCs w:val="21"/>
          <w:lang w:val="en-US"/>
        </w:rPr>
        <w:t>③</w:t>
      </w:r>
      <w:r>
        <w:rPr>
          <w:rFonts w:hAnsi="宋体"/>
          <w:snapToGrid w:val="0"/>
          <w:spacing w:val="-6"/>
          <w:kern w:val="21"/>
          <w:szCs w:val="21"/>
        </w:rPr>
        <w:fldChar w:fldCharType="end"/>
      </w:r>
      <w:r>
        <w:rPr>
          <w:rFonts w:hAnsi="宋体"/>
          <w:snapToGrid w:val="0"/>
          <w:spacing w:val="-6"/>
          <w:kern w:val="21"/>
          <w:szCs w:val="21"/>
          <w:lang w:val="en-US"/>
        </w:rPr>
        <w:t>+</w:t>
      </w:r>
      <w:r>
        <w:rPr>
          <w:rFonts w:hAnsi="宋体"/>
          <w:snapToGrid w:val="0"/>
          <w:spacing w:val="-6"/>
          <w:kern w:val="21"/>
          <w:szCs w:val="21"/>
        </w:rPr>
        <w:fldChar w:fldCharType="begin"/>
      </w:r>
      <w:r>
        <w:rPr>
          <w:rFonts w:hAnsi="宋体"/>
          <w:snapToGrid w:val="0"/>
          <w:spacing w:val="-6"/>
          <w:kern w:val="21"/>
          <w:szCs w:val="21"/>
          <w:lang w:val="en-US"/>
        </w:rPr>
        <w:instrText xml:space="preserve"> = 4 \* GB3 \* MERGEFORMAT </w:instrText>
      </w:r>
      <w:r>
        <w:rPr>
          <w:rFonts w:hAnsi="宋体"/>
          <w:snapToGrid w:val="0"/>
          <w:spacing w:val="-6"/>
          <w:kern w:val="21"/>
          <w:szCs w:val="21"/>
        </w:rPr>
        <w:fldChar w:fldCharType="separate"/>
      </w:r>
      <w:r>
        <w:rPr>
          <w:rFonts w:hint="eastAsia" w:hAnsi="宋体"/>
          <w:szCs w:val="21"/>
          <w:lang w:val="en-US"/>
        </w:rPr>
        <w:t>④</w:t>
      </w:r>
      <w:r>
        <w:rPr>
          <w:rFonts w:hAnsi="宋体"/>
          <w:snapToGrid w:val="0"/>
          <w:spacing w:val="-6"/>
          <w:kern w:val="21"/>
          <w:szCs w:val="21"/>
        </w:rPr>
        <w:fldChar w:fldCharType="end"/>
      </w:r>
      <w:r>
        <w:rPr>
          <w:rFonts w:hAnsi="宋体"/>
          <w:snapToGrid w:val="0"/>
          <w:spacing w:val="-6"/>
          <w:kern w:val="21"/>
          <w:szCs w:val="21"/>
          <w:lang w:val="en-US"/>
        </w:rPr>
        <w:t>-</w:t>
      </w:r>
      <w:r>
        <w:rPr>
          <w:rFonts w:hAnsi="宋体"/>
          <w:snapToGrid w:val="0"/>
          <w:spacing w:val="-16"/>
          <w:kern w:val="21"/>
          <w:szCs w:val="21"/>
        </w:rPr>
        <w:fldChar w:fldCharType="begin"/>
      </w:r>
      <w:r>
        <w:rPr>
          <w:rFonts w:hAnsi="宋体"/>
          <w:snapToGrid w:val="0"/>
          <w:spacing w:val="-16"/>
          <w:kern w:val="21"/>
          <w:szCs w:val="21"/>
          <w:lang w:val="en-US"/>
        </w:rPr>
        <w:instrText xml:space="preserve"> = 5 \* GB3 \* MERGEFORMAT </w:instrText>
      </w:r>
      <w:r>
        <w:rPr>
          <w:rFonts w:hAnsi="宋体"/>
          <w:snapToGrid w:val="0"/>
          <w:spacing w:val="-16"/>
          <w:kern w:val="21"/>
          <w:szCs w:val="21"/>
        </w:rPr>
        <w:fldChar w:fldCharType="separate"/>
      </w:r>
      <w:r>
        <w:rPr>
          <w:rFonts w:hint="eastAsia" w:hAnsi="宋体"/>
          <w:szCs w:val="21"/>
          <w:lang w:val="en-US"/>
        </w:rPr>
        <w:t>⑤</w:t>
      </w:r>
      <w:r>
        <w:rPr>
          <w:rFonts w:hAnsi="宋体"/>
          <w:snapToGrid w:val="0"/>
          <w:spacing w:val="-16"/>
          <w:kern w:val="21"/>
          <w:szCs w:val="21"/>
        </w:rPr>
        <w:fldChar w:fldCharType="end"/>
      </w:r>
      <w:r>
        <w:rPr>
          <w:rFonts w:hAnsi="宋体"/>
          <w:snapToGrid w:val="0"/>
          <w:spacing w:val="-16"/>
          <w:kern w:val="21"/>
          <w:szCs w:val="21"/>
          <w:lang w:val="en-US"/>
        </w:rPr>
        <w:t>；</w:t>
      </w:r>
      <w:r>
        <w:rPr>
          <w:rFonts w:hAnsi="宋体"/>
          <w:snapToGrid w:val="0"/>
          <w:spacing w:val="-6"/>
          <w:kern w:val="21"/>
          <w:szCs w:val="21"/>
        </w:rPr>
        <w:fldChar w:fldCharType="begin"/>
      </w:r>
      <w:r>
        <w:rPr>
          <w:rFonts w:hAnsi="宋体"/>
          <w:snapToGrid w:val="0"/>
          <w:spacing w:val="-6"/>
          <w:kern w:val="21"/>
          <w:szCs w:val="21"/>
          <w:lang w:val="en-US"/>
        </w:rPr>
        <w:instrText xml:space="preserve"> = 7 \* GB3 \* MERGEFORMAT </w:instrText>
      </w:r>
      <w:r>
        <w:rPr>
          <w:rFonts w:hAnsi="宋体"/>
          <w:snapToGrid w:val="0"/>
          <w:spacing w:val="-6"/>
          <w:kern w:val="21"/>
          <w:szCs w:val="21"/>
        </w:rPr>
        <w:fldChar w:fldCharType="separate"/>
      </w:r>
      <w:r>
        <w:rPr>
          <w:rFonts w:hint="eastAsia" w:hAnsi="宋体"/>
          <w:szCs w:val="21"/>
          <w:lang w:val="en-US"/>
        </w:rPr>
        <w:t>⑦</w:t>
      </w:r>
      <w:r>
        <w:rPr>
          <w:rFonts w:hAnsi="宋体"/>
          <w:snapToGrid w:val="0"/>
          <w:spacing w:val="-6"/>
          <w:kern w:val="21"/>
          <w:szCs w:val="21"/>
        </w:rPr>
        <w:fldChar w:fldCharType="end"/>
      </w:r>
      <w:r>
        <w:rPr>
          <w:rFonts w:hAnsi="宋体"/>
          <w:snapToGrid w:val="0"/>
          <w:spacing w:val="-6"/>
          <w:kern w:val="21"/>
          <w:szCs w:val="21"/>
          <w:lang w:val="en-US"/>
        </w:rPr>
        <w:t>=</w:t>
      </w:r>
      <w:r>
        <w:rPr>
          <w:rFonts w:hAnsi="宋体"/>
          <w:snapToGrid w:val="0"/>
          <w:spacing w:val="-16"/>
          <w:kern w:val="21"/>
          <w:szCs w:val="21"/>
        </w:rPr>
        <w:fldChar w:fldCharType="begin"/>
      </w:r>
      <w:r>
        <w:rPr>
          <w:rFonts w:hAnsi="宋体"/>
          <w:snapToGrid w:val="0"/>
          <w:spacing w:val="-16"/>
          <w:kern w:val="21"/>
          <w:szCs w:val="21"/>
          <w:lang w:val="en-US"/>
        </w:rPr>
        <w:instrText xml:space="preserve"> = 6 \* GB3 \* MERGEFORMAT </w:instrText>
      </w:r>
      <w:r>
        <w:rPr>
          <w:rFonts w:hAnsi="宋体"/>
          <w:snapToGrid w:val="0"/>
          <w:spacing w:val="-16"/>
          <w:kern w:val="21"/>
          <w:szCs w:val="21"/>
        </w:rPr>
        <w:fldChar w:fldCharType="separate"/>
      </w:r>
      <w:r>
        <w:rPr>
          <w:rFonts w:hint="eastAsia" w:hAnsi="宋体"/>
          <w:szCs w:val="21"/>
          <w:lang w:val="en-US"/>
        </w:rPr>
        <w:t>⑥</w:t>
      </w:r>
      <w:r>
        <w:rPr>
          <w:rFonts w:hAnsi="宋体"/>
          <w:snapToGrid w:val="0"/>
          <w:spacing w:val="-16"/>
          <w:kern w:val="21"/>
          <w:szCs w:val="21"/>
        </w:rPr>
        <w:fldChar w:fldCharType="end"/>
      </w:r>
      <w:r>
        <w:rPr>
          <w:rFonts w:hAnsi="宋体"/>
          <w:snapToGrid w:val="0"/>
          <w:spacing w:val="-16"/>
          <w:kern w:val="21"/>
          <w:szCs w:val="21"/>
          <w:lang w:val="en-US"/>
        </w:rPr>
        <w:t>-</w:t>
      </w:r>
      <w:r>
        <w:rPr>
          <w:rFonts w:hAnsi="宋体"/>
          <w:snapToGrid w:val="0"/>
          <w:spacing w:val="-6"/>
          <w:kern w:val="21"/>
          <w:szCs w:val="21"/>
        </w:rPr>
        <w:fldChar w:fldCharType="begin"/>
      </w:r>
      <w:r>
        <w:rPr>
          <w:rFonts w:hAnsi="宋体"/>
          <w:snapToGrid w:val="0"/>
          <w:spacing w:val="-6"/>
          <w:kern w:val="21"/>
          <w:szCs w:val="21"/>
          <w:lang w:val="en-US"/>
        </w:rPr>
        <w:instrText xml:space="preserve"> = 1 \* GB3 \* MERGEFORMAT </w:instrText>
      </w:r>
      <w:r>
        <w:rPr>
          <w:rFonts w:hAnsi="宋体"/>
          <w:snapToGrid w:val="0"/>
          <w:spacing w:val="-6"/>
          <w:kern w:val="21"/>
          <w:szCs w:val="21"/>
        </w:rPr>
        <w:fldChar w:fldCharType="separate"/>
      </w:r>
      <w:r>
        <w:rPr>
          <w:rFonts w:hint="eastAsia" w:hAnsi="宋体"/>
          <w:szCs w:val="21"/>
          <w:lang w:val="en-US"/>
        </w:rPr>
        <w:t>①</w:t>
      </w:r>
      <w:r>
        <w:rPr>
          <w:rFonts w:hAnsi="宋体"/>
          <w:snapToGrid w:val="0"/>
          <w:spacing w:val="-6"/>
          <w:kern w:val="21"/>
          <w:szCs w:val="21"/>
        </w:rPr>
        <w:fldChar w:fldCharType="end"/>
      </w:r>
    </w:p>
    <w:p w14:paraId="1482E697">
      <w:pPr>
        <w:rPr>
          <w:lang w:val="zh-CN"/>
        </w:rPr>
      </w:pPr>
    </w:p>
    <w:p w14:paraId="0EC1FFA1">
      <w:pPr>
        <w:rPr>
          <w:lang w:val="zh-CN"/>
        </w:rPr>
      </w:pPr>
    </w:p>
    <w:p w14:paraId="2D08220A">
      <w:pPr>
        <w:rPr>
          <w:lang w:val="zh-CN"/>
        </w:rPr>
        <w:sectPr>
          <w:footerReference r:id="rId4" w:type="default"/>
          <w:pgSz w:w="16838" w:h="11906" w:orient="landscape"/>
          <w:pgMar w:top="1701" w:right="1531" w:bottom="1701" w:left="1531" w:header="851" w:footer="851" w:gutter="0"/>
          <w:cols w:space="720" w:num="1"/>
          <w:docGrid w:linePitch="312" w:charSpace="0"/>
        </w:sectPr>
      </w:pPr>
    </w:p>
    <w:p w14:paraId="02CB8D20">
      <w:pPr>
        <w:jc w:val="center"/>
        <w:rPr>
          <w:lang w:val="zh-CN"/>
        </w:rPr>
      </w:pPr>
      <w:r>
        <w:drawing>
          <wp:inline distT="0" distB="0" distL="0" distR="0">
            <wp:extent cx="7123430" cy="5342255"/>
            <wp:effectExtent l="0" t="0" r="1270" b="10795"/>
            <wp:docPr id="1609188830" name="图片 1" descr="地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188830" name="图片 1" descr="地图&#10;&#10;AI 生成的内容可能不正确。"/>
                    <pic:cNvPicPr>
                      <a:picLocks noChangeAspect="1"/>
                    </pic:cNvPicPr>
                  </pic:nvPicPr>
                  <pic:blipFill>
                    <a:blip r:embed="rId45"/>
                    <a:stretch>
                      <a:fillRect/>
                    </a:stretch>
                  </pic:blipFill>
                  <pic:spPr>
                    <a:xfrm>
                      <a:off x="0" y="0"/>
                      <a:ext cx="7123430" cy="5342857"/>
                    </a:xfrm>
                    <a:prstGeom prst="rect">
                      <a:avLst/>
                    </a:prstGeom>
                  </pic:spPr>
                </pic:pic>
              </a:graphicData>
            </a:graphic>
          </wp:inline>
        </w:drawing>
      </w:r>
    </w:p>
    <w:p w14:paraId="5B906A84">
      <w:pPr>
        <w:jc w:val="center"/>
        <w:rPr>
          <w:lang w:val="zh-CN"/>
        </w:rPr>
        <w:sectPr>
          <w:pgSz w:w="16838" w:h="11906" w:orient="landscape"/>
          <w:pgMar w:top="1701" w:right="1531" w:bottom="1701" w:left="1531" w:header="851" w:footer="851" w:gutter="0"/>
          <w:cols w:space="720" w:num="1"/>
          <w:docGrid w:linePitch="312" w:charSpace="0"/>
        </w:sectPr>
      </w:pPr>
      <w:r>
        <w:drawing>
          <wp:inline distT="0" distB="0" distL="0" distR="0">
            <wp:extent cx="7134860" cy="5400040"/>
            <wp:effectExtent l="0" t="0" r="8890" b="10160"/>
            <wp:docPr id="211597584" name="图片 1" descr="地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97584" name="图片 1" descr="地图&#10;&#10;AI 生成的内容可能不正确。"/>
                    <pic:cNvPicPr>
                      <a:picLocks noChangeAspect="1"/>
                    </pic:cNvPicPr>
                  </pic:nvPicPr>
                  <pic:blipFill>
                    <a:blip r:embed="rId46"/>
                    <a:stretch>
                      <a:fillRect/>
                    </a:stretch>
                  </pic:blipFill>
                  <pic:spPr>
                    <a:xfrm>
                      <a:off x="0" y="0"/>
                      <a:ext cx="7134860" cy="5400040"/>
                    </a:xfrm>
                    <a:prstGeom prst="rect">
                      <a:avLst/>
                    </a:prstGeom>
                  </pic:spPr>
                </pic:pic>
              </a:graphicData>
            </a:graphic>
          </wp:inline>
        </w:drawing>
      </w:r>
    </w:p>
    <w:p w14:paraId="364A4272">
      <w:pPr>
        <w:jc w:val="center"/>
        <w:rPr>
          <w:lang w:val="zh-CN"/>
        </w:rPr>
      </w:pPr>
    </w:p>
    <w:p w14:paraId="17D15047">
      <w:pPr>
        <w:rPr>
          <w:lang w:val="zh-CN"/>
        </w:rPr>
      </w:pPr>
      <w:r>
        <w:drawing>
          <wp:inline distT="0" distB="0" distL="0" distR="0">
            <wp:extent cx="5400040" cy="7546340"/>
            <wp:effectExtent l="0" t="0" r="10160" b="16510"/>
            <wp:docPr id="935181502" name="图片 1"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181502" name="图片 1" descr="图示&#10;&#10;AI 生成的内容可能不正确。"/>
                    <pic:cNvPicPr>
                      <a:picLocks noChangeAspect="1"/>
                    </pic:cNvPicPr>
                  </pic:nvPicPr>
                  <pic:blipFill>
                    <a:blip r:embed="rId47"/>
                    <a:stretch>
                      <a:fillRect/>
                    </a:stretch>
                  </pic:blipFill>
                  <pic:spPr>
                    <a:xfrm>
                      <a:off x="0" y="0"/>
                      <a:ext cx="5400040" cy="7546340"/>
                    </a:xfrm>
                    <a:prstGeom prst="rect">
                      <a:avLst/>
                    </a:prstGeom>
                  </pic:spPr>
                </pic:pic>
              </a:graphicData>
            </a:graphic>
          </wp:inline>
        </w:drawing>
      </w:r>
    </w:p>
    <w:p w14:paraId="58AC4827">
      <w:pPr>
        <w:rPr>
          <w:lang w:val="zh-CN"/>
        </w:rPr>
      </w:pPr>
    </w:p>
    <w:p w14:paraId="4436BC48">
      <w:pPr>
        <w:rPr>
          <w:lang w:val="zh-CN"/>
        </w:rPr>
      </w:pPr>
    </w:p>
    <w:p w14:paraId="4164D073">
      <w:pPr>
        <w:rPr>
          <w:lang w:val="zh-CN"/>
        </w:rPr>
        <w:sectPr>
          <w:pgSz w:w="11906" w:h="16838"/>
          <w:pgMar w:top="1531" w:right="1701" w:bottom="1531" w:left="1701" w:header="851" w:footer="851" w:gutter="0"/>
          <w:cols w:space="720" w:num="1"/>
          <w:docGrid w:linePitch="312" w:charSpace="0"/>
        </w:sectPr>
      </w:pPr>
    </w:p>
    <w:p w14:paraId="123B42DF">
      <w:pPr>
        <w:rPr>
          <w:lang w:val="zh-CN"/>
        </w:rPr>
      </w:pPr>
      <w:r>
        <w:drawing>
          <wp:inline distT="0" distB="0" distL="0" distR="0">
            <wp:extent cx="5400040" cy="7311390"/>
            <wp:effectExtent l="0" t="0" r="10160" b="3810"/>
            <wp:docPr id="1472168016"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168016" name="图片 1" descr="表格&#10;&#10;AI 生成的内容可能不正确。"/>
                    <pic:cNvPicPr>
                      <a:picLocks noChangeAspect="1"/>
                    </pic:cNvPicPr>
                  </pic:nvPicPr>
                  <pic:blipFill>
                    <a:blip r:embed="rId48"/>
                    <a:stretch>
                      <a:fillRect/>
                    </a:stretch>
                  </pic:blipFill>
                  <pic:spPr>
                    <a:xfrm>
                      <a:off x="0" y="0"/>
                      <a:ext cx="5400040" cy="7311390"/>
                    </a:xfrm>
                    <a:prstGeom prst="rect">
                      <a:avLst/>
                    </a:prstGeom>
                  </pic:spPr>
                </pic:pic>
              </a:graphicData>
            </a:graphic>
          </wp:inline>
        </w:drawing>
      </w:r>
    </w:p>
    <w:p w14:paraId="068117F7">
      <w:pPr>
        <w:rPr>
          <w:lang w:val="zh-CN"/>
        </w:rPr>
      </w:pPr>
    </w:p>
    <w:p w14:paraId="218125FD">
      <w:pPr>
        <w:rPr>
          <w:lang w:val="zh-CN"/>
        </w:rPr>
      </w:pPr>
    </w:p>
    <w:p w14:paraId="729B2AC8">
      <w:pPr>
        <w:rPr>
          <w:lang w:val="zh-CN"/>
        </w:rPr>
      </w:pPr>
    </w:p>
    <w:p w14:paraId="45C52C9F">
      <w:pPr>
        <w:rPr>
          <w:lang w:val="zh-CN"/>
        </w:rPr>
      </w:pPr>
    </w:p>
    <w:p w14:paraId="384DB43E">
      <w:pPr>
        <w:rPr>
          <w:lang w:val="zh-CN"/>
        </w:rPr>
      </w:pPr>
    </w:p>
    <w:p w14:paraId="18087841">
      <w:pPr>
        <w:rPr>
          <w:lang w:val="zh-CN"/>
        </w:rPr>
      </w:pPr>
    </w:p>
    <w:p w14:paraId="17FA2544">
      <w:pPr>
        <w:rPr>
          <w:lang w:val="zh-CN"/>
        </w:rPr>
      </w:pPr>
    </w:p>
    <w:p w14:paraId="72745866">
      <w:pPr>
        <w:rPr>
          <w:lang w:val="zh-CN"/>
        </w:rPr>
      </w:pPr>
    </w:p>
    <w:p w14:paraId="747031D2">
      <w:pPr>
        <w:rPr>
          <w:lang w:val="zh-CN"/>
        </w:rPr>
      </w:pPr>
    </w:p>
    <w:p w14:paraId="0F342D5E">
      <w:pPr>
        <w:rPr>
          <w:lang w:val="zh-CN"/>
        </w:rPr>
      </w:pPr>
    </w:p>
    <w:p w14:paraId="5FBD2E29">
      <w:pPr>
        <w:rPr>
          <w:lang w:val="zh-CN"/>
        </w:rPr>
      </w:pPr>
    </w:p>
    <w:p w14:paraId="77A0D1E1">
      <w:pPr>
        <w:rPr>
          <w:lang w:val="zh-CN"/>
        </w:rPr>
      </w:pPr>
      <w:r>
        <w:drawing>
          <wp:inline distT="0" distB="0" distL="0" distR="0">
            <wp:extent cx="5400040" cy="7105015"/>
            <wp:effectExtent l="0" t="0" r="10160" b="635"/>
            <wp:docPr id="424877631" name="图片 1" descr="图示, 示意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877631" name="图片 1" descr="图示, 示意图&#10;&#10;AI 生成的内容可能不正确。"/>
                    <pic:cNvPicPr>
                      <a:picLocks noChangeAspect="1"/>
                    </pic:cNvPicPr>
                  </pic:nvPicPr>
                  <pic:blipFill>
                    <a:blip r:embed="rId49"/>
                    <a:stretch>
                      <a:fillRect/>
                    </a:stretch>
                  </pic:blipFill>
                  <pic:spPr>
                    <a:xfrm>
                      <a:off x="0" y="0"/>
                      <a:ext cx="5400040" cy="7105015"/>
                    </a:xfrm>
                    <a:prstGeom prst="rect">
                      <a:avLst/>
                    </a:prstGeom>
                  </pic:spPr>
                </pic:pic>
              </a:graphicData>
            </a:graphic>
          </wp:inline>
        </w:drawing>
      </w:r>
    </w:p>
    <w:p w14:paraId="6FA08FA9">
      <w:pPr>
        <w:rPr>
          <w:lang w:val="zh-CN"/>
        </w:rPr>
      </w:pPr>
    </w:p>
    <w:p w14:paraId="7DB42806">
      <w:pPr>
        <w:rPr>
          <w:lang w:val="zh-CN"/>
        </w:rPr>
      </w:pPr>
    </w:p>
    <w:p w14:paraId="03706219">
      <w:pPr>
        <w:rPr>
          <w:lang w:val="zh-CN"/>
        </w:rPr>
      </w:pPr>
    </w:p>
    <w:p w14:paraId="09700C90">
      <w:pPr>
        <w:rPr>
          <w:lang w:val="zh-CN"/>
        </w:rPr>
      </w:pPr>
    </w:p>
    <w:p w14:paraId="2A9E9B9F">
      <w:pPr>
        <w:rPr>
          <w:lang w:val="zh-CN"/>
        </w:rPr>
      </w:pPr>
    </w:p>
    <w:p w14:paraId="21C4FC27">
      <w:pPr>
        <w:rPr>
          <w:lang w:val="zh-CN"/>
        </w:rPr>
      </w:pPr>
    </w:p>
    <w:p w14:paraId="1D0A3265">
      <w:pPr>
        <w:rPr>
          <w:lang w:val="zh-CN"/>
        </w:rPr>
      </w:pPr>
    </w:p>
    <w:p w14:paraId="2B3C1872">
      <w:pPr>
        <w:rPr>
          <w:lang w:val="zh-CN"/>
        </w:rPr>
      </w:pPr>
    </w:p>
    <w:p w14:paraId="3B829964">
      <w:pPr>
        <w:rPr>
          <w:lang w:val="zh-CN"/>
        </w:rPr>
      </w:pPr>
    </w:p>
    <w:p w14:paraId="1C437237">
      <w:pPr>
        <w:rPr>
          <w:lang w:val="zh-CN"/>
        </w:rPr>
      </w:pPr>
    </w:p>
    <w:p w14:paraId="62815622">
      <w:pPr>
        <w:rPr>
          <w:lang w:val="zh-CN"/>
        </w:rPr>
      </w:pPr>
      <w:r>
        <w:drawing>
          <wp:inline distT="0" distB="0" distL="0" distR="0">
            <wp:extent cx="5400040" cy="7271385"/>
            <wp:effectExtent l="0" t="0" r="10160" b="5715"/>
            <wp:docPr id="227279434"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279434" name="图片 1" descr="表格&#10;&#10;AI 生成的内容可能不正确。"/>
                    <pic:cNvPicPr>
                      <a:picLocks noChangeAspect="1"/>
                    </pic:cNvPicPr>
                  </pic:nvPicPr>
                  <pic:blipFill>
                    <a:blip r:embed="rId50"/>
                    <a:stretch>
                      <a:fillRect/>
                    </a:stretch>
                  </pic:blipFill>
                  <pic:spPr>
                    <a:xfrm>
                      <a:off x="0" y="0"/>
                      <a:ext cx="5400040" cy="7271385"/>
                    </a:xfrm>
                    <a:prstGeom prst="rect">
                      <a:avLst/>
                    </a:prstGeom>
                  </pic:spPr>
                </pic:pic>
              </a:graphicData>
            </a:graphic>
          </wp:inline>
        </w:drawing>
      </w:r>
    </w:p>
    <w:p w14:paraId="16D2525C">
      <w:pPr>
        <w:rPr>
          <w:lang w:val="zh-CN"/>
        </w:rPr>
      </w:pPr>
    </w:p>
    <w:p w14:paraId="018FFE73">
      <w:pPr>
        <w:rPr>
          <w:lang w:val="zh-CN"/>
        </w:rPr>
        <w:sectPr>
          <w:pgSz w:w="11906" w:h="16838"/>
          <w:pgMar w:top="1531" w:right="1701" w:bottom="1531" w:left="1701" w:header="851" w:footer="851" w:gutter="0"/>
          <w:cols w:space="720" w:num="1"/>
          <w:docGrid w:linePitch="312" w:charSpace="0"/>
        </w:sectPr>
      </w:pPr>
    </w:p>
    <w:p w14:paraId="1DAE5E81">
      <w:pPr>
        <w:jc w:val="center"/>
        <w:rPr>
          <w:lang w:val="zh-CN"/>
        </w:rPr>
      </w:pPr>
      <w:r>
        <w:drawing>
          <wp:inline distT="0" distB="0" distL="0" distR="0">
            <wp:extent cx="7061835" cy="5400040"/>
            <wp:effectExtent l="0" t="0" r="5715" b="10160"/>
            <wp:docPr id="1156555962" name="图片 1" descr="报纸上有图片&#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6555962" name="图片 1" descr="报纸上有图片&#10;&#10;AI 生成的内容可能不正确。"/>
                    <pic:cNvPicPr>
                      <a:picLocks noChangeAspect="1"/>
                    </pic:cNvPicPr>
                  </pic:nvPicPr>
                  <pic:blipFill>
                    <a:blip r:embed="rId51"/>
                    <a:stretch>
                      <a:fillRect/>
                    </a:stretch>
                  </pic:blipFill>
                  <pic:spPr>
                    <a:xfrm>
                      <a:off x="0" y="0"/>
                      <a:ext cx="7061835" cy="5400040"/>
                    </a:xfrm>
                    <a:prstGeom prst="rect">
                      <a:avLst/>
                    </a:prstGeom>
                  </pic:spPr>
                </pic:pic>
              </a:graphicData>
            </a:graphic>
          </wp:inline>
        </w:drawing>
      </w:r>
    </w:p>
    <w:p w14:paraId="456C2E7D">
      <w:pPr>
        <w:jc w:val="center"/>
        <w:rPr>
          <w:lang w:val="zh-CN"/>
        </w:rPr>
      </w:pPr>
      <w:r>
        <w:drawing>
          <wp:inline distT="0" distB="0" distL="0" distR="0">
            <wp:extent cx="6931025" cy="5400040"/>
            <wp:effectExtent l="0" t="0" r="3175" b="10160"/>
            <wp:docPr id="1952788407" name="图片 1" descr="地图的截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788407" name="图片 1" descr="地图的截图&#10;&#10;AI 生成的内容可能不正确。"/>
                    <pic:cNvPicPr>
                      <a:picLocks noChangeAspect="1"/>
                    </pic:cNvPicPr>
                  </pic:nvPicPr>
                  <pic:blipFill>
                    <a:blip r:embed="rId52"/>
                    <a:stretch>
                      <a:fillRect/>
                    </a:stretch>
                  </pic:blipFill>
                  <pic:spPr>
                    <a:xfrm>
                      <a:off x="0" y="0"/>
                      <a:ext cx="6931025" cy="5400040"/>
                    </a:xfrm>
                    <a:prstGeom prst="rect">
                      <a:avLst/>
                    </a:prstGeom>
                  </pic:spPr>
                </pic:pic>
              </a:graphicData>
            </a:graphic>
          </wp:inline>
        </w:drawing>
      </w:r>
    </w:p>
    <w:p w14:paraId="62405104">
      <w:pPr>
        <w:jc w:val="center"/>
        <w:rPr>
          <w:lang w:val="zh-CN"/>
        </w:rPr>
      </w:pPr>
      <w:r>
        <w:drawing>
          <wp:inline distT="0" distB="0" distL="0" distR="0">
            <wp:extent cx="6133465" cy="5400040"/>
            <wp:effectExtent l="0" t="0" r="635" b="10160"/>
            <wp:docPr id="1983561556" name="图片 1" descr="地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561556" name="图片 1" descr="地图&#10;&#10;AI 生成的内容可能不正确。"/>
                    <pic:cNvPicPr>
                      <a:picLocks noChangeAspect="1"/>
                    </pic:cNvPicPr>
                  </pic:nvPicPr>
                  <pic:blipFill>
                    <a:blip r:embed="rId53"/>
                    <a:stretch>
                      <a:fillRect/>
                    </a:stretch>
                  </pic:blipFill>
                  <pic:spPr>
                    <a:xfrm>
                      <a:off x="0" y="0"/>
                      <a:ext cx="6133465" cy="5400040"/>
                    </a:xfrm>
                    <a:prstGeom prst="rect">
                      <a:avLst/>
                    </a:prstGeom>
                  </pic:spPr>
                </pic:pic>
              </a:graphicData>
            </a:graphic>
          </wp:inline>
        </w:drawing>
      </w:r>
    </w:p>
    <w:p w14:paraId="59748A0D">
      <w:pPr>
        <w:jc w:val="center"/>
        <w:rPr>
          <w:lang w:val="zh-CN"/>
        </w:rPr>
      </w:pPr>
      <w:r>
        <w:drawing>
          <wp:inline distT="0" distB="0" distL="0" distR="0">
            <wp:extent cx="6237605" cy="5400040"/>
            <wp:effectExtent l="0" t="0" r="10795" b="10160"/>
            <wp:docPr id="561400783" name="图片 1" descr="地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400783" name="图片 1" descr="地图&#10;&#10;AI 生成的内容可能不正确。"/>
                    <pic:cNvPicPr>
                      <a:picLocks noChangeAspect="1"/>
                    </pic:cNvPicPr>
                  </pic:nvPicPr>
                  <pic:blipFill>
                    <a:blip r:embed="rId54"/>
                    <a:stretch>
                      <a:fillRect/>
                    </a:stretch>
                  </pic:blipFill>
                  <pic:spPr>
                    <a:xfrm>
                      <a:off x="0" y="0"/>
                      <a:ext cx="6237605" cy="5400040"/>
                    </a:xfrm>
                    <a:prstGeom prst="rect">
                      <a:avLst/>
                    </a:prstGeom>
                  </pic:spPr>
                </pic:pic>
              </a:graphicData>
            </a:graphic>
          </wp:inline>
        </w:drawing>
      </w:r>
    </w:p>
    <w:p w14:paraId="0C212DB0">
      <w:pPr>
        <w:rPr>
          <w:lang w:val="zh-CN"/>
        </w:rPr>
        <w:sectPr>
          <w:pgSz w:w="16838" w:h="11906" w:orient="landscape"/>
          <w:pgMar w:top="1701" w:right="1531" w:bottom="1701" w:left="1531" w:header="851" w:footer="851" w:gutter="0"/>
          <w:cols w:space="720" w:num="1"/>
          <w:docGrid w:linePitch="312" w:charSpace="0"/>
        </w:sectPr>
      </w:pPr>
    </w:p>
    <w:p w14:paraId="5870FDF6">
      <w:pPr>
        <w:rPr>
          <w:lang w:val="zh-CN"/>
        </w:rPr>
      </w:pPr>
      <w:r>
        <w:drawing>
          <wp:inline distT="0" distB="0" distL="0" distR="0">
            <wp:extent cx="5400040" cy="5755640"/>
            <wp:effectExtent l="0" t="0" r="10160" b="16510"/>
            <wp:docPr id="909787407" name="图片 1"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787407" name="图片 1" descr="文本, 信件&#10;&#10;AI 生成的内容可能不正确。"/>
                    <pic:cNvPicPr>
                      <a:picLocks noChangeAspect="1"/>
                    </pic:cNvPicPr>
                  </pic:nvPicPr>
                  <pic:blipFill>
                    <a:blip r:embed="rId55"/>
                    <a:stretch>
                      <a:fillRect/>
                    </a:stretch>
                  </pic:blipFill>
                  <pic:spPr>
                    <a:xfrm>
                      <a:off x="0" y="0"/>
                      <a:ext cx="5400040" cy="5755640"/>
                    </a:xfrm>
                    <a:prstGeom prst="rect">
                      <a:avLst/>
                    </a:prstGeom>
                  </pic:spPr>
                </pic:pic>
              </a:graphicData>
            </a:graphic>
          </wp:inline>
        </w:drawing>
      </w:r>
    </w:p>
    <w:p w14:paraId="01CBBBB6">
      <w:pPr>
        <w:rPr>
          <w:lang w:val="zh-CN"/>
        </w:rPr>
      </w:pPr>
    </w:p>
    <w:p w14:paraId="4C3337AA">
      <w:pPr>
        <w:rPr>
          <w:lang w:val="zh-CN"/>
        </w:rPr>
        <w:sectPr>
          <w:pgSz w:w="11906" w:h="16838"/>
          <w:pgMar w:top="1531" w:right="1701" w:bottom="1531" w:left="1701" w:header="851" w:footer="851" w:gutter="0"/>
          <w:cols w:space="720" w:num="1"/>
          <w:docGrid w:linePitch="312" w:charSpace="0"/>
        </w:sectPr>
      </w:pPr>
    </w:p>
    <w:p w14:paraId="7FECD376">
      <w:pPr>
        <w:rPr>
          <w:lang w:val="zh-CN"/>
        </w:rPr>
      </w:pPr>
      <w:r>
        <w:drawing>
          <wp:inline distT="0" distB="0" distL="0" distR="0">
            <wp:extent cx="5400040" cy="7807325"/>
            <wp:effectExtent l="0" t="0" r="10160" b="3175"/>
            <wp:docPr id="320481390" name="图片 1"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481390" name="图片 1" descr="文本, 信件&#10;&#10;AI 生成的内容可能不正确。"/>
                    <pic:cNvPicPr>
                      <a:picLocks noChangeAspect="1"/>
                    </pic:cNvPicPr>
                  </pic:nvPicPr>
                  <pic:blipFill>
                    <a:blip r:embed="rId56"/>
                    <a:stretch>
                      <a:fillRect/>
                    </a:stretch>
                  </pic:blipFill>
                  <pic:spPr>
                    <a:xfrm>
                      <a:off x="0" y="0"/>
                      <a:ext cx="5400040" cy="7807325"/>
                    </a:xfrm>
                    <a:prstGeom prst="rect">
                      <a:avLst/>
                    </a:prstGeom>
                  </pic:spPr>
                </pic:pic>
              </a:graphicData>
            </a:graphic>
          </wp:inline>
        </w:drawing>
      </w:r>
    </w:p>
    <w:p w14:paraId="3B79455D">
      <w:pPr>
        <w:rPr>
          <w:lang w:val="zh-CN"/>
        </w:rPr>
      </w:pPr>
    </w:p>
    <w:p w14:paraId="2289F228">
      <w:pPr>
        <w:rPr>
          <w:lang w:val="zh-CN"/>
        </w:rPr>
        <w:sectPr>
          <w:pgSz w:w="11906" w:h="16838"/>
          <w:pgMar w:top="1531" w:right="1701" w:bottom="1531" w:left="1701" w:header="851" w:footer="851" w:gutter="0"/>
          <w:cols w:space="720" w:num="1"/>
          <w:docGrid w:linePitch="312" w:charSpace="0"/>
        </w:sectPr>
      </w:pPr>
    </w:p>
    <w:p w14:paraId="3666D621">
      <w:pPr>
        <w:jc w:val="center"/>
        <w:rPr>
          <w:lang w:val="zh-CN"/>
        </w:rPr>
      </w:pPr>
      <w:r>
        <w:drawing>
          <wp:inline distT="0" distB="0" distL="0" distR="0">
            <wp:extent cx="7705090" cy="5400040"/>
            <wp:effectExtent l="0" t="0" r="10160" b="10160"/>
            <wp:docPr id="1907514397" name="图片 1"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514397" name="图片 1" descr="文本, 信件&#10;&#10;AI 生成的内容可能不正确。"/>
                    <pic:cNvPicPr>
                      <a:picLocks noChangeAspect="1"/>
                    </pic:cNvPicPr>
                  </pic:nvPicPr>
                  <pic:blipFill>
                    <a:blip r:embed="rId57"/>
                    <a:stretch>
                      <a:fillRect/>
                    </a:stretch>
                  </pic:blipFill>
                  <pic:spPr>
                    <a:xfrm>
                      <a:off x="0" y="0"/>
                      <a:ext cx="7705090" cy="5400040"/>
                    </a:xfrm>
                    <a:prstGeom prst="rect">
                      <a:avLst/>
                    </a:prstGeom>
                  </pic:spPr>
                </pic:pic>
              </a:graphicData>
            </a:graphic>
          </wp:inline>
        </w:drawing>
      </w:r>
    </w:p>
    <w:p w14:paraId="2231858F">
      <w:pPr>
        <w:jc w:val="center"/>
        <w:rPr>
          <w:lang w:val="zh-CN"/>
        </w:rPr>
      </w:pPr>
      <w:r>
        <w:drawing>
          <wp:inline distT="0" distB="0" distL="0" distR="0">
            <wp:extent cx="7666990" cy="5400040"/>
            <wp:effectExtent l="0" t="0" r="10160" b="10160"/>
            <wp:docPr id="1774751826" name="图片 1"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751826" name="图片 1" descr="文本, 信件&#10;&#10;AI 生成的内容可能不正确。"/>
                    <pic:cNvPicPr>
                      <a:picLocks noChangeAspect="1"/>
                    </pic:cNvPicPr>
                  </pic:nvPicPr>
                  <pic:blipFill>
                    <a:blip r:embed="rId58"/>
                    <a:stretch>
                      <a:fillRect/>
                    </a:stretch>
                  </pic:blipFill>
                  <pic:spPr>
                    <a:xfrm>
                      <a:off x="0" y="0"/>
                      <a:ext cx="7666990" cy="5400040"/>
                    </a:xfrm>
                    <a:prstGeom prst="rect">
                      <a:avLst/>
                    </a:prstGeom>
                  </pic:spPr>
                </pic:pic>
              </a:graphicData>
            </a:graphic>
          </wp:inline>
        </w:drawing>
      </w:r>
    </w:p>
    <w:p w14:paraId="211BAA3F">
      <w:pPr>
        <w:rPr>
          <w:lang w:val="zh-CN"/>
        </w:rPr>
        <w:sectPr>
          <w:pgSz w:w="16838" w:h="11906" w:orient="landscape"/>
          <w:pgMar w:top="1701" w:right="1531" w:bottom="1701" w:left="1531" w:header="851" w:footer="851" w:gutter="0"/>
          <w:cols w:space="720" w:num="1"/>
          <w:docGrid w:linePitch="312" w:charSpace="0"/>
        </w:sectPr>
      </w:pPr>
    </w:p>
    <w:p w14:paraId="60DD830F">
      <w:pPr>
        <w:rPr>
          <w:lang w:val="zh-CN"/>
        </w:rPr>
      </w:pPr>
      <w:r>
        <w:drawing>
          <wp:inline distT="0" distB="0" distL="0" distR="0">
            <wp:extent cx="5400040" cy="7475220"/>
            <wp:effectExtent l="0" t="0" r="10160" b="11430"/>
            <wp:docPr id="1826540315" name="图片 1"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540315" name="图片 1" descr="图示&#10;&#10;AI 生成的内容可能不正确。"/>
                    <pic:cNvPicPr>
                      <a:picLocks noChangeAspect="1"/>
                    </pic:cNvPicPr>
                  </pic:nvPicPr>
                  <pic:blipFill>
                    <a:blip r:embed="rId59"/>
                    <a:stretch>
                      <a:fillRect/>
                    </a:stretch>
                  </pic:blipFill>
                  <pic:spPr>
                    <a:xfrm>
                      <a:off x="0" y="0"/>
                      <a:ext cx="5400040" cy="7475220"/>
                    </a:xfrm>
                    <a:prstGeom prst="rect">
                      <a:avLst/>
                    </a:prstGeom>
                  </pic:spPr>
                </pic:pic>
              </a:graphicData>
            </a:graphic>
          </wp:inline>
        </w:drawing>
      </w:r>
    </w:p>
    <w:p w14:paraId="2CF9B490">
      <w:pPr>
        <w:rPr>
          <w:lang w:val="zh-CN"/>
        </w:rPr>
      </w:pPr>
    </w:p>
    <w:p w14:paraId="0290B130">
      <w:pPr>
        <w:rPr>
          <w:lang w:val="zh-CN"/>
        </w:rPr>
      </w:pPr>
    </w:p>
    <w:p w14:paraId="31A80AF2">
      <w:pPr>
        <w:rPr>
          <w:lang w:val="zh-CN"/>
        </w:rPr>
      </w:pPr>
    </w:p>
    <w:p w14:paraId="16B8BB43">
      <w:pPr>
        <w:rPr>
          <w:lang w:val="zh-CN"/>
        </w:rPr>
      </w:pPr>
    </w:p>
    <w:p w14:paraId="77324130">
      <w:pPr>
        <w:rPr>
          <w:lang w:val="zh-CN"/>
        </w:rPr>
      </w:pPr>
    </w:p>
    <w:p w14:paraId="5DFBD48F">
      <w:pPr>
        <w:rPr>
          <w:lang w:val="zh-CN"/>
        </w:rPr>
      </w:pPr>
    </w:p>
    <w:p w14:paraId="2116512F">
      <w:pPr>
        <w:rPr>
          <w:lang w:val="zh-CN"/>
        </w:rPr>
      </w:pPr>
    </w:p>
    <w:p w14:paraId="70354CBE">
      <w:pPr>
        <w:rPr>
          <w:lang w:val="zh-CN"/>
        </w:rPr>
      </w:pPr>
    </w:p>
    <w:p w14:paraId="47F4A88B">
      <w:pPr>
        <w:rPr>
          <w:lang w:val="zh-CN"/>
        </w:rPr>
      </w:pPr>
    </w:p>
    <w:p w14:paraId="0FF2C6F9">
      <w:pPr>
        <w:rPr>
          <w:lang w:val="zh-CN"/>
        </w:rPr>
      </w:pPr>
    </w:p>
    <w:p w14:paraId="6FC7F633">
      <w:pPr>
        <w:rPr>
          <w:lang w:val="zh-CN"/>
        </w:rPr>
      </w:pPr>
      <w:r>
        <w:drawing>
          <wp:inline distT="0" distB="0" distL="0" distR="0">
            <wp:extent cx="5400040" cy="7509510"/>
            <wp:effectExtent l="0" t="0" r="10160" b="15240"/>
            <wp:docPr id="1690355654" name="图片 1"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355654" name="图片 1" descr="文本, 信件&#10;&#10;AI 生成的内容可能不正确。"/>
                    <pic:cNvPicPr>
                      <a:picLocks noChangeAspect="1"/>
                    </pic:cNvPicPr>
                  </pic:nvPicPr>
                  <pic:blipFill>
                    <a:blip r:embed="rId60"/>
                    <a:stretch>
                      <a:fillRect/>
                    </a:stretch>
                  </pic:blipFill>
                  <pic:spPr>
                    <a:xfrm>
                      <a:off x="0" y="0"/>
                      <a:ext cx="5400040" cy="7509510"/>
                    </a:xfrm>
                    <a:prstGeom prst="rect">
                      <a:avLst/>
                    </a:prstGeom>
                  </pic:spPr>
                </pic:pic>
              </a:graphicData>
            </a:graphic>
          </wp:inline>
        </w:drawing>
      </w:r>
    </w:p>
    <w:p w14:paraId="653D081F">
      <w:pPr>
        <w:rPr>
          <w:lang w:val="zh-CN"/>
        </w:rPr>
      </w:pPr>
    </w:p>
    <w:p w14:paraId="716D885E">
      <w:pPr>
        <w:rPr>
          <w:lang w:val="zh-CN"/>
        </w:rPr>
      </w:pPr>
    </w:p>
    <w:p w14:paraId="121568B3">
      <w:pPr>
        <w:rPr>
          <w:lang w:val="zh-CN"/>
        </w:rPr>
      </w:pPr>
    </w:p>
    <w:p w14:paraId="5A5E59E4">
      <w:pPr>
        <w:rPr>
          <w:lang w:val="zh-CN"/>
        </w:rPr>
      </w:pPr>
    </w:p>
    <w:p w14:paraId="70AB68E0">
      <w:pPr>
        <w:rPr>
          <w:lang w:val="zh-CN"/>
        </w:rPr>
      </w:pPr>
    </w:p>
    <w:p w14:paraId="7AE34C89">
      <w:pPr>
        <w:rPr>
          <w:lang w:val="zh-CN"/>
        </w:rPr>
      </w:pPr>
    </w:p>
    <w:p w14:paraId="7CFC2B03">
      <w:pPr>
        <w:rPr>
          <w:lang w:val="zh-CN"/>
        </w:rPr>
      </w:pPr>
    </w:p>
    <w:p w14:paraId="710B0D0B">
      <w:pPr>
        <w:rPr>
          <w:lang w:val="zh-CN"/>
        </w:rPr>
      </w:pPr>
    </w:p>
    <w:p w14:paraId="5000620C">
      <w:pPr>
        <w:rPr>
          <w:lang w:val="zh-CN"/>
        </w:rPr>
      </w:pPr>
    </w:p>
    <w:p w14:paraId="39BE345C">
      <w:pPr>
        <w:rPr>
          <w:lang w:val="zh-CN"/>
        </w:rPr>
      </w:pPr>
      <w:r>
        <w:drawing>
          <wp:inline distT="0" distB="0" distL="0" distR="0">
            <wp:extent cx="5400040" cy="7664450"/>
            <wp:effectExtent l="0" t="0" r="10160" b="12700"/>
            <wp:docPr id="745978470" name="图片 1" descr="文本&#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978470" name="图片 1" descr="文本&#10;&#10;AI 生成的内容可能不正确。"/>
                    <pic:cNvPicPr>
                      <a:picLocks noChangeAspect="1"/>
                    </pic:cNvPicPr>
                  </pic:nvPicPr>
                  <pic:blipFill>
                    <a:blip r:embed="rId61"/>
                    <a:stretch>
                      <a:fillRect/>
                    </a:stretch>
                  </pic:blipFill>
                  <pic:spPr>
                    <a:xfrm>
                      <a:off x="0" y="0"/>
                      <a:ext cx="5400040" cy="7664450"/>
                    </a:xfrm>
                    <a:prstGeom prst="rect">
                      <a:avLst/>
                    </a:prstGeom>
                  </pic:spPr>
                </pic:pic>
              </a:graphicData>
            </a:graphic>
          </wp:inline>
        </w:drawing>
      </w:r>
    </w:p>
    <w:p w14:paraId="50EB8AA2">
      <w:pPr>
        <w:rPr>
          <w:lang w:val="zh-CN"/>
        </w:rPr>
      </w:pPr>
    </w:p>
    <w:p w14:paraId="03EA2CBF">
      <w:pPr>
        <w:rPr>
          <w:lang w:val="zh-CN"/>
        </w:rPr>
      </w:pPr>
    </w:p>
    <w:p w14:paraId="49C3589B">
      <w:pPr>
        <w:rPr>
          <w:lang w:val="zh-CN"/>
        </w:rPr>
      </w:pPr>
    </w:p>
    <w:p w14:paraId="662B0C23">
      <w:pPr>
        <w:rPr>
          <w:lang w:val="zh-CN"/>
        </w:rPr>
      </w:pPr>
    </w:p>
    <w:p w14:paraId="1C7D8378">
      <w:pPr>
        <w:rPr>
          <w:lang w:val="zh-CN"/>
        </w:rPr>
      </w:pPr>
    </w:p>
    <w:p w14:paraId="38A6B818">
      <w:pPr>
        <w:rPr>
          <w:lang w:val="zh-CN"/>
        </w:rPr>
      </w:pPr>
    </w:p>
    <w:p w14:paraId="371FC025">
      <w:pPr>
        <w:rPr>
          <w:lang w:val="zh-CN"/>
        </w:rPr>
      </w:pPr>
      <w:r>
        <w:drawing>
          <wp:inline distT="0" distB="0" distL="0" distR="0">
            <wp:extent cx="5400040" cy="7252970"/>
            <wp:effectExtent l="0" t="0" r="10160" b="5080"/>
            <wp:docPr id="61769430"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69430" name="图片 1" descr="表格&#10;&#10;AI 生成的内容可能不正确。"/>
                    <pic:cNvPicPr>
                      <a:picLocks noChangeAspect="1"/>
                    </pic:cNvPicPr>
                  </pic:nvPicPr>
                  <pic:blipFill>
                    <a:blip r:embed="rId62"/>
                    <a:stretch>
                      <a:fillRect/>
                    </a:stretch>
                  </pic:blipFill>
                  <pic:spPr>
                    <a:xfrm>
                      <a:off x="0" y="0"/>
                      <a:ext cx="5400040" cy="7252970"/>
                    </a:xfrm>
                    <a:prstGeom prst="rect">
                      <a:avLst/>
                    </a:prstGeom>
                  </pic:spPr>
                </pic:pic>
              </a:graphicData>
            </a:graphic>
          </wp:inline>
        </w:drawing>
      </w:r>
    </w:p>
    <w:p w14:paraId="11CFA2EA">
      <w:pPr>
        <w:rPr>
          <w:lang w:val="zh-CN"/>
        </w:rPr>
      </w:pPr>
    </w:p>
    <w:p w14:paraId="3A81C691">
      <w:pPr>
        <w:rPr>
          <w:lang w:val="zh-CN"/>
        </w:rPr>
      </w:pPr>
    </w:p>
    <w:p w14:paraId="2DF9B6BC">
      <w:pPr>
        <w:rPr>
          <w:lang w:val="zh-CN"/>
        </w:rPr>
      </w:pPr>
    </w:p>
    <w:p w14:paraId="4D2E9131">
      <w:pPr>
        <w:rPr>
          <w:lang w:val="zh-CN"/>
        </w:rPr>
      </w:pPr>
    </w:p>
    <w:p w14:paraId="18334436">
      <w:pPr>
        <w:rPr>
          <w:lang w:val="zh-CN"/>
        </w:rPr>
      </w:pPr>
    </w:p>
    <w:p w14:paraId="21593DAC">
      <w:pPr>
        <w:rPr>
          <w:lang w:val="zh-CN"/>
        </w:rPr>
      </w:pPr>
    </w:p>
    <w:p w14:paraId="443E28E5">
      <w:pPr>
        <w:rPr>
          <w:lang w:val="zh-CN"/>
        </w:rPr>
      </w:pPr>
    </w:p>
    <w:p w14:paraId="492AAB22">
      <w:pPr>
        <w:rPr>
          <w:lang w:val="zh-CN"/>
        </w:rPr>
      </w:pPr>
    </w:p>
    <w:p w14:paraId="23698949">
      <w:pPr>
        <w:rPr>
          <w:lang w:val="zh-CN"/>
        </w:rPr>
      </w:pPr>
    </w:p>
    <w:p w14:paraId="642ACE3D">
      <w:pPr>
        <w:rPr>
          <w:lang w:val="zh-CN"/>
        </w:rPr>
      </w:pPr>
      <w:r>
        <w:drawing>
          <wp:inline distT="0" distB="0" distL="0" distR="0">
            <wp:extent cx="5400040" cy="7632700"/>
            <wp:effectExtent l="0" t="0" r="10160" b="6350"/>
            <wp:docPr id="344069253" name="图片 1"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069253" name="图片 1" descr="图示&#10;&#10;AI 生成的内容可能不正确。"/>
                    <pic:cNvPicPr>
                      <a:picLocks noChangeAspect="1"/>
                    </pic:cNvPicPr>
                  </pic:nvPicPr>
                  <pic:blipFill>
                    <a:blip r:embed="rId63"/>
                    <a:stretch>
                      <a:fillRect/>
                    </a:stretch>
                  </pic:blipFill>
                  <pic:spPr>
                    <a:xfrm>
                      <a:off x="0" y="0"/>
                      <a:ext cx="5400040" cy="7632700"/>
                    </a:xfrm>
                    <a:prstGeom prst="rect">
                      <a:avLst/>
                    </a:prstGeom>
                  </pic:spPr>
                </pic:pic>
              </a:graphicData>
            </a:graphic>
          </wp:inline>
        </w:drawing>
      </w:r>
    </w:p>
    <w:p w14:paraId="28FC83D4">
      <w:pPr>
        <w:rPr>
          <w:lang w:val="zh-CN"/>
        </w:rPr>
      </w:pPr>
    </w:p>
    <w:p w14:paraId="6D029B94">
      <w:pPr>
        <w:rPr>
          <w:lang w:val="zh-CN"/>
        </w:rPr>
      </w:pPr>
    </w:p>
    <w:p w14:paraId="57F409E9">
      <w:pPr>
        <w:rPr>
          <w:lang w:val="zh-CN"/>
        </w:rPr>
      </w:pPr>
    </w:p>
    <w:p w14:paraId="022DD318">
      <w:pPr>
        <w:rPr>
          <w:lang w:val="zh-CN"/>
        </w:rPr>
      </w:pPr>
    </w:p>
    <w:p w14:paraId="53AD6F77">
      <w:pPr>
        <w:rPr>
          <w:lang w:val="zh-CN"/>
        </w:rPr>
      </w:pPr>
    </w:p>
    <w:p w14:paraId="14FA5F6F">
      <w:pPr>
        <w:rPr>
          <w:lang w:val="zh-CN"/>
        </w:rPr>
      </w:pPr>
    </w:p>
    <w:p w14:paraId="0395E637">
      <w:pPr>
        <w:rPr>
          <w:lang w:val="zh-CN"/>
        </w:rPr>
      </w:pPr>
    </w:p>
    <w:p w14:paraId="21C34B67">
      <w:pPr>
        <w:rPr>
          <w:lang w:val="zh-CN"/>
        </w:rPr>
      </w:pPr>
      <w:r>
        <w:drawing>
          <wp:inline distT="0" distB="0" distL="0" distR="0">
            <wp:extent cx="5400040" cy="7483475"/>
            <wp:effectExtent l="0" t="0" r="10160" b="3175"/>
            <wp:docPr id="1253846903" name="图片 1" descr="图示, 工程绘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846903" name="图片 1" descr="图示, 工程绘图&#10;&#10;AI 生成的内容可能不正确。"/>
                    <pic:cNvPicPr>
                      <a:picLocks noChangeAspect="1"/>
                    </pic:cNvPicPr>
                  </pic:nvPicPr>
                  <pic:blipFill>
                    <a:blip r:embed="rId64"/>
                    <a:stretch>
                      <a:fillRect/>
                    </a:stretch>
                  </pic:blipFill>
                  <pic:spPr>
                    <a:xfrm>
                      <a:off x="0" y="0"/>
                      <a:ext cx="5400040" cy="7483475"/>
                    </a:xfrm>
                    <a:prstGeom prst="rect">
                      <a:avLst/>
                    </a:prstGeom>
                  </pic:spPr>
                </pic:pic>
              </a:graphicData>
            </a:graphic>
          </wp:inline>
        </w:drawing>
      </w:r>
    </w:p>
    <w:p w14:paraId="13729FD7">
      <w:pPr>
        <w:rPr>
          <w:lang w:val="zh-CN"/>
        </w:rPr>
      </w:pPr>
    </w:p>
    <w:p w14:paraId="2DE5D734">
      <w:pPr>
        <w:rPr>
          <w:lang w:val="zh-CN"/>
        </w:rPr>
      </w:pPr>
    </w:p>
    <w:p w14:paraId="1B0B3E33">
      <w:pPr>
        <w:rPr>
          <w:lang w:val="zh-CN"/>
        </w:rPr>
      </w:pPr>
    </w:p>
    <w:p w14:paraId="44A1356D">
      <w:pPr>
        <w:rPr>
          <w:lang w:val="zh-CN"/>
        </w:rPr>
      </w:pPr>
    </w:p>
    <w:p w14:paraId="3CE0B94A">
      <w:pPr>
        <w:rPr>
          <w:lang w:val="zh-CN"/>
        </w:rPr>
      </w:pPr>
    </w:p>
    <w:p w14:paraId="3B6D084B">
      <w:pPr>
        <w:rPr>
          <w:lang w:val="zh-CN"/>
        </w:rPr>
      </w:pPr>
    </w:p>
    <w:p w14:paraId="27786CC0">
      <w:pPr>
        <w:rPr>
          <w:lang w:val="zh-CN"/>
        </w:rPr>
      </w:pPr>
    </w:p>
    <w:p w14:paraId="1CF4A642">
      <w:pPr>
        <w:rPr>
          <w:lang w:val="zh-CN"/>
        </w:rPr>
      </w:pPr>
      <w:r>
        <w:drawing>
          <wp:inline distT="0" distB="0" distL="0" distR="0">
            <wp:extent cx="5400040" cy="7751445"/>
            <wp:effectExtent l="0" t="0" r="10160" b="1905"/>
            <wp:docPr id="1699129091" name="图片 1"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129091" name="图片 1" descr="图示&#10;&#10;AI 生成的内容可能不正确。"/>
                    <pic:cNvPicPr>
                      <a:picLocks noChangeAspect="1"/>
                    </pic:cNvPicPr>
                  </pic:nvPicPr>
                  <pic:blipFill>
                    <a:blip r:embed="rId65"/>
                    <a:stretch>
                      <a:fillRect/>
                    </a:stretch>
                  </pic:blipFill>
                  <pic:spPr>
                    <a:xfrm>
                      <a:off x="0" y="0"/>
                      <a:ext cx="5400040" cy="7751445"/>
                    </a:xfrm>
                    <a:prstGeom prst="rect">
                      <a:avLst/>
                    </a:prstGeom>
                  </pic:spPr>
                </pic:pic>
              </a:graphicData>
            </a:graphic>
          </wp:inline>
        </w:drawing>
      </w:r>
    </w:p>
    <w:p w14:paraId="043B83F8">
      <w:pPr>
        <w:rPr>
          <w:lang w:val="zh-CN"/>
        </w:rPr>
      </w:pPr>
    </w:p>
    <w:p w14:paraId="60C9EA5E">
      <w:pPr>
        <w:rPr>
          <w:lang w:val="zh-CN"/>
        </w:rPr>
      </w:pPr>
    </w:p>
    <w:p w14:paraId="1B97B360">
      <w:pPr>
        <w:rPr>
          <w:lang w:val="zh-CN"/>
        </w:rPr>
      </w:pPr>
    </w:p>
    <w:p w14:paraId="20AC3849">
      <w:pPr>
        <w:rPr>
          <w:lang w:val="zh-CN"/>
        </w:rPr>
      </w:pPr>
    </w:p>
    <w:p w14:paraId="184245BC">
      <w:pPr>
        <w:rPr>
          <w:lang w:val="zh-CN"/>
        </w:rPr>
        <w:sectPr>
          <w:pgSz w:w="11906" w:h="16838"/>
          <w:pgMar w:top="1531" w:right="1701" w:bottom="1531" w:left="1701" w:header="851" w:footer="851" w:gutter="0"/>
          <w:cols w:space="720" w:num="1"/>
          <w:docGrid w:linePitch="312" w:charSpace="0"/>
        </w:sectPr>
      </w:pPr>
    </w:p>
    <w:p w14:paraId="16294386">
      <w:pPr>
        <w:rPr>
          <w:lang w:val="zh-CN"/>
        </w:rPr>
      </w:pPr>
      <w:r>
        <w:drawing>
          <wp:inline distT="0" distB="0" distL="0" distR="0">
            <wp:extent cx="5400040" cy="7589520"/>
            <wp:effectExtent l="0" t="0" r="10160" b="11430"/>
            <wp:docPr id="1918142626" name="图片 1" descr="手机屏幕截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142626" name="图片 1" descr="手机屏幕截图&#10;&#10;AI 生成的内容可能不正确。"/>
                    <pic:cNvPicPr>
                      <a:picLocks noChangeAspect="1"/>
                    </pic:cNvPicPr>
                  </pic:nvPicPr>
                  <pic:blipFill>
                    <a:blip r:embed="rId66"/>
                    <a:stretch>
                      <a:fillRect/>
                    </a:stretch>
                  </pic:blipFill>
                  <pic:spPr>
                    <a:xfrm>
                      <a:off x="0" y="0"/>
                      <a:ext cx="5400040" cy="7589520"/>
                    </a:xfrm>
                    <a:prstGeom prst="rect">
                      <a:avLst/>
                    </a:prstGeom>
                  </pic:spPr>
                </pic:pic>
              </a:graphicData>
            </a:graphic>
          </wp:inline>
        </w:drawing>
      </w:r>
    </w:p>
    <w:p w14:paraId="4810369C">
      <w:pPr>
        <w:jc w:val="center"/>
        <w:rPr>
          <w:lang w:val="zh-CN"/>
        </w:rPr>
      </w:pPr>
    </w:p>
    <w:p w14:paraId="310BCABA">
      <w:pPr>
        <w:jc w:val="center"/>
        <w:rPr>
          <w:lang w:val="zh-CN"/>
        </w:rPr>
      </w:pPr>
    </w:p>
    <w:p w14:paraId="2C6D030F">
      <w:pPr>
        <w:jc w:val="center"/>
        <w:rPr>
          <w:lang w:val="zh-CN"/>
        </w:rPr>
      </w:pPr>
    </w:p>
    <w:p w14:paraId="6D1B26D8">
      <w:pPr>
        <w:jc w:val="center"/>
        <w:rPr>
          <w:lang w:val="zh-CN"/>
        </w:rPr>
      </w:pPr>
    </w:p>
    <w:p w14:paraId="45AE28DA">
      <w:pPr>
        <w:jc w:val="center"/>
        <w:rPr>
          <w:lang w:val="zh-CN"/>
        </w:rPr>
      </w:pPr>
    </w:p>
    <w:p w14:paraId="65B4DF5B">
      <w:pPr>
        <w:jc w:val="center"/>
        <w:rPr>
          <w:lang w:val="zh-CN"/>
        </w:rPr>
      </w:pPr>
    </w:p>
    <w:p w14:paraId="2746C771">
      <w:pPr>
        <w:jc w:val="center"/>
        <w:rPr>
          <w:lang w:val="zh-CN"/>
        </w:rPr>
      </w:pPr>
    </w:p>
    <w:p w14:paraId="71420298">
      <w:pPr>
        <w:jc w:val="center"/>
        <w:rPr>
          <w:lang w:val="zh-CN"/>
        </w:rPr>
      </w:pPr>
    </w:p>
    <w:p w14:paraId="688FF078">
      <w:pPr>
        <w:jc w:val="center"/>
        <w:rPr>
          <w:lang w:val="zh-CN"/>
        </w:rPr>
      </w:pPr>
    </w:p>
    <w:p w14:paraId="7BD3A36D">
      <w:pPr>
        <w:jc w:val="center"/>
        <w:rPr>
          <w:lang w:val="zh-CN"/>
        </w:rPr>
      </w:pPr>
      <w:r>
        <w:drawing>
          <wp:inline distT="0" distB="0" distL="0" distR="0">
            <wp:extent cx="5400040" cy="7515225"/>
            <wp:effectExtent l="0" t="0" r="10160" b="9525"/>
            <wp:docPr id="146675813" name="图片 1"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75813" name="图片 1" descr="文本, 信件&#10;&#10;AI 生成的内容可能不正确。"/>
                    <pic:cNvPicPr>
                      <a:picLocks noChangeAspect="1"/>
                    </pic:cNvPicPr>
                  </pic:nvPicPr>
                  <pic:blipFill>
                    <a:blip r:embed="rId67"/>
                    <a:stretch>
                      <a:fillRect/>
                    </a:stretch>
                  </pic:blipFill>
                  <pic:spPr>
                    <a:xfrm>
                      <a:off x="0" y="0"/>
                      <a:ext cx="5400040" cy="7515225"/>
                    </a:xfrm>
                    <a:prstGeom prst="rect">
                      <a:avLst/>
                    </a:prstGeom>
                  </pic:spPr>
                </pic:pic>
              </a:graphicData>
            </a:graphic>
          </wp:inline>
        </w:drawing>
      </w:r>
    </w:p>
    <w:p w14:paraId="623BC584">
      <w:pPr>
        <w:jc w:val="center"/>
        <w:rPr>
          <w:lang w:val="zh-CN"/>
        </w:rPr>
      </w:pPr>
    </w:p>
    <w:p w14:paraId="0B3EC7E5">
      <w:pPr>
        <w:jc w:val="center"/>
        <w:rPr>
          <w:lang w:val="zh-CN"/>
        </w:rPr>
      </w:pPr>
    </w:p>
    <w:p w14:paraId="1A02BC13">
      <w:pPr>
        <w:jc w:val="center"/>
        <w:rPr>
          <w:lang w:val="zh-CN"/>
        </w:rPr>
      </w:pPr>
    </w:p>
    <w:p w14:paraId="75581471">
      <w:pPr>
        <w:jc w:val="center"/>
        <w:rPr>
          <w:lang w:val="zh-CN"/>
        </w:rPr>
      </w:pPr>
    </w:p>
    <w:p w14:paraId="7AE91B88">
      <w:pPr>
        <w:jc w:val="center"/>
        <w:rPr>
          <w:lang w:val="zh-CN"/>
        </w:rPr>
      </w:pPr>
    </w:p>
    <w:p w14:paraId="268EE5CD">
      <w:pPr>
        <w:jc w:val="center"/>
        <w:rPr>
          <w:lang w:val="zh-CN"/>
        </w:rPr>
      </w:pPr>
    </w:p>
    <w:p w14:paraId="10015B14">
      <w:pPr>
        <w:jc w:val="center"/>
        <w:rPr>
          <w:lang w:val="zh-CN"/>
        </w:rPr>
      </w:pPr>
      <w:r>
        <w:drawing>
          <wp:inline distT="0" distB="0" distL="0" distR="0">
            <wp:extent cx="5400040" cy="7567930"/>
            <wp:effectExtent l="0" t="0" r="10160" b="13970"/>
            <wp:docPr id="769608785" name="图片 1" descr="手机屏幕截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608785" name="图片 1" descr="手机屏幕截图&#10;&#10;AI 生成的内容可能不正确。"/>
                    <pic:cNvPicPr>
                      <a:picLocks noChangeAspect="1"/>
                    </pic:cNvPicPr>
                  </pic:nvPicPr>
                  <pic:blipFill>
                    <a:blip r:embed="rId68"/>
                    <a:stretch>
                      <a:fillRect/>
                    </a:stretch>
                  </pic:blipFill>
                  <pic:spPr>
                    <a:xfrm>
                      <a:off x="0" y="0"/>
                      <a:ext cx="5400040" cy="7567930"/>
                    </a:xfrm>
                    <a:prstGeom prst="rect">
                      <a:avLst/>
                    </a:prstGeom>
                  </pic:spPr>
                </pic:pic>
              </a:graphicData>
            </a:graphic>
          </wp:inline>
        </w:drawing>
      </w:r>
    </w:p>
    <w:p w14:paraId="38E1DAB5">
      <w:pPr>
        <w:jc w:val="center"/>
        <w:rPr>
          <w:lang w:val="zh-CN"/>
        </w:rPr>
      </w:pPr>
    </w:p>
    <w:p w14:paraId="73A06680">
      <w:pPr>
        <w:jc w:val="center"/>
        <w:rPr>
          <w:lang w:val="zh-CN"/>
        </w:rPr>
      </w:pPr>
    </w:p>
    <w:p w14:paraId="0BA56EA9">
      <w:pPr>
        <w:jc w:val="center"/>
        <w:rPr>
          <w:lang w:val="zh-CN"/>
        </w:rPr>
      </w:pPr>
    </w:p>
    <w:p w14:paraId="7607482A">
      <w:pPr>
        <w:jc w:val="center"/>
        <w:rPr>
          <w:lang w:val="zh-CN"/>
        </w:rPr>
      </w:pPr>
    </w:p>
    <w:p w14:paraId="0F98A4D8">
      <w:pPr>
        <w:jc w:val="center"/>
        <w:rPr>
          <w:lang w:val="zh-CN"/>
        </w:rPr>
      </w:pPr>
    </w:p>
    <w:p w14:paraId="799548F8">
      <w:pPr>
        <w:jc w:val="center"/>
        <w:rPr>
          <w:lang w:val="zh-CN"/>
        </w:rPr>
      </w:pPr>
    </w:p>
    <w:p w14:paraId="4F6A27B5">
      <w:pPr>
        <w:jc w:val="center"/>
        <w:rPr>
          <w:lang w:val="zh-CN"/>
        </w:rPr>
      </w:pPr>
    </w:p>
    <w:p w14:paraId="37F6C195">
      <w:pPr>
        <w:jc w:val="center"/>
        <w:rPr>
          <w:lang w:val="zh-CN"/>
        </w:rPr>
      </w:pPr>
    </w:p>
    <w:p w14:paraId="4CE49220">
      <w:pPr>
        <w:jc w:val="center"/>
        <w:rPr>
          <w:lang w:val="zh-CN"/>
        </w:rPr>
      </w:pPr>
      <w:r>
        <w:drawing>
          <wp:inline distT="0" distB="0" distL="0" distR="0">
            <wp:extent cx="5400040" cy="7545705"/>
            <wp:effectExtent l="0" t="0" r="10160" b="17145"/>
            <wp:docPr id="1717428122" name="图片 1" descr="手机屏幕截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428122" name="图片 1" descr="手机屏幕截图&#10;&#10;AI 生成的内容可能不正确。"/>
                    <pic:cNvPicPr>
                      <a:picLocks noChangeAspect="1"/>
                    </pic:cNvPicPr>
                  </pic:nvPicPr>
                  <pic:blipFill>
                    <a:blip r:embed="rId69"/>
                    <a:stretch>
                      <a:fillRect/>
                    </a:stretch>
                  </pic:blipFill>
                  <pic:spPr>
                    <a:xfrm>
                      <a:off x="0" y="0"/>
                      <a:ext cx="5400040" cy="7545705"/>
                    </a:xfrm>
                    <a:prstGeom prst="rect">
                      <a:avLst/>
                    </a:prstGeom>
                  </pic:spPr>
                </pic:pic>
              </a:graphicData>
            </a:graphic>
          </wp:inline>
        </w:drawing>
      </w:r>
    </w:p>
    <w:p w14:paraId="1E1DA4B2">
      <w:pPr>
        <w:jc w:val="center"/>
        <w:rPr>
          <w:lang w:val="zh-CN"/>
        </w:rPr>
      </w:pPr>
    </w:p>
    <w:p w14:paraId="3621C1EC">
      <w:pPr>
        <w:jc w:val="center"/>
        <w:rPr>
          <w:lang w:val="zh-CN"/>
        </w:rPr>
      </w:pPr>
    </w:p>
    <w:p w14:paraId="0B2B06FB">
      <w:pPr>
        <w:jc w:val="center"/>
        <w:rPr>
          <w:lang w:val="zh-CN"/>
        </w:rPr>
      </w:pPr>
    </w:p>
    <w:p w14:paraId="755238C6">
      <w:pPr>
        <w:jc w:val="center"/>
        <w:rPr>
          <w:lang w:val="zh-CN"/>
        </w:rPr>
      </w:pPr>
    </w:p>
    <w:p w14:paraId="6468877B">
      <w:pPr>
        <w:jc w:val="center"/>
        <w:rPr>
          <w:lang w:val="zh-CN"/>
        </w:rPr>
      </w:pPr>
    </w:p>
    <w:p w14:paraId="580FE924">
      <w:pPr>
        <w:jc w:val="center"/>
        <w:rPr>
          <w:lang w:val="zh-CN"/>
        </w:rPr>
      </w:pPr>
    </w:p>
    <w:p w14:paraId="600345FE">
      <w:pPr>
        <w:jc w:val="center"/>
        <w:rPr>
          <w:lang w:val="zh-CN"/>
        </w:rPr>
      </w:pPr>
      <w:r>
        <w:drawing>
          <wp:inline distT="0" distB="0" distL="0" distR="0">
            <wp:extent cx="5400040" cy="7367270"/>
            <wp:effectExtent l="0" t="0" r="10160" b="5080"/>
            <wp:docPr id="1875984903" name="图片 1" descr="日程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984903" name="图片 1" descr="日程表&#10;&#10;AI 生成的内容可能不正确。"/>
                    <pic:cNvPicPr>
                      <a:picLocks noChangeAspect="1"/>
                    </pic:cNvPicPr>
                  </pic:nvPicPr>
                  <pic:blipFill>
                    <a:blip r:embed="rId70"/>
                    <a:stretch>
                      <a:fillRect/>
                    </a:stretch>
                  </pic:blipFill>
                  <pic:spPr>
                    <a:xfrm>
                      <a:off x="0" y="0"/>
                      <a:ext cx="5400040" cy="7367270"/>
                    </a:xfrm>
                    <a:prstGeom prst="rect">
                      <a:avLst/>
                    </a:prstGeom>
                  </pic:spPr>
                </pic:pic>
              </a:graphicData>
            </a:graphic>
          </wp:inline>
        </w:drawing>
      </w:r>
    </w:p>
    <w:p w14:paraId="4561FAC0">
      <w:pPr>
        <w:jc w:val="center"/>
        <w:rPr>
          <w:lang w:val="zh-CN"/>
        </w:rPr>
      </w:pPr>
    </w:p>
    <w:p w14:paraId="2F034F5B">
      <w:pPr>
        <w:jc w:val="center"/>
        <w:rPr>
          <w:lang w:val="zh-CN"/>
        </w:rPr>
      </w:pPr>
    </w:p>
    <w:p w14:paraId="52A2069D">
      <w:pPr>
        <w:jc w:val="center"/>
        <w:rPr>
          <w:lang w:val="zh-CN"/>
        </w:rPr>
      </w:pPr>
    </w:p>
    <w:p w14:paraId="577AD6D9">
      <w:pPr>
        <w:jc w:val="center"/>
        <w:rPr>
          <w:lang w:val="zh-CN"/>
        </w:rPr>
      </w:pPr>
    </w:p>
    <w:p w14:paraId="40F4596C">
      <w:pPr>
        <w:jc w:val="center"/>
        <w:rPr>
          <w:lang w:val="zh-CN"/>
        </w:rPr>
      </w:pPr>
    </w:p>
    <w:p w14:paraId="10EB2BCB">
      <w:pPr>
        <w:jc w:val="center"/>
        <w:rPr>
          <w:lang w:val="zh-CN"/>
        </w:rPr>
      </w:pPr>
    </w:p>
    <w:p w14:paraId="5CD46158">
      <w:pPr>
        <w:jc w:val="center"/>
        <w:rPr>
          <w:lang w:val="zh-CN"/>
        </w:rPr>
      </w:pPr>
    </w:p>
    <w:p w14:paraId="5F11FC55">
      <w:pPr>
        <w:jc w:val="center"/>
        <w:rPr>
          <w:lang w:val="zh-CN"/>
        </w:rPr>
      </w:pPr>
    </w:p>
    <w:p w14:paraId="350D0307">
      <w:pPr>
        <w:jc w:val="center"/>
        <w:rPr>
          <w:lang w:val="zh-CN"/>
        </w:rPr>
      </w:pPr>
    </w:p>
    <w:p w14:paraId="7C47C677">
      <w:pPr>
        <w:jc w:val="center"/>
        <w:rPr>
          <w:lang w:val="zh-CN"/>
        </w:rPr>
      </w:pPr>
      <w:r>
        <w:drawing>
          <wp:inline distT="0" distB="0" distL="0" distR="0">
            <wp:extent cx="5400040" cy="7303135"/>
            <wp:effectExtent l="0" t="0" r="10160" b="12065"/>
            <wp:docPr id="1640505361" name="图片 1"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505361" name="图片 1" descr="图形用户界面&#10;&#10;AI 生成的内容可能不正确。"/>
                    <pic:cNvPicPr>
                      <a:picLocks noChangeAspect="1"/>
                    </pic:cNvPicPr>
                  </pic:nvPicPr>
                  <pic:blipFill>
                    <a:blip r:embed="rId71"/>
                    <a:stretch>
                      <a:fillRect/>
                    </a:stretch>
                  </pic:blipFill>
                  <pic:spPr>
                    <a:xfrm>
                      <a:off x="0" y="0"/>
                      <a:ext cx="5400040" cy="7303135"/>
                    </a:xfrm>
                    <a:prstGeom prst="rect">
                      <a:avLst/>
                    </a:prstGeom>
                  </pic:spPr>
                </pic:pic>
              </a:graphicData>
            </a:graphic>
          </wp:inline>
        </w:drawing>
      </w:r>
    </w:p>
    <w:p w14:paraId="510D7263">
      <w:pPr>
        <w:jc w:val="center"/>
        <w:rPr>
          <w:lang w:val="zh-CN"/>
        </w:rPr>
      </w:pPr>
    </w:p>
    <w:p w14:paraId="2DECF105">
      <w:pPr>
        <w:jc w:val="center"/>
        <w:rPr>
          <w:lang w:val="zh-CN"/>
        </w:rPr>
      </w:pPr>
    </w:p>
    <w:p w14:paraId="3D2ACA94">
      <w:pPr>
        <w:jc w:val="center"/>
        <w:rPr>
          <w:lang w:val="zh-CN"/>
        </w:rPr>
      </w:pPr>
    </w:p>
    <w:p w14:paraId="7C82BDE9">
      <w:pPr>
        <w:jc w:val="center"/>
        <w:rPr>
          <w:lang w:val="zh-CN"/>
        </w:rPr>
      </w:pPr>
    </w:p>
    <w:p w14:paraId="61F40F6D">
      <w:pPr>
        <w:jc w:val="center"/>
        <w:rPr>
          <w:lang w:val="zh-CN"/>
        </w:rPr>
      </w:pPr>
    </w:p>
    <w:p w14:paraId="125BD4C0">
      <w:pPr>
        <w:jc w:val="center"/>
        <w:rPr>
          <w:lang w:val="zh-CN"/>
        </w:rPr>
      </w:pPr>
    </w:p>
    <w:p w14:paraId="0485D70E">
      <w:pPr>
        <w:jc w:val="center"/>
        <w:rPr>
          <w:lang w:val="zh-CN"/>
        </w:rPr>
      </w:pPr>
    </w:p>
    <w:p w14:paraId="66761E2C">
      <w:pPr>
        <w:jc w:val="center"/>
        <w:rPr>
          <w:lang w:val="zh-CN"/>
        </w:rPr>
      </w:pPr>
    </w:p>
    <w:p w14:paraId="62554CBB">
      <w:pPr>
        <w:jc w:val="center"/>
        <w:rPr>
          <w:lang w:val="zh-CN"/>
        </w:rPr>
      </w:pPr>
    </w:p>
    <w:p w14:paraId="6C2C6CDC">
      <w:pPr>
        <w:jc w:val="center"/>
        <w:rPr>
          <w:lang w:val="zh-CN"/>
        </w:rPr>
      </w:pPr>
      <w:r>
        <w:drawing>
          <wp:inline distT="0" distB="0" distL="0" distR="0">
            <wp:extent cx="5400040" cy="7088505"/>
            <wp:effectExtent l="0" t="0" r="10160" b="17145"/>
            <wp:docPr id="276952373" name="图片 1"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952373" name="图片 1" descr="文本, 信件&#10;&#10;AI 生成的内容可能不正确。"/>
                    <pic:cNvPicPr>
                      <a:picLocks noChangeAspect="1"/>
                    </pic:cNvPicPr>
                  </pic:nvPicPr>
                  <pic:blipFill>
                    <a:blip r:embed="rId72"/>
                    <a:stretch>
                      <a:fillRect/>
                    </a:stretch>
                  </pic:blipFill>
                  <pic:spPr>
                    <a:xfrm>
                      <a:off x="0" y="0"/>
                      <a:ext cx="5400040" cy="7088505"/>
                    </a:xfrm>
                    <a:prstGeom prst="rect">
                      <a:avLst/>
                    </a:prstGeom>
                  </pic:spPr>
                </pic:pic>
              </a:graphicData>
            </a:graphic>
          </wp:inline>
        </w:drawing>
      </w:r>
    </w:p>
    <w:p w14:paraId="179CB624">
      <w:pPr>
        <w:jc w:val="center"/>
        <w:rPr>
          <w:lang w:val="zh-CN"/>
        </w:rPr>
      </w:pPr>
    </w:p>
    <w:p w14:paraId="26ADB742">
      <w:pPr>
        <w:jc w:val="center"/>
        <w:rPr>
          <w:lang w:val="zh-CN"/>
        </w:rPr>
      </w:pPr>
    </w:p>
    <w:p w14:paraId="79F0FC1D">
      <w:pPr>
        <w:jc w:val="center"/>
        <w:rPr>
          <w:lang w:val="zh-CN"/>
        </w:rPr>
      </w:pPr>
    </w:p>
    <w:p w14:paraId="2C751EB0">
      <w:pPr>
        <w:jc w:val="center"/>
        <w:rPr>
          <w:lang w:val="zh-CN"/>
        </w:rPr>
      </w:pPr>
    </w:p>
    <w:p w14:paraId="0BCA092B">
      <w:pPr>
        <w:jc w:val="center"/>
        <w:rPr>
          <w:lang w:val="zh-CN"/>
        </w:rPr>
      </w:pPr>
    </w:p>
    <w:p w14:paraId="68B7FF0A">
      <w:pPr>
        <w:jc w:val="center"/>
        <w:rPr>
          <w:lang w:val="zh-CN"/>
        </w:rPr>
      </w:pPr>
    </w:p>
    <w:p w14:paraId="626212D3">
      <w:pPr>
        <w:jc w:val="center"/>
        <w:rPr>
          <w:lang w:val="zh-CN"/>
        </w:rPr>
      </w:pPr>
    </w:p>
    <w:p w14:paraId="2A6C95E9">
      <w:pPr>
        <w:jc w:val="center"/>
        <w:rPr>
          <w:lang w:val="zh-CN"/>
        </w:rPr>
      </w:pPr>
    </w:p>
    <w:p w14:paraId="3397BCF7">
      <w:pPr>
        <w:jc w:val="center"/>
        <w:rPr>
          <w:lang w:val="zh-CN"/>
        </w:rPr>
      </w:pPr>
    </w:p>
    <w:p w14:paraId="2E8F5CA0">
      <w:pPr>
        <w:jc w:val="center"/>
        <w:rPr>
          <w:lang w:val="zh-CN"/>
        </w:rPr>
      </w:pPr>
    </w:p>
    <w:p w14:paraId="78C733BE">
      <w:pPr>
        <w:jc w:val="center"/>
        <w:rPr>
          <w:lang w:val="zh-CN"/>
        </w:rPr>
      </w:pPr>
      <w:r>
        <w:drawing>
          <wp:inline distT="0" distB="0" distL="0" distR="0">
            <wp:extent cx="5400040" cy="7529830"/>
            <wp:effectExtent l="0" t="0" r="10160" b="13970"/>
            <wp:docPr id="931082537"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082537" name="图片 1" descr="表格&#10;&#10;AI 生成的内容可能不正确。"/>
                    <pic:cNvPicPr>
                      <a:picLocks noChangeAspect="1"/>
                    </pic:cNvPicPr>
                  </pic:nvPicPr>
                  <pic:blipFill>
                    <a:blip r:embed="rId73"/>
                    <a:stretch>
                      <a:fillRect/>
                    </a:stretch>
                  </pic:blipFill>
                  <pic:spPr>
                    <a:xfrm>
                      <a:off x="0" y="0"/>
                      <a:ext cx="5400040" cy="7529830"/>
                    </a:xfrm>
                    <a:prstGeom prst="rect">
                      <a:avLst/>
                    </a:prstGeom>
                  </pic:spPr>
                </pic:pic>
              </a:graphicData>
            </a:graphic>
          </wp:inline>
        </w:drawing>
      </w:r>
    </w:p>
    <w:p w14:paraId="13DCBACD">
      <w:pPr>
        <w:jc w:val="center"/>
        <w:rPr>
          <w:lang w:val="zh-CN"/>
        </w:rPr>
      </w:pPr>
    </w:p>
    <w:p w14:paraId="42676332">
      <w:pPr>
        <w:jc w:val="center"/>
        <w:rPr>
          <w:lang w:val="zh-CN"/>
        </w:rPr>
      </w:pPr>
    </w:p>
    <w:p w14:paraId="4A7CCE45">
      <w:pPr>
        <w:jc w:val="center"/>
        <w:rPr>
          <w:lang w:val="zh-CN"/>
        </w:rPr>
      </w:pPr>
    </w:p>
    <w:p w14:paraId="33EFB98D">
      <w:pPr>
        <w:jc w:val="center"/>
        <w:rPr>
          <w:lang w:val="zh-CN"/>
        </w:rPr>
      </w:pPr>
    </w:p>
    <w:p w14:paraId="4B0C4C45">
      <w:pPr>
        <w:jc w:val="center"/>
        <w:rPr>
          <w:lang w:val="zh-CN"/>
        </w:rPr>
      </w:pPr>
    </w:p>
    <w:p w14:paraId="56289F8E">
      <w:pPr>
        <w:jc w:val="center"/>
        <w:rPr>
          <w:lang w:val="zh-CN"/>
        </w:rPr>
      </w:pPr>
    </w:p>
    <w:p w14:paraId="6F7DDD61">
      <w:pPr>
        <w:jc w:val="center"/>
        <w:rPr>
          <w:lang w:val="zh-CN"/>
        </w:rPr>
      </w:pPr>
    </w:p>
    <w:p w14:paraId="4AA2C76D">
      <w:pPr>
        <w:jc w:val="center"/>
        <w:rPr>
          <w:lang w:val="zh-CN"/>
        </w:rPr>
      </w:pPr>
      <w:r>
        <w:drawing>
          <wp:inline distT="0" distB="0" distL="0" distR="0">
            <wp:extent cx="5400040" cy="6940550"/>
            <wp:effectExtent l="0" t="0" r="10160" b="12700"/>
            <wp:docPr id="690739517" name="图片 1" descr="手机屏幕截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739517" name="图片 1" descr="手机屏幕截图&#10;&#10;AI 生成的内容可能不正确。"/>
                    <pic:cNvPicPr>
                      <a:picLocks noChangeAspect="1"/>
                    </pic:cNvPicPr>
                  </pic:nvPicPr>
                  <pic:blipFill>
                    <a:blip r:embed="rId74"/>
                    <a:stretch>
                      <a:fillRect/>
                    </a:stretch>
                  </pic:blipFill>
                  <pic:spPr>
                    <a:xfrm>
                      <a:off x="0" y="0"/>
                      <a:ext cx="5400040" cy="6940550"/>
                    </a:xfrm>
                    <a:prstGeom prst="rect">
                      <a:avLst/>
                    </a:prstGeom>
                  </pic:spPr>
                </pic:pic>
              </a:graphicData>
            </a:graphic>
          </wp:inline>
        </w:drawing>
      </w:r>
    </w:p>
    <w:p w14:paraId="61C97DBB">
      <w:pPr>
        <w:jc w:val="center"/>
        <w:rPr>
          <w:lang w:val="zh-CN"/>
        </w:rPr>
      </w:pPr>
    </w:p>
    <w:p w14:paraId="09E966AC">
      <w:pPr>
        <w:jc w:val="center"/>
        <w:rPr>
          <w:lang w:val="zh-CN"/>
        </w:rPr>
      </w:pPr>
    </w:p>
    <w:p w14:paraId="5A149200">
      <w:pPr>
        <w:jc w:val="center"/>
        <w:rPr>
          <w:lang w:val="zh-CN"/>
        </w:rPr>
      </w:pPr>
    </w:p>
    <w:p w14:paraId="6231E8B5">
      <w:pPr>
        <w:jc w:val="center"/>
        <w:rPr>
          <w:lang w:val="zh-CN"/>
        </w:rPr>
      </w:pPr>
    </w:p>
    <w:p w14:paraId="2FB9585F">
      <w:pPr>
        <w:jc w:val="center"/>
        <w:rPr>
          <w:lang w:val="zh-CN"/>
        </w:rPr>
      </w:pPr>
    </w:p>
    <w:p w14:paraId="74800E93">
      <w:pPr>
        <w:jc w:val="center"/>
        <w:rPr>
          <w:lang w:val="zh-CN"/>
        </w:rPr>
      </w:pPr>
    </w:p>
    <w:p w14:paraId="6FBC03FA">
      <w:pPr>
        <w:jc w:val="center"/>
        <w:rPr>
          <w:lang w:val="zh-CN"/>
        </w:rPr>
      </w:pPr>
    </w:p>
    <w:p w14:paraId="1AF1814A">
      <w:pPr>
        <w:jc w:val="center"/>
        <w:rPr>
          <w:lang w:val="zh-CN"/>
        </w:rPr>
      </w:pPr>
    </w:p>
    <w:p w14:paraId="3DF9A3EA">
      <w:pPr>
        <w:jc w:val="center"/>
        <w:rPr>
          <w:lang w:val="zh-CN"/>
        </w:rPr>
      </w:pPr>
    </w:p>
    <w:p w14:paraId="2D120C0B">
      <w:pPr>
        <w:jc w:val="center"/>
        <w:rPr>
          <w:lang w:val="zh-CN"/>
        </w:rPr>
      </w:pPr>
    </w:p>
    <w:p w14:paraId="2864D924">
      <w:pPr>
        <w:jc w:val="center"/>
        <w:rPr>
          <w:lang w:val="zh-CN"/>
        </w:rPr>
      </w:pPr>
    </w:p>
    <w:p w14:paraId="3FEAF712">
      <w:pPr>
        <w:jc w:val="center"/>
        <w:rPr>
          <w:lang w:val="zh-CN"/>
        </w:rPr>
      </w:pPr>
    </w:p>
    <w:p w14:paraId="341541D6">
      <w:pPr>
        <w:jc w:val="center"/>
        <w:rPr>
          <w:lang w:val="zh-CN"/>
        </w:rPr>
      </w:pPr>
      <w:r>
        <w:drawing>
          <wp:inline distT="0" distB="0" distL="0" distR="0">
            <wp:extent cx="5400040" cy="6917055"/>
            <wp:effectExtent l="0" t="0" r="10160" b="17145"/>
            <wp:docPr id="1444694127"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694127" name="图片 1" descr="表格&#10;&#10;AI 生成的内容可能不正确。"/>
                    <pic:cNvPicPr>
                      <a:picLocks noChangeAspect="1"/>
                    </pic:cNvPicPr>
                  </pic:nvPicPr>
                  <pic:blipFill>
                    <a:blip r:embed="rId75"/>
                    <a:stretch>
                      <a:fillRect/>
                    </a:stretch>
                  </pic:blipFill>
                  <pic:spPr>
                    <a:xfrm>
                      <a:off x="0" y="0"/>
                      <a:ext cx="5400040" cy="6917055"/>
                    </a:xfrm>
                    <a:prstGeom prst="rect">
                      <a:avLst/>
                    </a:prstGeom>
                  </pic:spPr>
                </pic:pic>
              </a:graphicData>
            </a:graphic>
          </wp:inline>
        </w:drawing>
      </w:r>
    </w:p>
    <w:p w14:paraId="2E8B6F7B">
      <w:pPr>
        <w:jc w:val="center"/>
        <w:rPr>
          <w:lang w:val="zh-CN"/>
        </w:rPr>
      </w:pPr>
    </w:p>
    <w:p w14:paraId="36409920">
      <w:pPr>
        <w:jc w:val="center"/>
        <w:rPr>
          <w:lang w:val="zh-CN"/>
        </w:rPr>
      </w:pPr>
    </w:p>
    <w:p w14:paraId="673F397D">
      <w:pPr>
        <w:jc w:val="center"/>
        <w:rPr>
          <w:lang w:val="zh-CN"/>
        </w:rPr>
      </w:pPr>
    </w:p>
    <w:p w14:paraId="7F8D5A94">
      <w:pPr>
        <w:jc w:val="center"/>
        <w:rPr>
          <w:lang w:val="zh-CN"/>
        </w:rPr>
      </w:pPr>
    </w:p>
    <w:p w14:paraId="6CD8EEBA">
      <w:pPr>
        <w:jc w:val="center"/>
        <w:rPr>
          <w:lang w:val="zh-CN"/>
        </w:rPr>
      </w:pPr>
    </w:p>
    <w:p w14:paraId="594B454A">
      <w:pPr>
        <w:jc w:val="center"/>
        <w:rPr>
          <w:lang w:val="zh-CN"/>
        </w:rPr>
      </w:pPr>
    </w:p>
    <w:p w14:paraId="37ADFB21">
      <w:pPr>
        <w:jc w:val="center"/>
        <w:rPr>
          <w:lang w:val="zh-CN"/>
        </w:rPr>
      </w:pPr>
    </w:p>
    <w:p w14:paraId="2887F343">
      <w:pPr>
        <w:jc w:val="center"/>
        <w:rPr>
          <w:lang w:val="zh-CN"/>
        </w:rPr>
      </w:pPr>
    </w:p>
    <w:p w14:paraId="028C15C1">
      <w:pPr>
        <w:jc w:val="center"/>
        <w:rPr>
          <w:lang w:val="zh-CN"/>
        </w:rPr>
      </w:pPr>
    </w:p>
    <w:p w14:paraId="532B3A5E">
      <w:pPr>
        <w:jc w:val="center"/>
        <w:rPr>
          <w:lang w:val="zh-CN"/>
        </w:rPr>
      </w:pPr>
    </w:p>
    <w:p w14:paraId="3C6B1D44">
      <w:pPr>
        <w:jc w:val="center"/>
        <w:rPr>
          <w:lang w:val="zh-CN"/>
        </w:rPr>
      </w:pPr>
      <w:r>
        <w:drawing>
          <wp:inline distT="0" distB="0" distL="0" distR="0">
            <wp:extent cx="5400040" cy="6384925"/>
            <wp:effectExtent l="0" t="0" r="10160" b="15875"/>
            <wp:docPr id="1748284074"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284074" name="图片 1" descr="表格&#10;&#10;AI 生成的内容可能不正确。"/>
                    <pic:cNvPicPr>
                      <a:picLocks noChangeAspect="1"/>
                    </pic:cNvPicPr>
                  </pic:nvPicPr>
                  <pic:blipFill>
                    <a:blip r:embed="rId76"/>
                    <a:stretch>
                      <a:fillRect/>
                    </a:stretch>
                  </pic:blipFill>
                  <pic:spPr>
                    <a:xfrm>
                      <a:off x="0" y="0"/>
                      <a:ext cx="5400040" cy="6384925"/>
                    </a:xfrm>
                    <a:prstGeom prst="rect">
                      <a:avLst/>
                    </a:prstGeom>
                  </pic:spPr>
                </pic:pic>
              </a:graphicData>
            </a:graphic>
          </wp:inline>
        </w:drawing>
      </w:r>
    </w:p>
    <w:p w14:paraId="083D17EE">
      <w:pPr>
        <w:jc w:val="center"/>
        <w:rPr>
          <w:lang w:val="zh-CN"/>
        </w:rPr>
      </w:pPr>
    </w:p>
    <w:p w14:paraId="2ACBC813">
      <w:pPr>
        <w:jc w:val="center"/>
        <w:rPr>
          <w:lang w:val="zh-CN"/>
        </w:rPr>
      </w:pPr>
    </w:p>
    <w:p w14:paraId="66C746BC">
      <w:pPr>
        <w:jc w:val="center"/>
        <w:rPr>
          <w:lang w:val="zh-CN"/>
        </w:rPr>
      </w:pPr>
    </w:p>
    <w:p w14:paraId="05F17F3B">
      <w:pPr>
        <w:jc w:val="center"/>
        <w:rPr>
          <w:lang w:val="zh-CN"/>
        </w:rPr>
      </w:pPr>
    </w:p>
    <w:p w14:paraId="1CAAA140">
      <w:pPr>
        <w:jc w:val="center"/>
        <w:rPr>
          <w:lang w:val="zh-CN"/>
        </w:rPr>
      </w:pPr>
    </w:p>
    <w:p w14:paraId="58F8CB2C">
      <w:pPr>
        <w:jc w:val="center"/>
        <w:rPr>
          <w:lang w:val="zh-CN"/>
        </w:rPr>
      </w:pPr>
    </w:p>
    <w:p w14:paraId="5B97364B">
      <w:pPr>
        <w:jc w:val="center"/>
        <w:rPr>
          <w:lang w:val="zh-CN"/>
        </w:rPr>
      </w:pPr>
    </w:p>
    <w:p w14:paraId="530AB6E2">
      <w:pPr>
        <w:jc w:val="center"/>
        <w:rPr>
          <w:lang w:val="zh-CN"/>
        </w:rPr>
      </w:pPr>
    </w:p>
    <w:p w14:paraId="5D16DB8F">
      <w:pPr>
        <w:jc w:val="center"/>
        <w:rPr>
          <w:lang w:val="zh-CN"/>
        </w:rPr>
      </w:pPr>
    </w:p>
    <w:p w14:paraId="50F1E686">
      <w:pPr>
        <w:jc w:val="center"/>
        <w:rPr>
          <w:lang w:val="zh-CN"/>
        </w:rPr>
      </w:pPr>
    </w:p>
    <w:p w14:paraId="6B2579E5">
      <w:pPr>
        <w:jc w:val="center"/>
        <w:rPr>
          <w:lang w:val="zh-CN"/>
        </w:rPr>
      </w:pPr>
    </w:p>
    <w:p w14:paraId="17C23084">
      <w:pPr>
        <w:jc w:val="center"/>
        <w:rPr>
          <w:lang w:val="zh-CN"/>
        </w:rPr>
      </w:pPr>
    </w:p>
    <w:p w14:paraId="0FCC0834">
      <w:pPr>
        <w:jc w:val="center"/>
        <w:rPr>
          <w:lang w:val="zh-CN"/>
        </w:rPr>
      </w:pPr>
    </w:p>
    <w:p w14:paraId="21637AF9">
      <w:pPr>
        <w:jc w:val="center"/>
        <w:rPr>
          <w:lang w:val="zh-CN"/>
        </w:rPr>
      </w:pPr>
    </w:p>
    <w:p w14:paraId="00717243">
      <w:pPr>
        <w:jc w:val="center"/>
        <w:rPr>
          <w:lang w:val="zh-CN"/>
        </w:rPr>
      </w:pPr>
    </w:p>
    <w:p w14:paraId="1B39129D">
      <w:pPr>
        <w:jc w:val="center"/>
        <w:rPr>
          <w:lang w:val="zh-CN"/>
        </w:rPr>
      </w:pPr>
      <w:r>
        <w:drawing>
          <wp:inline distT="0" distB="0" distL="0" distR="0">
            <wp:extent cx="5400040" cy="7188835"/>
            <wp:effectExtent l="0" t="0" r="10160" b="12065"/>
            <wp:docPr id="1493156698" name="图片 1" descr="图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156698" name="图片 1" descr="图表&#10;&#10;AI 生成的内容可能不正确。"/>
                    <pic:cNvPicPr>
                      <a:picLocks noChangeAspect="1"/>
                    </pic:cNvPicPr>
                  </pic:nvPicPr>
                  <pic:blipFill>
                    <a:blip r:embed="rId77"/>
                    <a:stretch>
                      <a:fillRect/>
                    </a:stretch>
                  </pic:blipFill>
                  <pic:spPr>
                    <a:xfrm>
                      <a:off x="0" y="0"/>
                      <a:ext cx="5400040" cy="7188835"/>
                    </a:xfrm>
                    <a:prstGeom prst="rect">
                      <a:avLst/>
                    </a:prstGeom>
                  </pic:spPr>
                </pic:pic>
              </a:graphicData>
            </a:graphic>
          </wp:inline>
        </w:drawing>
      </w:r>
    </w:p>
    <w:p w14:paraId="778BD332">
      <w:pPr>
        <w:jc w:val="center"/>
        <w:rPr>
          <w:lang w:val="zh-CN"/>
        </w:rPr>
      </w:pPr>
    </w:p>
    <w:p w14:paraId="4A32196A">
      <w:pPr>
        <w:jc w:val="center"/>
        <w:rPr>
          <w:lang w:val="zh-CN"/>
        </w:rPr>
      </w:pPr>
    </w:p>
    <w:p w14:paraId="7F05DD7B">
      <w:pPr>
        <w:jc w:val="center"/>
        <w:rPr>
          <w:lang w:val="zh-CN"/>
        </w:rPr>
      </w:pPr>
    </w:p>
    <w:p w14:paraId="1F0EC00E">
      <w:pPr>
        <w:jc w:val="center"/>
        <w:rPr>
          <w:lang w:val="zh-CN"/>
        </w:rPr>
      </w:pPr>
    </w:p>
    <w:p w14:paraId="13EAA30B">
      <w:pPr>
        <w:jc w:val="center"/>
        <w:rPr>
          <w:lang w:val="zh-CN"/>
        </w:rPr>
      </w:pPr>
    </w:p>
    <w:p w14:paraId="2B7D9B30">
      <w:pPr>
        <w:jc w:val="center"/>
        <w:rPr>
          <w:lang w:val="zh-CN"/>
        </w:rPr>
      </w:pPr>
    </w:p>
    <w:p w14:paraId="0CB75124">
      <w:pPr>
        <w:jc w:val="center"/>
        <w:rPr>
          <w:lang w:val="zh-CN"/>
        </w:rPr>
      </w:pPr>
    </w:p>
    <w:p w14:paraId="6FB0773D">
      <w:pPr>
        <w:jc w:val="center"/>
        <w:rPr>
          <w:lang w:val="zh-CN"/>
        </w:rPr>
      </w:pPr>
    </w:p>
    <w:p w14:paraId="5FDB62F5">
      <w:pPr>
        <w:jc w:val="center"/>
        <w:rPr>
          <w:lang w:val="zh-CN"/>
        </w:rPr>
      </w:pPr>
    </w:p>
    <w:p w14:paraId="7E703E52">
      <w:pPr>
        <w:jc w:val="center"/>
        <w:rPr>
          <w:lang w:val="zh-CN"/>
        </w:rPr>
      </w:pPr>
    </w:p>
    <w:p w14:paraId="3313D084">
      <w:pPr>
        <w:jc w:val="center"/>
        <w:rPr>
          <w:lang w:val="zh-CN"/>
        </w:rPr>
      </w:pPr>
      <w:r>
        <w:drawing>
          <wp:inline distT="0" distB="0" distL="0" distR="0">
            <wp:extent cx="5400040" cy="7599680"/>
            <wp:effectExtent l="0" t="0" r="10160" b="1270"/>
            <wp:docPr id="135309975" name="图片 1" descr="文本&#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09975" name="图片 1" descr="文本&#10;&#10;AI 生成的内容可能不正确。"/>
                    <pic:cNvPicPr>
                      <a:picLocks noChangeAspect="1"/>
                    </pic:cNvPicPr>
                  </pic:nvPicPr>
                  <pic:blipFill>
                    <a:blip r:embed="rId78"/>
                    <a:stretch>
                      <a:fillRect/>
                    </a:stretch>
                  </pic:blipFill>
                  <pic:spPr>
                    <a:xfrm>
                      <a:off x="0" y="0"/>
                      <a:ext cx="5400040" cy="7599680"/>
                    </a:xfrm>
                    <a:prstGeom prst="rect">
                      <a:avLst/>
                    </a:prstGeom>
                  </pic:spPr>
                </pic:pic>
              </a:graphicData>
            </a:graphic>
          </wp:inline>
        </w:drawing>
      </w:r>
    </w:p>
    <w:p w14:paraId="1A333431">
      <w:pPr>
        <w:jc w:val="center"/>
        <w:rPr>
          <w:lang w:val="zh-CN"/>
        </w:rPr>
      </w:pPr>
    </w:p>
    <w:p w14:paraId="39660648">
      <w:pPr>
        <w:jc w:val="center"/>
        <w:rPr>
          <w:lang w:val="zh-CN"/>
        </w:rPr>
      </w:pPr>
    </w:p>
    <w:p w14:paraId="1A0BC0C4">
      <w:pPr>
        <w:jc w:val="center"/>
        <w:rPr>
          <w:lang w:val="zh-CN"/>
        </w:rPr>
      </w:pPr>
    </w:p>
    <w:p w14:paraId="4FEED30E">
      <w:pPr>
        <w:jc w:val="center"/>
        <w:rPr>
          <w:lang w:val="zh-CN"/>
        </w:rPr>
      </w:pPr>
    </w:p>
    <w:p w14:paraId="18238E3D">
      <w:pPr>
        <w:jc w:val="center"/>
        <w:rPr>
          <w:lang w:val="zh-CN"/>
        </w:rPr>
      </w:pPr>
    </w:p>
    <w:p w14:paraId="27147EF2">
      <w:pPr>
        <w:jc w:val="center"/>
        <w:rPr>
          <w:lang w:val="zh-CN"/>
        </w:rPr>
      </w:pPr>
    </w:p>
    <w:p w14:paraId="5856DA03">
      <w:pPr>
        <w:jc w:val="center"/>
        <w:rPr>
          <w:lang w:val="zh-CN"/>
        </w:rPr>
      </w:pPr>
    </w:p>
    <w:p w14:paraId="16F6859A">
      <w:pPr>
        <w:jc w:val="center"/>
        <w:rPr>
          <w:lang w:val="zh-CN"/>
        </w:rPr>
      </w:pPr>
    </w:p>
    <w:p w14:paraId="0A7016A0">
      <w:pPr>
        <w:jc w:val="center"/>
        <w:rPr>
          <w:lang w:val="zh-CN"/>
        </w:rPr>
      </w:pPr>
      <w:r>
        <w:drawing>
          <wp:inline distT="0" distB="0" distL="0" distR="0">
            <wp:extent cx="5400040" cy="7394575"/>
            <wp:effectExtent l="0" t="0" r="10160" b="15875"/>
            <wp:docPr id="76761700" name="图片 1" descr="文本&#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61700" name="图片 1" descr="文本&#10;&#10;AI 生成的内容可能不正确。"/>
                    <pic:cNvPicPr>
                      <a:picLocks noChangeAspect="1"/>
                    </pic:cNvPicPr>
                  </pic:nvPicPr>
                  <pic:blipFill>
                    <a:blip r:embed="rId79"/>
                    <a:stretch>
                      <a:fillRect/>
                    </a:stretch>
                  </pic:blipFill>
                  <pic:spPr>
                    <a:xfrm>
                      <a:off x="0" y="0"/>
                      <a:ext cx="5400040" cy="7394575"/>
                    </a:xfrm>
                    <a:prstGeom prst="rect">
                      <a:avLst/>
                    </a:prstGeom>
                  </pic:spPr>
                </pic:pic>
              </a:graphicData>
            </a:graphic>
          </wp:inline>
        </w:drawing>
      </w:r>
    </w:p>
    <w:p w14:paraId="0920BC04">
      <w:pPr>
        <w:jc w:val="center"/>
        <w:rPr>
          <w:lang w:val="zh-CN"/>
        </w:rPr>
      </w:pPr>
    </w:p>
    <w:p w14:paraId="47D9884B">
      <w:pPr>
        <w:jc w:val="center"/>
        <w:rPr>
          <w:lang w:val="zh-CN"/>
        </w:rPr>
      </w:pPr>
    </w:p>
    <w:p w14:paraId="7F4E90D7">
      <w:pPr>
        <w:jc w:val="center"/>
        <w:rPr>
          <w:lang w:val="zh-CN"/>
        </w:rPr>
      </w:pPr>
    </w:p>
    <w:p w14:paraId="04178205">
      <w:pPr>
        <w:jc w:val="center"/>
        <w:rPr>
          <w:lang w:val="zh-CN"/>
        </w:rPr>
      </w:pPr>
    </w:p>
    <w:p w14:paraId="14E39B50">
      <w:pPr>
        <w:jc w:val="center"/>
        <w:rPr>
          <w:lang w:val="zh-CN"/>
        </w:rPr>
      </w:pPr>
    </w:p>
    <w:p w14:paraId="7ACA06F4">
      <w:pPr>
        <w:jc w:val="center"/>
        <w:rPr>
          <w:lang w:val="zh-CN"/>
        </w:rPr>
      </w:pPr>
    </w:p>
    <w:p w14:paraId="3379B601">
      <w:pPr>
        <w:jc w:val="center"/>
        <w:rPr>
          <w:lang w:val="zh-CN"/>
        </w:rPr>
      </w:pPr>
    </w:p>
    <w:p w14:paraId="5F480579">
      <w:pPr>
        <w:jc w:val="center"/>
        <w:rPr>
          <w:lang w:val="zh-CN"/>
        </w:rPr>
      </w:pPr>
    </w:p>
    <w:p w14:paraId="6906ED3D">
      <w:pPr>
        <w:jc w:val="center"/>
        <w:rPr>
          <w:lang w:val="zh-CN"/>
        </w:rPr>
      </w:pPr>
      <w:r>
        <w:drawing>
          <wp:inline distT="0" distB="0" distL="0" distR="0">
            <wp:extent cx="5400040" cy="7069455"/>
            <wp:effectExtent l="0" t="0" r="10160" b="17145"/>
            <wp:docPr id="1531720600" name="图片 1" descr="手机屏幕截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720600" name="图片 1" descr="手机屏幕截图&#10;&#10;AI 生成的内容可能不正确。"/>
                    <pic:cNvPicPr>
                      <a:picLocks noChangeAspect="1"/>
                    </pic:cNvPicPr>
                  </pic:nvPicPr>
                  <pic:blipFill>
                    <a:blip r:embed="rId80"/>
                    <a:stretch>
                      <a:fillRect/>
                    </a:stretch>
                  </pic:blipFill>
                  <pic:spPr>
                    <a:xfrm>
                      <a:off x="0" y="0"/>
                      <a:ext cx="5400040" cy="7069455"/>
                    </a:xfrm>
                    <a:prstGeom prst="rect">
                      <a:avLst/>
                    </a:prstGeom>
                  </pic:spPr>
                </pic:pic>
              </a:graphicData>
            </a:graphic>
          </wp:inline>
        </w:drawing>
      </w:r>
    </w:p>
    <w:p w14:paraId="49C827C8">
      <w:pPr>
        <w:jc w:val="center"/>
        <w:rPr>
          <w:lang w:val="zh-CN"/>
        </w:rPr>
      </w:pPr>
    </w:p>
    <w:p w14:paraId="1EAB0FB5">
      <w:pPr>
        <w:jc w:val="center"/>
        <w:rPr>
          <w:lang w:val="zh-CN"/>
        </w:rPr>
      </w:pPr>
    </w:p>
    <w:p w14:paraId="23864362">
      <w:pPr>
        <w:jc w:val="center"/>
        <w:rPr>
          <w:lang w:val="zh-CN"/>
        </w:rPr>
      </w:pPr>
    </w:p>
    <w:p w14:paraId="70D3DC04">
      <w:pPr>
        <w:jc w:val="center"/>
        <w:rPr>
          <w:lang w:val="zh-CN"/>
        </w:rPr>
      </w:pPr>
    </w:p>
    <w:p w14:paraId="0AAC885B">
      <w:pPr>
        <w:jc w:val="center"/>
        <w:rPr>
          <w:lang w:val="zh-CN"/>
        </w:rPr>
      </w:pPr>
    </w:p>
    <w:p w14:paraId="17F7CB20">
      <w:pPr>
        <w:jc w:val="center"/>
        <w:rPr>
          <w:lang w:val="zh-CN"/>
        </w:rPr>
      </w:pPr>
    </w:p>
    <w:p w14:paraId="183849B8">
      <w:pPr>
        <w:jc w:val="center"/>
        <w:rPr>
          <w:lang w:val="zh-CN"/>
        </w:rPr>
      </w:pPr>
    </w:p>
    <w:p w14:paraId="4270C912">
      <w:pPr>
        <w:jc w:val="center"/>
        <w:rPr>
          <w:lang w:val="zh-CN"/>
        </w:rPr>
      </w:pPr>
    </w:p>
    <w:p w14:paraId="7BDE9E56">
      <w:pPr>
        <w:jc w:val="center"/>
        <w:rPr>
          <w:lang w:val="zh-CN"/>
        </w:rPr>
      </w:pPr>
    </w:p>
    <w:p w14:paraId="266D518A">
      <w:pPr>
        <w:jc w:val="center"/>
        <w:rPr>
          <w:lang w:val="zh-CN"/>
        </w:rPr>
      </w:pPr>
    </w:p>
    <w:p w14:paraId="4ADDDE31">
      <w:pPr>
        <w:jc w:val="center"/>
        <w:rPr>
          <w:lang w:val="zh-CN"/>
        </w:rPr>
      </w:pPr>
      <w:r>
        <w:drawing>
          <wp:inline distT="0" distB="0" distL="0" distR="0">
            <wp:extent cx="5400040" cy="6912610"/>
            <wp:effectExtent l="0" t="0" r="10160" b="2540"/>
            <wp:docPr id="1720538233"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538233" name="图片 1" descr="表格&#10;&#10;AI 生成的内容可能不正确。"/>
                    <pic:cNvPicPr>
                      <a:picLocks noChangeAspect="1"/>
                    </pic:cNvPicPr>
                  </pic:nvPicPr>
                  <pic:blipFill>
                    <a:blip r:embed="rId81"/>
                    <a:stretch>
                      <a:fillRect/>
                    </a:stretch>
                  </pic:blipFill>
                  <pic:spPr>
                    <a:xfrm>
                      <a:off x="0" y="0"/>
                      <a:ext cx="5400040" cy="6912610"/>
                    </a:xfrm>
                    <a:prstGeom prst="rect">
                      <a:avLst/>
                    </a:prstGeom>
                  </pic:spPr>
                </pic:pic>
              </a:graphicData>
            </a:graphic>
          </wp:inline>
        </w:drawing>
      </w:r>
    </w:p>
    <w:p w14:paraId="3CA1ED72">
      <w:pPr>
        <w:jc w:val="center"/>
        <w:rPr>
          <w:lang w:val="zh-CN"/>
        </w:rPr>
      </w:pPr>
    </w:p>
    <w:p w14:paraId="2B1EFA9E">
      <w:pPr>
        <w:jc w:val="center"/>
        <w:rPr>
          <w:lang w:val="zh-CN"/>
        </w:rPr>
      </w:pPr>
    </w:p>
    <w:p w14:paraId="5E814ED2">
      <w:pPr>
        <w:jc w:val="center"/>
        <w:rPr>
          <w:lang w:val="zh-CN"/>
        </w:rPr>
      </w:pPr>
    </w:p>
    <w:p w14:paraId="21B9BCCF">
      <w:pPr>
        <w:jc w:val="center"/>
        <w:rPr>
          <w:lang w:val="zh-CN"/>
        </w:rPr>
      </w:pPr>
    </w:p>
    <w:p w14:paraId="6D8D27F7">
      <w:pPr>
        <w:jc w:val="center"/>
        <w:rPr>
          <w:lang w:val="zh-CN"/>
        </w:rPr>
      </w:pPr>
    </w:p>
    <w:p w14:paraId="5B43159B">
      <w:pPr>
        <w:jc w:val="center"/>
        <w:rPr>
          <w:lang w:val="zh-CN"/>
        </w:rPr>
      </w:pPr>
    </w:p>
    <w:p w14:paraId="37A0C449">
      <w:pPr>
        <w:jc w:val="center"/>
        <w:rPr>
          <w:lang w:val="zh-CN"/>
        </w:rPr>
      </w:pPr>
    </w:p>
    <w:p w14:paraId="2D96EA5B">
      <w:pPr>
        <w:jc w:val="center"/>
        <w:rPr>
          <w:lang w:val="zh-CN"/>
        </w:rPr>
      </w:pPr>
    </w:p>
    <w:p w14:paraId="11A963A0">
      <w:pPr>
        <w:jc w:val="center"/>
        <w:rPr>
          <w:lang w:val="zh-CN"/>
        </w:rPr>
      </w:pPr>
    </w:p>
    <w:p w14:paraId="2A5FBE4E">
      <w:pPr>
        <w:jc w:val="center"/>
        <w:rPr>
          <w:lang w:val="zh-CN"/>
        </w:rPr>
      </w:pPr>
    </w:p>
    <w:p w14:paraId="36146D42">
      <w:pPr>
        <w:jc w:val="center"/>
        <w:rPr>
          <w:lang w:val="zh-CN"/>
        </w:rPr>
      </w:pPr>
    </w:p>
    <w:p w14:paraId="48B05C49">
      <w:pPr>
        <w:jc w:val="center"/>
        <w:rPr>
          <w:lang w:val="zh-CN"/>
        </w:rPr>
      </w:pPr>
    </w:p>
    <w:p w14:paraId="30D13828">
      <w:pPr>
        <w:jc w:val="center"/>
        <w:rPr>
          <w:lang w:val="zh-CN"/>
        </w:rPr>
      </w:pPr>
      <w:r>
        <w:drawing>
          <wp:inline distT="0" distB="0" distL="0" distR="0">
            <wp:extent cx="5400040" cy="6597015"/>
            <wp:effectExtent l="0" t="0" r="10160" b="13335"/>
            <wp:docPr id="834177096"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177096" name="图片 1" descr="表格&#10;&#10;AI 生成的内容可能不正确。"/>
                    <pic:cNvPicPr>
                      <a:picLocks noChangeAspect="1"/>
                    </pic:cNvPicPr>
                  </pic:nvPicPr>
                  <pic:blipFill>
                    <a:blip r:embed="rId82"/>
                    <a:stretch>
                      <a:fillRect/>
                    </a:stretch>
                  </pic:blipFill>
                  <pic:spPr>
                    <a:xfrm>
                      <a:off x="0" y="0"/>
                      <a:ext cx="5400040" cy="6597015"/>
                    </a:xfrm>
                    <a:prstGeom prst="rect">
                      <a:avLst/>
                    </a:prstGeom>
                  </pic:spPr>
                </pic:pic>
              </a:graphicData>
            </a:graphic>
          </wp:inline>
        </w:drawing>
      </w:r>
    </w:p>
    <w:p w14:paraId="656435FD">
      <w:pPr>
        <w:jc w:val="center"/>
        <w:rPr>
          <w:lang w:val="zh-CN"/>
        </w:rPr>
      </w:pPr>
    </w:p>
    <w:p w14:paraId="5078147C">
      <w:pPr>
        <w:jc w:val="center"/>
        <w:rPr>
          <w:lang w:val="zh-CN"/>
        </w:rPr>
      </w:pPr>
    </w:p>
    <w:p w14:paraId="29B6B044">
      <w:pPr>
        <w:jc w:val="center"/>
        <w:rPr>
          <w:lang w:val="zh-CN"/>
        </w:rPr>
      </w:pPr>
    </w:p>
    <w:p w14:paraId="6094E4A9">
      <w:pPr>
        <w:jc w:val="center"/>
        <w:rPr>
          <w:lang w:val="zh-CN"/>
        </w:rPr>
      </w:pPr>
    </w:p>
    <w:p w14:paraId="4B151DEE">
      <w:pPr>
        <w:jc w:val="center"/>
        <w:rPr>
          <w:lang w:val="zh-CN"/>
        </w:rPr>
      </w:pPr>
    </w:p>
    <w:p w14:paraId="042A1AF1">
      <w:pPr>
        <w:jc w:val="center"/>
        <w:rPr>
          <w:lang w:val="zh-CN"/>
        </w:rPr>
      </w:pPr>
    </w:p>
    <w:p w14:paraId="5E583D1B">
      <w:pPr>
        <w:jc w:val="center"/>
        <w:rPr>
          <w:lang w:val="zh-CN"/>
        </w:rPr>
      </w:pPr>
    </w:p>
    <w:p w14:paraId="7A2D1F6E">
      <w:pPr>
        <w:jc w:val="center"/>
        <w:rPr>
          <w:lang w:val="zh-CN"/>
        </w:rPr>
      </w:pPr>
    </w:p>
    <w:p w14:paraId="301BAB02">
      <w:pPr>
        <w:jc w:val="center"/>
        <w:rPr>
          <w:lang w:val="zh-CN"/>
        </w:rPr>
      </w:pPr>
    </w:p>
    <w:p w14:paraId="307C42DF">
      <w:pPr>
        <w:jc w:val="center"/>
        <w:rPr>
          <w:lang w:val="zh-CN"/>
        </w:rPr>
      </w:pPr>
    </w:p>
    <w:p w14:paraId="2A1E2201">
      <w:pPr>
        <w:jc w:val="center"/>
        <w:rPr>
          <w:lang w:val="zh-CN"/>
        </w:rPr>
      </w:pPr>
    </w:p>
    <w:p w14:paraId="610B54A8">
      <w:pPr>
        <w:jc w:val="center"/>
        <w:rPr>
          <w:lang w:val="zh-CN"/>
        </w:rPr>
      </w:pPr>
    </w:p>
    <w:p w14:paraId="0ABB9823">
      <w:pPr>
        <w:jc w:val="center"/>
        <w:rPr>
          <w:lang w:val="zh-CN"/>
        </w:rPr>
      </w:pPr>
    </w:p>
    <w:p w14:paraId="59C827CB">
      <w:pPr>
        <w:jc w:val="center"/>
        <w:rPr>
          <w:lang w:val="zh-CN"/>
        </w:rPr>
      </w:pPr>
      <w:r>
        <w:drawing>
          <wp:inline distT="0" distB="0" distL="0" distR="0">
            <wp:extent cx="5400040" cy="7402830"/>
            <wp:effectExtent l="0" t="0" r="10160" b="7620"/>
            <wp:docPr id="2137519558"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519558" name="图片 1" descr="表格&#10;&#10;AI 生成的内容可能不正确。"/>
                    <pic:cNvPicPr>
                      <a:picLocks noChangeAspect="1"/>
                    </pic:cNvPicPr>
                  </pic:nvPicPr>
                  <pic:blipFill>
                    <a:blip r:embed="rId83"/>
                    <a:stretch>
                      <a:fillRect/>
                    </a:stretch>
                  </pic:blipFill>
                  <pic:spPr>
                    <a:xfrm>
                      <a:off x="0" y="0"/>
                      <a:ext cx="5400040" cy="7402830"/>
                    </a:xfrm>
                    <a:prstGeom prst="rect">
                      <a:avLst/>
                    </a:prstGeom>
                  </pic:spPr>
                </pic:pic>
              </a:graphicData>
            </a:graphic>
          </wp:inline>
        </w:drawing>
      </w:r>
    </w:p>
    <w:p w14:paraId="6EAB6F9C">
      <w:pPr>
        <w:jc w:val="center"/>
        <w:rPr>
          <w:lang w:val="zh-CN"/>
        </w:rPr>
      </w:pPr>
    </w:p>
    <w:p w14:paraId="41E59DD8">
      <w:pPr>
        <w:jc w:val="center"/>
        <w:rPr>
          <w:lang w:val="zh-CN"/>
        </w:rPr>
      </w:pPr>
    </w:p>
    <w:p w14:paraId="20E55025">
      <w:pPr>
        <w:jc w:val="center"/>
        <w:rPr>
          <w:lang w:val="zh-CN"/>
        </w:rPr>
      </w:pPr>
    </w:p>
    <w:p w14:paraId="18406BC4">
      <w:pPr>
        <w:jc w:val="center"/>
        <w:rPr>
          <w:lang w:val="zh-CN"/>
        </w:rPr>
      </w:pPr>
    </w:p>
    <w:p w14:paraId="7A730D40">
      <w:pPr>
        <w:jc w:val="center"/>
        <w:rPr>
          <w:lang w:val="zh-CN"/>
        </w:rPr>
      </w:pPr>
    </w:p>
    <w:p w14:paraId="2AD0424B">
      <w:pPr>
        <w:jc w:val="center"/>
        <w:rPr>
          <w:lang w:val="zh-CN"/>
        </w:rPr>
      </w:pPr>
    </w:p>
    <w:p w14:paraId="128BFC68">
      <w:pPr>
        <w:jc w:val="center"/>
        <w:rPr>
          <w:lang w:val="zh-CN"/>
        </w:rPr>
      </w:pPr>
    </w:p>
    <w:p w14:paraId="1F5EEE5C">
      <w:pPr>
        <w:jc w:val="center"/>
        <w:rPr>
          <w:lang w:val="zh-CN"/>
        </w:rPr>
      </w:pPr>
    </w:p>
    <w:p w14:paraId="17EB0B54">
      <w:pPr>
        <w:jc w:val="center"/>
        <w:rPr>
          <w:lang w:val="zh-CN"/>
        </w:rPr>
      </w:pPr>
      <w:r>
        <w:drawing>
          <wp:inline distT="0" distB="0" distL="0" distR="0">
            <wp:extent cx="5400040" cy="7118350"/>
            <wp:effectExtent l="0" t="0" r="10160" b="6350"/>
            <wp:docPr id="1315347000" name="图片 1" descr="图片包含 日程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347000" name="图片 1" descr="图片包含 日程表&#10;&#10;AI 生成的内容可能不正确。"/>
                    <pic:cNvPicPr>
                      <a:picLocks noChangeAspect="1"/>
                    </pic:cNvPicPr>
                  </pic:nvPicPr>
                  <pic:blipFill>
                    <a:blip r:embed="rId84"/>
                    <a:stretch>
                      <a:fillRect/>
                    </a:stretch>
                  </pic:blipFill>
                  <pic:spPr>
                    <a:xfrm>
                      <a:off x="0" y="0"/>
                      <a:ext cx="5400040" cy="7118350"/>
                    </a:xfrm>
                    <a:prstGeom prst="rect">
                      <a:avLst/>
                    </a:prstGeom>
                  </pic:spPr>
                </pic:pic>
              </a:graphicData>
            </a:graphic>
          </wp:inline>
        </w:drawing>
      </w:r>
    </w:p>
    <w:p w14:paraId="2F1E4911">
      <w:pPr>
        <w:jc w:val="center"/>
        <w:rPr>
          <w:lang w:val="zh-CN"/>
        </w:rPr>
      </w:pPr>
    </w:p>
    <w:p w14:paraId="37E5E9D1">
      <w:pPr>
        <w:jc w:val="center"/>
        <w:rPr>
          <w:lang w:val="zh-CN"/>
        </w:rPr>
      </w:pPr>
    </w:p>
    <w:p w14:paraId="0A47CC33">
      <w:pPr>
        <w:jc w:val="center"/>
        <w:rPr>
          <w:lang w:val="zh-CN"/>
        </w:rPr>
      </w:pPr>
    </w:p>
    <w:p w14:paraId="7F7168C3">
      <w:pPr>
        <w:jc w:val="center"/>
        <w:rPr>
          <w:lang w:val="zh-CN"/>
        </w:rPr>
      </w:pPr>
    </w:p>
    <w:p w14:paraId="3CCCEF6F">
      <w:pPr>
        <w:jc w:val="center"/>
        <w:rPr>
          <w:lang w:val="zh-CN"/>
        </w:rPr>
      </w:pPr>
    </w:p>
    <w:p w14:paraId="1D0A5310">
      <w:pPr>
        <w:jc w:val="center"/>
        <w:rPr>
          <w:lang w:val="zh-CN"/>
        </w:rPr>
      </w:pPr>
    </w:p>
    <w:p w14:paraId="30214935">
      <w:pPr>
        <w:jc w:val="center"/>
        <w:rPr>
          <w:lang w:val="zh-CN"/>
        </w:rPr>
      </w:pPr>
    </w:p>
    <w:p w14:paraId="0802392B">
      <w:pPr>
        <w:jc w:val="center"/>
        <w:rPr>
          <w:lang w:val="zh-CN"/>
        </w:rPr>
      </w:pPr>
    </w:p>
    <w:p w14:paraId="5857E1F7">
      <w:pPr>
        <w:jc w:val="center"/>
        <w:rPr>
          <w:lang w:val="zh-CN"/>
        </w:rPr>
      </w:pPr>
      <w:r>
        <w:drawing>
          <wp:inline distT="0" distB="0" distL="0" distR="0">
            <wp:extent cx="5400040" cy="6226810"/>
            <wp:effectExtent l="0" t="0" r="10160" b="2540"/>
            <wp:docPr id="1985807387" name="图片 1"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807387" name="图片 1" descr="文本, 信件&#10;&#10;AI 生成的内容可能不正确。"/>
                    <pic:cNvPicPr>
                      <a:picLocks noChangeAspect="1"/>
                    </pic:cNvPicPr>
                  </pic:nvPicPr>
                  <pic:blipFill>
                    <a:blip r:embed="rId85"/>
                    <a:stretch>
                      <a:fillRect/>
                    </a:stretch>
                  </pic:blipFill>
                  <pic:spPr>
                    <a:xfrm>
                      <a:off x="0" y="0"/>
                      <a:ext cx="5400040" cy="6226810"/>
                    </a:xfrm>
                    <a:prstGeom prst="rect">
                      <a:avLst/>
                    </a:prstGeom>
                  </pic:spPr>
                </pic:pic>
              </a:graphicData>
            </a:graphic>
          </wp:inline>
        </w:drawing>
      </w:r>
    </w:p>
    <w:p w14:paraId="3E84952D">
      <w:pPr>
        <w:jc w:val="center"/>
        <w:rPr>
          <w:lang w:val="zh-CN"/>
        </w:rPr>
      </w:pPr>
    </w:p>
    <w:p w14:paraId="7F5BAE05">
      <w:pPr>
        <w:jc w:val="center"/>
        <w:rPr>
          <w:lang w:val="zh-CN"/>
        </w:rPr>
      </w:pPr>
    </w:p>
    <w:p w14:paraId="2047B5CC">
      <w:pPr>
        <w:jc w:val="center"/>
        <w:rPr>
          <w:lang w:val="zh-CN"/>
        </w:rPr>
      </w:pPr>
    </w:p>
    <w:p w14:paraId="7A161F29">
      <w:pPr>
        <w:jc w:val="center"/>
        <w:rPr>
          <w:lang w:val="zh-CN"/>
        </w:rPr>
      </w:pPr>
    </w:p>
    <w:sectPr>
      <w:pgSz w:w="11906" w:h="16838"/>
      <w:pgMar w:top="1531" w:right="1701" w:bottom="1531" w:left="1701" w:header="851" w:footer="85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Courier New">
    <w:panose1 w:val="02070309020205020404"/>
    <w:charset w:val="00"/>
    <w:family w:val="modern"/>
    <w:pitch w:val="default"/>
    <w:sig w:usb0="E0002E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MS Gothic">
    <w:panose1 w:val="020B0609070205080204"/>
    <w:charset w:val="80"/>
    <w:family w:val="modern"/>
    <w:pitch w:val="default"/>
    <w:sig w:usb0="E00002FF" w:usb1="6AC7FDFB" w:usb2="08000012" w:usb3="00000000" w:csb0="4002009F" w:csb1="DFD70000"/>
  </w:font>
  <w:font w:name="Wingdings 2">
    <w:panose1 w:val="05020102010507070707"/>
    <w:charset w:val="02"/>
    <w:family w:val="roman"/>
    <w:pitch w:val="default"/>
    <w:sig w:usb0="00000000" w:usb1="00000000" w:usb2="00000000" w:usb3="00000000" w:csb0="80000000" w:csb1="00000000"/>
  </w:font>
  <w:font w:name="方正小标宋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0AD29F">
    <w:pPr>
      <w:pStyle w:val="14"/>
      <w:framePr w:wrap="around" w:vAnchor="text" w:hAnchor="margin" w:xAlign="outside" w:y="1"/>
      <w:rPr>
        <w:rStyle w:val="21"/>
        <w:rFonts w:hint="eastAsia" w:ascii="宋体" w:hAnsi="宋体"/>
        <w:sz w:val="28"/>
        <w:szCs w:val="28"/>
      </w:rPr>
    </w:pPr>
    <w:r>
      <w:rPr>
        <w:rStyle w:val="21"/>
        <w:rFonts w:hint="eastAsia" w:ascii="宋体" w:hAnsi="宋体"/>
        <w:sz w:val="28"/>
        <w:szCs w:val="28"/>
      </w:rPr>
      <w:t>—</w:t>
    </w:r>
    <w:r>
      <w:rPr>
        <w:rStyle w:val="21"/>
        <w:rFonts w:hint="eastAsia" w:ascii="宋体" w:hAnsi="宋体"/>
        <w:sz w:val="20"/>
      </w:rPr>
      <w:t xml:space="preserve">  </w:t>
    </w:r>
    <w:r>
      <w:rPr>
        <w:rStyle w:val="21"/>
        <w:rFonts w:ascii="宋体" w:hAnsi="宋体"/>
        <w:sz w:val="26"/>
        <w:szCs w:val="26"/>
      </w:rPr>
      <w:fldChar w:fldCharType="begin"/>
    </w:r>
    <w:r>
      <w:rPr>
        <w:rStyle w:val="21"/>
        <w:rFonts w:ascii="宋体" w:hAnsi="宋体"/>
        <w:sz w:val="26"/>
        <w:szCs w:val="26"/>
      </w:rPr>
      <w:instrText xml:space="preserve">PAGE  </w:instrText>
    </w:r>
    <w:r>
      <w:rPr>
        <w:rStyle w:val="21"/>
        <w:rFonts w:ascii="宋体" w:hAnsi="宋体"/>
        <w:sz w:val="26"/>
        <w:szCs w:val="26"/>
      </w:rPr>
      <w:fldChar w:fldCharType="separate"/>
    </w:r>
    <w:r>
      <w:rPr>
        <w:rStyle w:val="21"/>
        <w:rFonts w:ascii="宋体" w:hAnsi="宋体"/>
        <w:sz w:val="26"/>
        <w:szCs w:val="26"/>
      </w:rPr>
      <w:t>44</w:t>
    </w:r>
    <w:r>
      <w:rPr>
        <w:rStyle w:val="21"/>
        <w:rFonts w:ascii="宋体" w:hAnsi="宋体"/>
        <w:sz w:val="26"/>
        <w:szCs w:val="26"/>
      </w:rPr>
      <w:fldChar w:fldCharType="end"/>
    </w:r>
    <w:r>
      <w:rPr>
        <w:rStyle w:val="21"/>
        <w:rFonts w:hint="eastAsia" w:ascii="宋体" w:hAnsi="宋体"/>
        <w:sz w:val="20"/>
      </w:rPr>
      <w:t xml:space="preserve">  </w:t>
    </w:r>
    <w:r>
      <w:rPr>
        <w:rStyle w:val="21"/>
        <w:rFonts w:hint="eastAsia" w:ascii="宋体" w:hAnsi="宋体"/>
        <w:sz w:val="28"/>
        <w:szCs w:val="28"/>
      </w:rPr>
      <w:t>—</w:t>
    </w:r>
  </w:p>
  <w:p w14:paraId="520AD2A0">
    <w:pPr>
      <w:pStyle w:val="14"/>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0AD2A1">
    <w:pPr>
      <w:pStyle w:val="1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numPicBullet w:numPicBulletId="0">
    <w:pict>
      <v:shape id="0" type="#_x0000_t75" style="width:288px;height:320px" o:bullet="t">
        <v:imagedata r:id="rId1" o:title=""/>
      </v:shape>
    </w:pict>
  </w:numPicBullet>
  <w:abstractNum w:abstractNumId="0">
    <w:nsid w:val="1CE410BD"/>
    <w:multiLevelType w:val="multilevel"/>
    <w:tmpl w:val="1CE410BD"/>
    <w:lvl w:ilvl="0" w:tentative="0">
      <w:start w:val="1"/>
      <w:numFmt w:val="bullet"/>
      <w:lvlText w:val=""/>
      <w:lvlPicBulletId w:val="0"/>
      <w:lvlJc w:val="left"/>
      <w:pPr>
        <w:tabs>
          <w:tab w:val="left" w:pos="440"/>
        </w:tabs>
        <w:ind w:left="440" w:firstLine="0"/>
      </w:pPr>
      <w:rPr>
        <w:rFonts w:hint="default" w:ascii="Symbol" w:hAnsi="Symbol"/>
      </w:rPr>
    </w:lvl>
    <w:lvl w:ilvl="1" w:tentative="0">
      <w:start w:val="1"/>
      <w:numFmt w:val="bullet"/>
      <w:lvlText w:val=""/>
      <w:lvlJc w:val="left"/>
      <w:pPr>
        <w:tabs>
          <w:tab w:val="left" w:pos="880"/>
        </w:tabs>
        <w:ind w:left="880" w:firstLine="0"/>
      </w:pPr>
      <w:rPr>
        <w:rFonts w:hint="default" w:ascii="Symbol" w:hAnsi="Symbol"/>
      </w:rPr>
    </w:lvl>
    <w:lvl w:ilvl="2" w:tentative="0">
      <w:start w:val="1"/>
      <w:numFmt w:val="bullet"/>
      <w:lvlText w:val=""/>
      <w:lvlJc w:val="left"/>
      <w:pPr>
        <w:tabs>
          <w:tab w:val="left" w:pos="1320"/>
        </w:tabs>
        <w:ind w:left="1320" w:firstLine="0"/>
      </w:pPr>
      <w:rPr>
        <w:rFonts w:hint="default" w:ascii="Symbol" w:hAnsi="Symbol"/>
      </w:rPr>
    </w:lvl>
    <w:lvl w:ilvl="3" w:tentative="0">
      <w:start w:val="1"/>
      <w:numFmt w:val="bullet"/>
      <w:lvlText w:val=""/>
      <w:lvlJc w:val="left"/>
      <w:pPr>
        <w:tabs>
          <w:tab w:val="left" w:pos="1760"/>
        </w:tabs>
        <w:ind w:left="1760" w:firstLine="0"/>
      </w:pPr>
      <w:rPr>
        <w:rFonts w:hint="default" w:ascii="Symbol" w:hAnsi="Symbol"/>
      </w:rPr>
    </w:lvl>
    <w:lvl w:ilvl="4" w:tentative="0">
      <w:start w:val="1"/>
      <w:numFmt w:val="bullet"/>
      <w:lvlText w:val=""/>
      <w:lvlJc w:val="left"/>
      <w:pPr>
        <w:tabs>
          <w:tab w:val="left" w:pos="2200"/>
        </w:tabs>
        <w:ind w:left="2200" w:firstLine="0"/>
      </w:pPr>
      <w:rPr>
        <w:rFonts w:hint="default" w:ascii="Symbol" w:hAnsi="Symbol"/>
      </w:rPr>
    </w:lvl>
    <w:lvl w:ilvl="5" w:tentative="0">
      <w:start w:val="1"/>
      <w:numFmt w:val="bullet"/>
      <w:lvlText w:val=""/>
      <w:lvlJc w:val="left"/>
      <w:pPr>
        <w:tabs>
          <w:tab w:val="left" w:pos="2640"/>
        </w:tabs>
        <w:ind w:left="2640" w:firstLine="0"/>
      </w:pPr>
      <w:rPr>
        <w:rFonts w:hint="default" w:ascii="Symbol" w:hAnsi="Symbol"/>
      </w:rPr>
    </w:lvl>
    <w:lvl w:ilvl="6" w:tentative="0">
      <w:start w:val="1"/>
      <w:numFmt w:val="bullet"/>
      <w:lvlText w:val=""/>
      <w:lvlJc w:val="left"/>
      <w:pPr>
        <w:tabs>
          <w:tab w:val="left" w:pos="3080"/>
        </w:tabs>
        <w:ind w:left="3080" w:firstLine="0"/>
      </w:pPr>
      <w:rPr>
        <w:rFonts w:hint="default" w:ascii="Symbol" w:hAnsi="Symbol"/>
      </w:rPr>
    </w:lvl>
    <w:lvl w:ilvl="7" w:tentative="0">
      <w:start w:val="1"/>
      <w:numFmt w:val="bullet"/>
      <w:lvlText w:val=""/>
      <w:lvlJc w:val="left"/>
      <w:pPr>
        <w:tabs>
          <w:tab w:val="left" w:pos="3520"/>
        </w:tabs>
        <w:ind w:left="3520" w:firstLine="0"/>
      </w:pPr>
      <w:rPr>
        <w:rFonts w:hint="default" w:ascii="Symbol" w:hAnsi="Symbol"/>
      </w:rPr>
    </w:lvl>
    <w:lvl w:ilvl="8" w:tentative="0">
      <w:start w:val="1"/>
      <w:numFmt w:val="bullet"/>
      <w:lvlText w:val=""/>
      <w:lvlJc w:val="left"/>
      <w:pPr>
        <w:tabs>
          <w:tab w:val="left" w:pos="3960"/>
        </w:tabs>
        <w:ind w:left="3960" w:firstLine="0"/>
      </w:pPr>
      <w:rPr>
        <w:rFonts w:hint="default" w:ascii="Symbol" w:hAnsi="Symbol"/>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947"/>
    <w:rsid w:val="00000917"/>
    <w:rsid w:val="00000B17"/>
    <w:rsid w:val="00001A64"/>
    <w:rsid w:val="00001B63"/>
    <w:rsid w:val="00001F6D"/>
    <w:rsid w:val="0000218E"/>
    <w:rsid w:val="00002663"/>
    <w:rsid w:val="00002D37"/>
    <w:rsid w:val="0000313B"/>
    <w:rsid w:val="00003166"/>
    <w:rsid w:val="000033CC"/>
    <w:rsid w:val="00003F01"/>
    <w:rsid w:val="00003F39"/>
    <w:rsid w:val="000042F7"/>
    <w:rsid w:val="000052B4"/>
    <w:rsid w:val="000060B3"/>
    <w:rsid w:val="000067FA"/>
    <w:rsid w:val="0000699E"/>
    <w:rsid w:val="00006CB9"/>
    <w:rsid w:val="0000774B"/>
    <w:rsid w:val="0000790B"/>
    <w:rsid w:val="000102DC"/>
    <w:rsid w:val="000115BC"/>
    <w:rsid w:val="000115CF"/>
    <w:rsid w:val="00012357"/>
    <w:rsid w:val="000127E0"/>
    <w:rsid w:val="000142CF"/>
    <w:rsid w:val="000147EC"/>
    <w:rsid w:val="00014CA8"/>
    <w:rsid w:val="00015D9B"/>
    <w:rsid w:val="000166D3"/>
    <w:rsid w:val="00017F25"/>
    <w:rsid w:val="000200A7"/>
    <w:rsid w:val="000206E7"/>
    <w:rsid w:val="00021B25"/>
    <w:rsid w:val="00021EA1"/>
    <w:rsid w:val="0002256A"/>
    <w:rsid w:val="00022B1E"/>
    <w:rsid w:val="0002502C"/>
    <w:rsid w:val="00025B18"/>
    <w:rsid w:val="00025B39"/>
    <w:rsid w:val="00026E7A"/>
    <w:rsid w:val="00027067"/>
    <w:rsid w:val="000278EC"/>
    <w:rsid w:val="00030B21"/>
    <w:rsid w:val="000316FC"/>
    <w:rsid w:val="00031CFD"/>
    <w:rsid w:val="00032756"/>
    <w:rsid w:val="000332DC"/>
    <w:rsid w:val="00033657"/>
    <w:rsid w:val="00034578"/>
    <w:rsid w:val="0003501F"/>
    <w:rsid w:val="00035095"/>
    <w:rsid w:val="00035551"/>
    <w:rsid w:val="00035736"/>
    <w:rsid w:val="000368F3"/>
    <w:rsid w:val="00036C88"/>
    <w:rsid w:val="0003711F"/>
    <w:rsid w:val="00037FD4"/>
    <w:rsid w:val="0004010F"/>
    <w:rsid w:val="000406D6"/>
    <w:rsid w:val="00040B7E"/>
    <w:rsid w:val="00040BDC"/>
    <w:rsid w:val="0004156C"/>
    <w:rsid w:val="00042BDA"/>
    <w:rsid w:val="00042D01"/>
    <w:rsid w:val="0004364B"/>
    <w:rsid w:val="00043674"/>
    <w:rsid w:val="000442D6"/>
    <w:rsid w:val="00044314"/>
    <w:rsid w:val="00044638"/>
    <w:rsid w:val="000446DD"/>
    <w:rsid w:val="00044B09"/>
    <w:rsid w:val="00044D19"/>
    <w:rsid w:val="00045B29"/>
    <w:rsid w:val="00046261"/>
    <w:rsid w:val="000465D4"/>
    <w:rsid w:val="0004771E"/>
    <w:rsid w:val="0004793A"/>
    <w:rsid w:val="00050D90"/>
    <w:rsid w:val="00051A7A"/>
    <w:rsid w:val="00051CE8"/>
    <w:rsid w:val="00051D56"/>
    <w:rsid w:val="00051DA4"/>
    <w:rsid w:val="00051F6D"/>
    <w:rsid w:val="00051F7F"/>
    <w:rsid w:val="0005317C"/>
    <w:rsid w:val="0005327C"/>
    <w:rsid w:val="000538D2"/>
    <w:rsid w:val="00053B2B"/>
    <w:rsid w:val="0005409A"/>
    <w:rsid w:val="00054938"/>
    <w:rsid w:val="00054CFF"/>
    <w:rsid w:val="0005506E"/>
    <w:rsid w:val="000555CF"/>
    <w:rsid w:val="0005591F"/>
    <w:rsid w:val="0005593A"/>
    <w:rsid w:val="0005681F"/>
    <w:rsid w:val="000571A1"/>
    <w:rsid w:val="0005752A"/>
    <w:rsid w:val="00057913"/>
    <w:rsid w:val="00060873"/>
    <w:rsid w:val="00060DB6"/>
    <w:rsid w:val="00060E8F"/>
    <w:rsid w:val="00061B1F"/>
    <w:rsid w:val="00063517"/>
    <w:rsid w:val="0006363E"/>
    <w:rsid w:val="00064E83"/>
    <w:rsid w:val="000662CD"/>
    <w:rsid w:val="00066A37"/>
    <w:rsid w:val="0006749B"/>
    <w:rsid w:val="000677A6"/>
    <w:rsid w:val="00067C19"/>
    <w:rsid w:val="000706A0"/>
    <w:rsid w:val="000707DA"/>
    <w:rsid w:val="00071737"/>
    <w:rsid w:val="00071DA0"/>
    <w:rsid w:val="00072715"/>
    <w:rsid w:val="00072A85"/>
    <w:rsid w:val="00072D6F"/>
    <w:rsid w:val="00072FB7"/>
    <w:rsid w:val="000733C4"/>
    <w:rsid w:val="00073952"/>
    <w:rsid w:val="00073A5B"/>
    <w:rsid w:val="00073FEA"/>
    <w:rsid w:val="000743C0"/>
    <w:rsid w:val="000744CD"/>
    <w:rsid w:val="00074783"/>
    <w:rsid w:val="0007495C"/>
    <w:rsid w:val="0007650D"/>
    <w:rsid w:val="00076A9C"/>
    <w:rsid w:val="00077743"/>
    <w:rsid w:val="00077DC8"/>
    <w:rsid w:val="0008070B"/>
    <w:rsid w:val="00080BBA"/>
    <w:rsid w:val="000810AC"/>
    <w:rsid w:val="00081A02"/>
    <w:rsid w:val="00081FFB"/>
    <w:rsid w:val="000821D1"/>
    <w:rsid w:val="00082231"/>
    <w:rsid w:val="000822EA"/>
    <w:rsid w:val="00082C30"/>
    <w:rsid w:val="000830F6"/>
    <w:rsid w:val="00083340"/>
    <w:rsid w:val="00085AD3"/>
    <w:rsid w:val="00085B32"/>
    <w:rsid w:val="00085B5F"/>
    <w:rsid w:val="00085F60"/>
    <w:rsid w:val="0008620B"/>
    <w:rsid w:val="000864DD"/>
    <w:rsid w:val="0008676B"/>
    <w:rsid w:val="000867BD"/>
    <w:rsid w:val="0008693A"/>
    <w:rsid w:val="0008777E"/>
    <w:rsid w:val="0009065B"/>
    <w:rsid w:val="000907B9"/>
    <w:rsid w:val="0009094A"/>
    <w:rsid w:val="00090EE1"/>
    <w:rsid w:val="000916CD"/>
    <w:rsid w:val="00091828"/>
    <w:rsid w:val="00091903"/>
    <w:rsid w:val="000919F7"/>
    <w:rsid w:val="0009226B"/>
    <w:rsid w:val="0009234D"/>
    <w:rsid w:val="00092A49"/>
    <w:rsid w:val="00092D38"/>
    <w:rsid w:val="00092FCD"/>
    <w:rsid w:val="0009377B"/>
    <w:rsid w:val="0009524B"/>
    <w:rsid w:val="00095540"/>
    <w:rsid w:val="0009560D"/>
    <w:rsid w:val="00095DD2"/>
    <w:rsid w:val="000961DB"/>
    <w:rsid w:val="00097199"/>
    <w:rsid w:val="000A00E5"/>
    <w:rsid w:val="000A09A5"/>
    <w:rsid w:val="000A1298"/>
    <w:rsid w:val="000A1AB2"/>
    <w:rsid w:val="000A20B5"/>
    <w:rsid w:val="000A20C9"/>
    <w:rsid w:val="000A2DC9"/>
    <w:rsid w:val="000A322F"/>
    <w:rsid w:val="000A3B33"/>
    <w:rsid w:val="000A443C"/>
    <w:rsid w:val="000A4BB5"/>
    <w:rsid w:val="000A5707"/>
    <w:rsid w:val="000A5D2C"/>
    <w:rsid w:val="000A686C"/>
    <w:rsid w:val="000A6DDB"/>
    <w:rsid w:val="000A7CD1"/>
    <w:rsid w:val="000B058F"/>
    <w:rsid w:val="000B06B5"/>
    <w:rsid w:val="000B06E6"/>
    <w:rsid w:val="000B1713"/>
    <w:rsid w:val="000B27B0"/>
    <w:rsid w:val="000B3C3A"/>
    <w:rsid w:val="000B3F80"/>
    <w:rsid w:val="000B428F"/>
    <w:rsid w:val="000B4467"/>
    <w:rsid w:val="000B4BE6"/>
    <w:rsid w:val="000B4DB9"/>
    <w:rsid w:val="000B50FE"/>
    <w:rsid w:val="000B5614"/>
    <w:rsid w:val="000B598E"/>
    <w:rsid w:val="000B5B75"/>
    <w:rsid w:val="000B6185"/>
    <w:rsid w:val="000B6964"/>
    <w:rsid w:val="000C01AF"/>
    <w:rsid w:val="000C04CE"/>
    <w:rsid w:val="000C04D8"/>
    <w:rsid w:val="000C09AC"/>
    <w:rsid w:val="000C0F41"/>
    <w:rsid w:val="000C0FC8"/>
    <w:rsid w:val="000C13FE"/>
    <w:rsid w:val="000C1702"/>
    <w:rsid w:val="000C1B58"/>
    <w:rsid w:val="000C1BC2"/>
    <w:rsid w:val="000C2622"/>
    <w:rsid w:val="000C264A"/>
    <w:rsid w:val="000C2669"/>
    <w:rsid w:val="000C2978"/>
    <w:rsid w:val="000C3105"/>
    <w:rsid w:val="000C4982"/>
    <w:rsid w:val="000C4A2F"/>
    <w:rsid w:val="000C4E63"/>
    <w:rsid w:val="000C58E7"/>
    <w:rsid w:val="000C594B"/>
    <w:rsid w:val="000C6699"/>
    <w:rsid w:val="000C66B8"/>
    <w:rsid w:val="000C6761"/>
    <w:rsid w:val="000C67DD"/>
    <w:rsid w:val="000C69FE"/>
    <w:rsid w:val="000C6D96"/>
    <w:rsid w:val="000C767F"/>
    <w:rsid w:val="000C768D"/>
    <w:rsid w:val="000C7C6D"/>
    <w:rsid w:val="000D0953"/>
    <w:rsid w:val="000D11AC"/>
    <w:rsid w:val="000D1E57"/>
    <w:rsid w:val="000D2C01"/>
    <w:rsid w:val="000D4CFA"/>
    <w:rsid w:val="000D5577"/>
    <w:rsid w:val="000D5A44"/>
    <w:rsid w:val="000D66F6"/>
    <w:rsid w:val="000D6972"/>
    <w:rsid w:val="000D73F3"/>
    <w:rsid w:val="000D7AA6"/>
    <w:rsid w:val="000D7E1B"/>
    <w:rsid w:val="000D7E8B"/>
    <w:rsid w:val="000E03AD"/>
    <w:rsid w:val="000E04AA"/>
    <w:rsid w:val="000E087C"/>
    <w:rsid w:val="000E0A10"/>
    <w:rsid w:val="000E0DFE"/>
    <w:rsid w:val="000E10B2"/>
    <w:rsid w:val="000E1A87"/>
    <w:rsid w:val="000E1F10"/>
    <w:rsid w:val="000E21C9"/>
    <w:rsid w:val="000E2DEC"/>
    <w:rsid w:val="000E325A"/>
    <w:rsid w:val="000E3ED2"/>
    <w:rsid w:val="000E475C"/>
    <w:rsid w:val="000E6396"/>
    <w:rsid w:val="000E6B30"/>
    <w:rsid w:val="000E6CA1"/>
    <w:rsid w:val="000E724F"/>
    <w:rsid w:val="000F019C"/>
    <w:rsid w:val="000F0346"/>
    <w:rsid w:val="000F06C1"/>
    <w:rsid w:val="000F06DA"/>
    <w:rsid w:val="000F07A3"/>
    <w:rsid w:val="000F1A6B"/>
    <w:rsid w:val="000F2AE8"/>
    <w:rsid w:val="000F2CD7"/>
    <w:rsid w:val="000F2E2D"/>
    <w:rsid w:val="000F3187"/>
    <w:rsid w:val="000F3B75"/>
    <w:rsid w:val="000F4F0F"/>
    <w:rsid w:val="000F6150"/>
    <w:rsid w:val="000F6583"/>
    <w:rsid w:val="00100B72"/>
    <w:rsid w:val="001010E8"/>
    <w:rsid w:val="0010276B"/>
    <w:rsid w:val="00102FC0"/>
    <w:rsid w:val="00103BD7"/>
    <w:rsid w:val="00103C40"/>
    <w:rsid w:val="00104B26"/>
    <w:rsid w:val="00104C67"/>
    <w:rsid w:val="00104F18"/>
    <w:rsid w:val="00105C50"/>
    <w:rsid w:val="001064C1"/>
    <w:rsid w:val="001067CA"/>
    <w:rsid w:val="00106E5F"/>
    <w:rsid w:val="00106F77"/>
    <w:rsid w:val="00107643"/>
    <w:rsid w:val="00110F0B"/>
    <w:rsid w:val="00111169"/>
    <w:rsid w:val="00111FA7"/>
    <w:rsid w:val="00112859"/>
    <w:rsid w:val="00113181"/>
    <w:rsid w:val="00113211"/>
    <w:rsid w:val="00113DF6"/>
    <w:rsid w:val="00114CB2"/>
    <w:rsid w:val="0011530A"/>
    <w:rsid w:val="00115721"/>
    <w:rsid w:val="00115DCA"/>
    <w:rsid w:val="00116708"/>
    <w:rsid w:val="00116BC2"/>
    <w:rsid w:val="00116DA3"/>
    <w:rsid w:val="00117105"/>
    <w:rsid w:val="00117343"/>
    <w:rsid w:val="00117D43"/>
    <w:rsid w:val="00117D75"/>
    <w:rsid w:val="00121031"/>
    <w:rsid w:val="00121453"/>
    <w:rsid w:val="001216AC"/>
    <w:rsid w:val="00121A9A"/>
    <w:rsid w:val="00121F7B"/>
    <w:rsid w:val="001232F0"/>
    <w:rsid w:val="0012341F"/>
    <w:rsid w:val="0012380A"/>
    <w:rsid w:val="00123BAD"/>
    <w:rsid w:val="00124A91"/>
    <w:rsid w:val="00124FB5"/>
    <w:rsid w:val="00125D3F"/>
    <w:rsid w:val="00125E56"/>
    <w:rsid w:val="00126047"/>
    <w:rsid w:val="001261DF"/>
    <w:rsid w:val="0012673A"/>
    <w:rsid w:val="00126AAA"/>
    <w:rsid w:val="00127264"/>
    <w:rsid w:val="001276E1"/>
    <w:rsid w:val="00127B4C"/>
    <w:rsid w:val="00127ED8"/>
    <w:rsid w:val="0013003F"/>
    <w:rsid w:val="001301CB"/>
    <w:rsid w:val="00130797"/>
    <w:rsid w:val="0013137B"/>
    <w:rsid w:val="00131F42"/>
    <w:rsid w:val="00132753"/>
    <w:rsid w:val="00133820"/>
    <w:rsid w:val="00133CE3"/>
    <w:rsid w:val="0013408F"/>
    <w:rsid w:val="00134403"/>
    <w:rsid w:val="0013528E"/>
    <w:rsid w:val="001355DE"/>
    <w:rsid w:val="001357B7"/>
    <w:rsid w:val="001357F1"/>
    <w:rsid w:val="00135DC0"/>
    <w:rsid w:val="00136BC5"/>
    <w:rsid w:val="00137140"/>
    <w:rsid w:val="00137201"/>
    <w:rsid w:val="0013726E"/>
    <w:rsid w:val="00137DB0"/>
    <w:rsid w:val="00137F54"/>
    <w:rsid w:val="0014090A"/>
    <w:rsid w:val="00140FA8"/>
    <w:rsid w:val="0014223C"/>
    <w:rsid w:val="001424E7"/>
    <w:rsid w:val="00142A4C"/>
    <w:rsid w:val="00142FEB"/>
    <w:rsid w:val="001432ED"/>
    <w:rsid w:val="001435E9"/>
    <w:rsid w:val="00143723"/>
    <w:rsid w:val="00143A2D"/>
    <w:rsid w:val="001442BA"/>
    <w:rsid w:val="001443DD"/>
    <w:rsid w:val="00144E59"/>
    <w:rsid w:val="001456E7"/>
    <w:rsid w:val="00145A41"/>
    <w:rsid w:val="00145E60"/>
    <w:rsid w:val="00146900"/>
    <w:rsid w:val="00146A90"/>
    <w:rsid w:val="00146EE2"/>
    <w:rsid w:val="00147AC1"/>
    <w:rsid w:val="00147FC4"/>
    <w:rsid w:val="00151154"/>
    <w:rsid w:val="00151675"/>
    <w:rsid w:val="00151E70"/>
    <w:rsid w:val="00152BC9"/>
    <w:rsid w:val="00152CA1"/>
    <w:rsid w:val="0015328D"/>
    <w:rsid w:val="0015444D"/>
    <w:rsid w:val="001546B7"/>
    <w:rsid w:val="00154977"/>
    <w:rsid w:val="00154A76"/>
    <w:rsid w:val="00155212"/>
    <w:rsid w:val="001564D2"/>
    <w:rsid w:val="00156C36"/>
    <w:rsid w:val="00156C74"/>
    <w:rsid w:val="00156DAA"/>
    <w:rsid w:val="00157435"/>
    <w:rsid w:val="001611A8"/>
    <w:rsid w:val="001611F6"/>
    <w:rsid w:val="001620D6"/>
    <w:rsid w:val="0016221E"/>
    <w:rsid w:val="00162E3B"/>
    <w:rsid w:val="00163442"/>
    <w:rsid w:val="00164271"/>
    <w:rsid w:val="00166E3D"/>
    <w:rsid w:val="0016745B"/>
    <w:rsid w:val="00167555"/>
    <w:rsid w:val="00167B0C"/>
    <w:rsid w:val="001701C7"/>
    <w:rsid w:val="00170F04"/>
    <w:rsid w:val="00170F12"/>
    <w:rsid w:val="00172230"/>
    <w:rsid w:val="00172536"/>
    <w:rsid w:val="00172683"/>
    <w:rsid w:val="00172EEE"/>
    <w:rsid w:val="0017309F"/>
    <w:rsid w:val="001739AC"/>
    <w:rsid w:val="00173E3A"/>
    <w:rsid w:val="001744DD"/>
    <w:rsid w:val="00174F2B"/>
    <w:rsid w:val="0017504D"/>
    <w:rsid w:val="001753FA"/>
    <w:rsid w:val="00175571"/>
    <w:rsid w:val="00175A1D"/>
    <w:rsid w:val="0017671A"/>
    <w:rsid w:val="001767A3"/>
    <w:rsid w:val="0017692C"/>
    <w:rsid w:val="00177052"/>
    <w:rsid w:val="00177422"/>
    <w:rsid w:val="00180F8B"/>
    <w:rsid w:val="00181FBA"/>
    <w:rsid w:val="00182756"/>
    <w:rsid w:val="00182F0B"/>
    <w:rsid w:val="00183E9A"/>
    <w:rsid w:val="001841EF"/>
    <w:rsid w:val="00184590"/>
    <w:rsid w:val="00184F1F"/>
    <w:rsid w:val="001870D1"/>
    <w:rsid w:val="001871BF"/>
    <w:rsid w:val="00187789"/>
    <w:rsid w:val="0018781E"/>
    <w:rsid w:val="0019026C"/>
    <w:rsid w:val="0019262D"/>
    <w:rsid w:val="00192707"/>
    <w:rsid w:val="00192901"/>
    <w:rsid w:val="00192B7B"/>
    <w:rsid w:val="0019381C"/>
    <w:rsid w:val="00193B78"/>
    <w:rsid w:val="00194539"/>
    <w:rsid w:val="00196B45"/>
    <w:rsid w:val="00197046"/>
    <w:rsid w:val="001970DA"/>
    <w:rsid w:val="001978A0"/>
    <w:rsid w:val="00197D6E"/>
    <w:rsid w:val="001A002F"/>
    <w:rsid w:val="001A0E7B"/>
    <w:rsid w:val="001A170F"/>
    <w:rsid w:val="001A1A97"/>
    <w:rsid w:val="001A1B35"/>
    <w:rsid w:val="001A2249"/>
    <w:rsid w:val="001A2AD8"/>
    <w:rsid w:val="001A320A"/>
    <w:rsid w:val="001A3FFE"/>
    <w:rsid w:val="001A41C3"/>
    <w:rsid w:val="001A44DF"/>
    <w:rsid w:val="001A48A2"/>
    <w:rsid w:val="001A4A59"/>
    <w:rsid w:val="001A4E9C"/>
    <w:rsid w:val="001A57CC"/>
    <w:rsid w:val="001A6F61"/>
    <w:rsid w:val="001A786D"/>
    <w:rsid w:val="001A794D"/>
    <w:rsid w:val="001B099D"/>
    <w:rsid w:val="001B0F96"/>
    <w:rsid w:val="001B1010"/>
    <w:rsid w:val="001B133F"/>
    <w:rsid w:val="001B135D"/>
    <w:rsid w:val="001B15CE"/>
    <w:rsid w:val="001B2589"/>
    <w:rsid w:val="001B2A66"/>
    <w:rsid w:val="001B35C5"/>
    <w:rsid w:val="001B376E"/>
    <w:rsid w:val="001B38AB"/>
    <w:rsid w:val="001B3DDC"/>
    <w:rsid w:val="001B4BD3"/>
    <w:rsid w:val="001B5070"/>
    <w:rsid w:val="001B541F"/>
    <w:rsid w:val="001B56E2"/>
    <w:rsid w:val="001B586B"/>
    <w:rsid w:val="001B5C8B"/>
    <w:rsid w:val="001B72B8"/>
    <w:rsid w:val="001B72C2"/>
    <w:rsid w:val="001C009F"/>
    <w:rsid w:val="001C046C"/>
    <w:rsid w:val="001C0B34"/>
    <w:rsid w:val="001C0C13"/>
    <w:rsid w:val="001C0E81"/>
    <w:rsid w:val="001C16DC"/>
    <w:rsid w:val="001C1AA7"/>
    <w:rsid w:val="001C1CB4"/>
    <w:rsid w:val="001C2252"/>
    <w:rsid w:val="001C285B"/>
    <w:rsid w:val="001C28EA"/>
    <w:rsid w:val="001C30DB"/>
    <w:rsid w:val="001C487A"/>
    <w:rsid w:val="001C52D7"/>
    <w:rsid w:val="001C5F42"/>
    <w:rsid w:val="001C6649"/>
    <w:rsid w:val="001C69B3"/>
    <w:rsid w:val="001C7032"/>
    <w:rsid w:val="001C710B"/>
    <w:rsid w:val="001C74B4"/>
    <w:rsid w:val="001C75F1"/>
    <w:rsid w:val="001C7930"/>
    <w:rsid w:val="001C7C28"/>
    <w:rsid w:val="001C7C69"/>
    <w:rsid w:val="001D0259"/>
    <w:rsid w:val="001D0409"/>
    <w:rsid w:val="001D0BDF"/>
    <w:rsid w:val="001D106B"/>
    <w:rsid w:val="001D10B4"/>
    <w:rsid w:val="001D12EF"/>
    <w:rsid w:val="001D161C"/>
    <w:rsid w:val="001D1658"/>
    <w:rsid w:val="001D19F8"/>
    <w:rsid w:val="001D1CA7"/>
    <w:rsid w:val="001D1E07"/>
    <w:rsid w:val="001D225E"/>
    <w:rsid w:val="001D2871"/>
    <w:rsid w:val="001D3474"/>
    <w:rsid w:val="001D415C"/>
    <w:rsid w:val="001D4462"/>
    <w:rsid w:val="001D52EF"/>
    <w:rsid w:val="001D5595"/>
    <w:rsid w:val="001D64D5"/>
    <w:rsid w:val="001D6551"/>
    <w:rsid w:val="001D69AE"/>
    <w:rsid w:val="001D6A1D"/>
    <w:rsid w:val="001D7047"/>
    <w:rsid w:val="001D71C0"/>
    <w:rsid w:val="001D748E"/>
    <w:rsid w:val="001D768D"/>
    <w:rsid w:val="001D7874"/>
    <w:rsid w:val="001D7D05"/>
    <w:rsid w:val="001D7F22"/>
    <w:rsid w:val="001E0138"/>
    <w:rsid w:val="001E08FC"/>
    <w:rsid w:val="001E0E93"/>
    <w:rsid w:val="001E1E59"/>
    <w:rsid w:val="001E2AE2"/>
    <w:rsid w:val="001E3464"/>
    <w:rsid w:val="001E35B8"/>
    <w:rsid w:val="001E37F6"/>
    <w:rsid w:val="001E3BDE"/>
    <w:rsid w:val="001E4726"/>
    <w:rsid w:val="001E4C53"/>
    <w:rsid w:val="001E4D1B"/>
    <w:rsid w:val="001E54F3"/>
    <w:rsid w:val="001E5C65"/>
    <w:rsid w:val="001E5E19"/>
    <w:rsid w:val="001E66CD"/>
    <w:rsid w:val="001E68DA"/>
    <w:rsid w:val="001E71D5"/>
    <w:rsid w:val="001E7A39"/>
    <w:rsid w:val="001F0682"/>
    <w:rsid w:val="001F0F17"/>
    <w:rsid w:val="001F1986"/>
    <w:rsid w:val="001F2934"/>
    <w:rsid w:val="001F3218"/>
    <w:rsid w:val="001F3347"/>
    <w:rsid w:val="001F371C"/>
    <w:rsid w:val="001F3809"/>
    <w:rsid w:val="001F39F9"/>
    <w:rsid w:val="001F48A2"/>
    <w:rsid w:val="001F4A01"/>
    <w:rsid w:val="001F5C05"/>
    <w:rsid w:val="001F62C2"/>
    <w:rsid w:val="001F67B4"/>
    <w:rsid w:val="001F69E4"/>
    <w:rsid w:val="001F6D31"/>
    <w:rsid w:val="001F6EC1"/>
    <w:rsid w:val="001F70FA"/>
    <w:rsid w:val="001F749B"/>
    <w:rsid w:val="002000BE"/>
    <w:rsid w:val="002003C1"/>
    <w:rsid w:val="002022B7"/>
    <w:rsid w:val="00202775"/>
    <w:rsid w:val="00202805"/>
    <w:rsid w:val="00202E92"/>
    <w:rsid w:val="00203456"/>
    <w:rsid w:val="00203E02"/>
    <w:rsid w:val="00203E1E"/>
    <w:rsid w:val="00204789"/>
    <w:rsid w:val="00204A3E"/>
    <w:rsid w:val="002053BA"/>
    <w:rsid w:val="00205650"/>
    <w:rsid w:val="00205A4E"/>
    <w:rsid w:val="00205AC8"/>
    <w:rsid w:val="00206493"/>
    <w:rsid w:val="00206B6C"/>
    <w:rsid w:val="00206E79"/>
    <w:rsid w:val="002077FD"/>
    <w:rsid w:val="002105A0"/>
    <w:rsid w:val="0021087F"/>
    <w:rsid w:val="0021095E"/>
    <w:rsid w:val="00211DB3"/>
    <w:rsid w:val="002121B1"/>
    <w:rsid w:val="00212457"/>
    <w:rsid w:val="002125B4"/>
    <w:rsid w:val="0021280B"/>
    <w:rsid w:val="00212B10"/>
    <w:rsid w:val="00212CAA"/>
    <w:rsid w:val="00213599"/>
    <w:rsid w:val="00213999"/>
    <w:rsid w:val="0021420C"/>
    <w:rsid w:val="00214333"/>
    <w:rsid w:val="0021468F"/>
    <w:rsid w:val="002148E2"/>
    <w:rsid w:val="00214C0C"/>
    <w:rsid w:val="00214F43"/>
    <w:rsid w:val="002155B8"/>
    <w:rsid w:val="0021581D"/>
    <w:rsid w:val="002158E0"/>
    <w:rsid w:val="00216A04"/>
    <w:rsid w:val="00216CA2"/>
    <w:rsid w:val="00217815"/>
    <w:rsid w:val="00220304"/>
    <w:rsid w:val="0022033E"/>
    <w:rsid w:val="00221295"/>
    <w:rsid w:val="00222A50"/>
    <w:rsid w:val="002247E0"/>
    <w:rsid w:val="00224839"/>
    <w:rsid w:val="002249B2"/>
    <w:rsid w:val="00224C0B"/>
    <w:rsid w:val="00225114"/>
    <w:rsid w:val="002257D1"/>
    <w:rsid w:val="00226134"/>
    <w:rsid w:val="00226574"/>
    <w:rsid w:val="0022674A"/>
    <w:rsid w:val="00226809"/>
    <w:rsid w:val="00226C00"/>
    <w:rsid w:val="0022700C"/>
    <w:rsid w:val="00227223"/>
    <w:rsid w:val="002278EC"/>
    <w:rsid w:val="00227A38"/>
    <w:rsid w:val="002309F9"/>
    <w:rsid w:val="00230B57"/>
    <w:rsid w:val="00230E21"/>
    <w:rsid w:val="002319DE"/>
    <w:rsid w:val="002321DA"/>
    <w:rsid w:val="0023280E"/>
    <w:rsid w:val="00232E87"/>
    <w:rsid w:val="00234198"/>
    <w:rsid w:val="00234506"/>
    <w:rsid w:val="00235A7A"/>
    <w:rsid w:val="00235FF0"/>
    <w:rsid w:val="002369FA"/>
    <w:rsid w:val="00236D14"/>
    <w:rsid w:val="00236EB8"/>
    <w:rsid w:val="002377D1"/>
    <w:rsid w:val="00237A9C"/>
    <w:rsid w:val="00240106"/>
    <w:rsid w:val="00240FDF"/>
    <w:rsid w:val="00241F6B"/>
    <w:rsid w:val="00242559"/>
    <w:rsid w:val="00242A76"/>
    <w:rsid w:val="00243349"/>
    <w:rsid w:val="00243501"/>
    <w:rsid w:val="00243FF1"/>
    <w:rsid w:val="002449AA"/>
    <w:rsid w:val="00244C8B"/>
    <w:rsid w:val="00246FBD"/>
    <w:rsid w:val="00247320"/>
    <w:rsid w:val="00247D33"/>
    <w:rsid w:val="0025005C"/>
    <w:rsid w:val="002504EB"/>
    <w:rsid w:val="002506BC"/>
    <w:rsid w:val="002510D3"/>
    <w:rsid w:val="002512DC"/>
    <w:rsid w:val="00251A03"/>
    <w:rsid w:val="0025260F"/>
    <w:rsid w:val="00252B23"/>
    <w:rsid w:val="00253812"/>
    <w:rsid w:val="00253C7D"/>
    <w:rsid w:val="002540AF"/>
    <w:rsid w:val="00254345"/>
    <w:rsid w:val="0025598B"/>
    <w:rsid w:val="00255A2C"/>
    <w:rsid w:val="00255BEC"/>
    <w:rsid w:val="00256B7D"/>
    <w:rsid w:val="002571F8"/>
    <w:rsid w:val="00257357"/>
    <w:rsid w:val="002576A6"/>
    <w:rsid w:val="00257E25"/>
    <w:rsid w:val="00260CE7"/>
    <w:rsid w:val="002615FE"/>
    <w:rsid w:val="00261890"/>
    <w:rsid w:val="00262A39"/>
    <w:rsid w:val="00262DCA"/>
    <w:rsid w:val="00263CFC"/>
    <w:rsid w:val="00263EF6"/>
    <w:rsid w:val="002643E6"/>
    <w:rsid w:val="00264557"/>
    <w:rsid w:val="00264573"/>
    <w:rsid w:val="00265A41"/>
    <w:rsid w:val="00265D38"/>
    <w:rsid w:val="00266085"/>
    <w:rsid w:val="002666A1"/>
    <w:rsid w:val="0026695B"/>
    <w:rsid w:val="00266D6F"/>
    <w:rsid w:val="00267EE1"/>
    <w:rsid w:val="00270E12"/>
    <w:rsid w:val="00271753"/>
    <w:rsid w:val="0027221F"/>
    <w:rsid w:val="002723AD"/>
    <w:rsid w:val="002729D6"/>
    <w:rsid w:val="002743BF"/>
    <w:rsid w:val="00274503"/>
    <w:rsid w:val="00274B49"/>
    <w:rsid w:val="002753ED"/>
    <w:rsid w:val="00275D58"/>
    <w:rsid w:val="00276025"/>
    <w:rsid w:val="00276223"/>
    <w:rsid w:val="002769ED"/>
    <w:rsid w:val="00276CA6"/>
    <w:rsid w:val="00276CEF"/>
    <w:rsid w:val="00276D78"/>
    <w:rsid w:val="0027796D"/>
    <w:rsid w:val="0028014C"/>
    <w:rsid w:val="002805AB"/>
    <w:rsid w:val="00280E25"/>
    <w:rsid w:val="00281CEE"/>
    <w:rsid w:val="0028224C"/>
    <w:rsid w:val="002829E7"/>
    <w:rsid w:val="0028383F"/>
    <w:rsid w:val="0028398F"/>
    <w:rsid w:val="00284204"/>
    <w:rsid w:val="00284812"/>
    <w:rsid w:val="00284B2D"/>
    <w:rsid w:val="00284EA0"/>
    <w:rsid w:val="002856DF"/>
    <w:rsid w:val="002858D7"/>
    <w:rsid w:val="00286AE0"/>
    <w:rsid w:val="00287A01"/>
    <w:rsid w:val="00290171"/>
    <w:rsid w:val="00290F2C"/>
    <w:rsid w:val="00291061"/>
    <w:rsid w:val="0029156D"/>
    <w:rsid w:val="00291773"/>
    <w:rsid w:val="00292A12"/>
    <w:rsid w:val="00293493"/>
    <w:rsid w:val="0029350C"/>
    <w:rsid w:val="00293635"/>
    <w:rsid w:val="0029396B"/>
    <w:rsid w:val="00293AE0"/>
    <w:rsid w:val="00294E29"/>
    <w:rsid w:val="002959D3"/>
    <w:rsid w:val="002964AE"/>
    <w:rsid w:val="00296759"/>
    <w:rsid w:val="002969BF"/>
    <w:rsid w:val="0029733B"/>
    <w:rsid w:val="002A0A46"/>
    <w:rsid w:val="002A0DCA"/>
    <w:rsid w:val="002A1011"/>
    <w:rsid w:val="002A101D"/>
    <w:rsid w:val="002A14C2"/>
    <w:rsid w:val="002A168C"/>
    <w:rsid w:val="002A21EA"/>
    <w:rsid w:val="002A3083"/>
    <w:rsid w:val="002A3784"/>
    <w:rsid w:val="002A3DC7"/>
    <w:rsid w:val="002A48D4"/>
    <w:rsid w:val="002A4F08"/>
    <w:rsid w:val="002A61DC"/>
    <w:rsid w:val="002A62E3"/>
    <w:rsid w:val="002A66A0"/>
    <w:rsid w:val="002A6800"/>
    <w:rsid w:val="002A723A"/>
    <w:rsid w:val="002A72DE"/>
    <w:rsid w:val="002A7C9B"/>
    <w:rsid w:val="002B19E9"/>
    <w:rsid w:val="002B1B07"/>
    <w:rsid w:val="002B264A"/>
    <w:rsid w:val="002B3879"/>
    <w:rsid w:val="002B3F9A"/>
    <w:rsid w:val="002B49E2"/>
    <w:rsid w:val="002B5AC4"/>
    <w:rsid w:val="002B5EE4"/>
    <w:rsid w:val="002B5F2F"/>
    <w:rsid w:val="002B5FC7"/>
    <w:rsid w:val="002B6236"/>
    <w:rsid w:val="002B6E17"/>
    <w:rsid w:val="002B7345"/>
    <w:rsid w:val="002B7B00"/>
    <w:rsid w:val="002B7BB1"/>
    <w:rsid w:val="002B7C44"/>
    <w:rsid w:val="002B7E0B"/>
    <w:rsid w:val="002B7EEB"/>
    <w:rsid w:val="002C09C6"/>
    <w:rsid w:val="002C1118"/>
    <w:rsid w:val="002C1F33"/>
    <w:rsid w:val="002C2908"/>
    <w:rsid w:val="002C2A33"/>
    <w:rsid w:val="002C2B17"/>
    <w:rsid w:val="002C4C60"/>
    <w:rsid w:val="002C5431"/>
    <w:rsid w:val="002C5BFD"/>
    <w:rsid w:val="002C5D8D"/>
    <w:rsid w:val="002C69C2"/>
    <w:rsid w:val="002C6E20"/>
    <w:rsid w:val="002C7478"/>
    <w:rsid w:val="002C77D6"/>
    <w:rsid w:val="002D0199"/>
    <w:rsid w:val="002D0EE2"/>
    <w:rsid w:val="002D1430"/>
    <w:rsid w:val="002D1493"/>
    <w:rsid w:val="002D1DF9"/>
    <w:rsid w:val="002D1E95"/>
    <w:rsid w:val="002D2B0C"/>
    <w:rsid w:val="002D2C60"/>
    <w:rsid w:val="002D2E67"/>
    <w:rsid w:val="002D31EF"/>
    <w:rsid w:val="002D3DD0"/>
    <w:rsid w:val="002D3EDE"/>
    <w:rsid w:val="002D4CC1"/>
    <w:rsid w:val="002D69A6"/>
    <w:rsid w:val="002D6C25"/>
    <w:rsid w:val="002D76E7"/>
    <w:rsid w:val="002E031E"/>
    <w:rsid w:val="002E1774"/>
    <w:rsid w:val="002E17FE"/>
    <w:rsid w:val="002E1F3A"/>
    <w:rsid w:val="002E20E5"/>
    <w:rsid w:val="002E24E6"/>
    <w:rsid w:val="002E298A"/>
    <w:rsid w:val="002E29F6"/>
    <w:rsid w:val="002E3171"/>
    <w:rsid w:val="002E3216"/>
    <w:rsid w:val="002E3CEF"/>
    <w:rsid w:val="002E450B"/>
    <w:rsid w:val="002E52C4"/>
    <w:rsid w:val="002E613D"/>
    <w:rsid w:val="002E6432"/>
    <w:rsid w:val="002E69DE"/>
    <w:rsid w:val="002E7135"/>
    <w:rsid w:val="002E79D2"/>
    <w:rsid w:val="002F0A80"/>
    <w:rsid w:val="002F184F"/>
    <w:rsid w:val="002F1CDA"/>
    <w:rsid w:val="002F25A5"/>
    <w:rsid w:val="002F42AE"/>
    <w:rsid w:val="002F464C"/>
    <w:rsid w:val="002F7020"/>
    <w:rsid w:val="002F7B7C"/>
    <w:rsid w:val="0030035F"/>
    <w:rsid w:val="0030136F"/>
    <w:rsid w:val="00301978"/>
    <w:rsid w:val="0030332C"/>
    <w:rsid w:val="003034B6"/>
    <w:rsid w:val="003038B1"/>
    <w:rsid w:val="0030435F"/>
    <w:rsid w:val="003043B9"/>
    <w:rsid w:val="003051C2"/>
    <w:rsid w:val="00305217"/>
    <w:rsid w:val="00305BEC"/>
    <w:rsid w:val="00306831"/>
    <w:rsid w:val="00306BA4"/>
    <w:rsid w:val="003104E0"/>
    <w:rsid w:val="0031054F"/>
    <w:rsid w:val="00310C74"/>
    <w:rsid w:val="00310DCD"/>
    <w:rsid w:val="00312207"/>
    <w:rsid w:val="00312296"/>
    <w:rsid w:val="00312895"/>
    <w:rsid w:val="00312997"/>
    <w:rsid w:val="00312DC0"/>
    <w:rsid w:val="003132D4"/>
    <w:rsid w:val="00314F0E"/>
    <w:rsid w:val="00315008"/>
    <w:rsid w:val="00316764"/>
    <w:rsid w:val="003202CC"/>
    <w:rsid w:val="00321D8E"/>
    <w:rsid w:val="0032327A"/>
    <w:rsid w:val="0032455F"/>
    <w:rsid w:val="00324F24"/>
    <w:rsid w:val="00325928"/>
    <w:rsid w:val="00325BCB"/>
    <w:rsid w:val="00325D4B"/>
    <w:rsid w:val="0032705D"/>
    <w:rsid w:val="00330ACE"/>
    <w:rsid w:val="00330D52"/>
    <w:rsid w:val="00330F14"/>
    <w:rsid w:val="00331A2A"/>
    <w:rsid w:val="00332863"/>
    <w:rsid w:val="003328FF"/>
    <w:rsid w:val="00332B73"/>
    <w:rsid w:val="003332F3"/>
    <w:rsid w:val="003339C8"/>
    <w:rsid w:val="00333FAE"/>
    <w:rsid w:val="0033482A"/>
    <w:rsid w:val="00335328"/>
    <w:rsid w:val="00335774"/>
    <w:rsid w:val="00336509"/>
    <w:rsid w:val="0033684D"/>
    <w:rsid w:val="00337B42"/>
    <w:rsid w:val="00341236"/>
    <w:rsid w:val="00341B42"/>
    <w:rsid w:val="00342405"/>
    <w:rsid w:val="00342EE3"/>
    <w:rsid w:val="0034348F"/>
    <w:rsid w:val="00343E30"/>
    <w:rsid w:val="00344770"/>
    <w:rsid w:val="00345EC6"/>
    <w:rsid w:val="00346FC9"/>
    <w:rsid w:val="0034722C"/>
    <w:rsid w:val="003472A9"/>
    <w:rsid w:val="003473C5"/>
    <w:rsid w:val="00347AC7"/>
    <w:rsid w:val="003508FD"/>
    <w:rsid w:val="00350DF2"/>
    <w:rsid w:val="0035145F"/>
    <w:rsid w:val="003529AC"/>
    <w:rsid w:val="00352B87"/>
    <w:rsid w:val="00352E38"/>
    <w:rsid w:val="00352F70"/>
    <w:rsid w:val="00354D1C"/>
    <w:rsid w:val="003552C0"/>
    <w:rsid w:val="00356653"/>
    <w:rsid w:val="00356D0F"/>
    <w:rsid w:val="003573CA"/>
    <w:rsid w:val="0035743F"/>
    <w:rsid w:val="00357B7C"/>
    <w:rsid w:val="00357BE2"/>
    <w:rsid w:val="00360013"/>
    <w:rsid w:val="003604A6"/>
    <w:rsid w:val="0036088E"/>
    <w:rsid w:val="00360D0C"/>
    <w:rsid w:val="0036170C"/>
    <w:rsid w:val="0036173B"/>
    <w:rsid w:val="003617CE"/>
    <w:rsid w:val="003618F4"/>
    <w:rsid w:val="00362433"/>
    <w:rsid w:val="00362718"/>
    <w:rsid w:val="00362E26"/>
    <w:rsid w:val="00366E0F"/>
    <w:rsid w:val="003677D0"/>
    <w:rsid w:val="003700E5"/>
    <w:rsid w:val="00370420"/>
    <w:rsid w:val="003707A7"/>
    <w:rsid w:val="00370BF8"/>
    <w:rsid w:val="00370CE9"/>
    <w:rsid w:val="003713C2"/>
    <w:rsid w:val="00371593"/>
    <w:rsid w:val="00371964"/>
    <w:rsid w:val="00371A21"/>
    <w:rsid w:val="00371D1D"/>
    <w:rsid w:val="00373030"/>
    <w:rsid w:val="003740A1"/>
    <w:rsid w:val="00374D90"/>
    <w:rsid w:val="003756AC"/>
    <w:rsid w:val="003759DD"/>
    <w:rsid w:val="00375A28"/>
    <w:rsid w:val="00376E26"/>
    <w:rsid w:val="00377299"/>
    <w:rsid w:val="00377382"/>
    <w:rsid w:val="00380555"/>
    <w:rsid w:val="00380932"/>
    <w:rsid w:val="00381A72"/>
    <w:rsid w:val="00381C63"/>
    <w:rsid w:val="00382C8E"/>
    <w:rsid w:val="00382D38"/>
    <w:rsid w:val="0038334A"/>
    <w:rsid w:val="003836AB"/>
    <w:rsid w:val="003844A3"/>
    <w:rsid w:val="00384676"/>
    <w:rsid w:val="00384A2A"/>
    <w:rsid w:val="003850C6"/>
    <w:rsid w:val="003866D3"/>
    <w:rsid w:val="00386B47"/>
    <w:rsid w:val="00386BAD"/>
    <w:rsid w:val="003872CE"/>
    <w:rsid w:val="00387C7E"/>
    <w:rsid w:val="00387DA8"/>
    <w:rsid w:val="00390857"/>
    <w:rsid w:val="003912EE"/>
    <w:rsid w:val="0039192A"/>
    <w:rsid w:val="00392696"/>
    <w:rsid w:val="003933B8"/>
    <w:rsid w:val="00393AE3"/>
    <w:rsid w:val="003942B0"/>
    <w:rsid w:val="00394D6C"/>
    <w:rsid w:val="00394FF7"/>
    <w:rsid w:val="00395C46"/>
    <w:rsid w:val="0039652A"/>
    <w:rsid w:val="0039690D"/>
    <w:rsid w:val="00396C43"/>
    <w:rsid w:val="00397CC5"/>
    <w:rsid w:val="003A0712"/>
    <w:rsid w:val="003A08CC"/>
    <w:rsid w:val="003A0FD8"/>
    <w:rsid w:val="003A1A45"/>
    <w:rsid w:val="003A1E56"/>
    <w:rsid w:val="003A27EB"/>
    <w:rsid w:val="003A29B5"/>
    <w:rsid w:val="003A2A76"/>
    <w:rsid w:val="003A2AC9"/>
    <w:rsid w:val="003A30E2"/>
    <w:rsid w:val="003A36EC"/>
    <w:rsid w:val="003A3C3B"/>
    <w:rsid w:val="003A4A19"/>
    <w:rsid w:val="003A4B19"/>
    <w:rsid w:val="003A4BF3"/>
    <w:rsid w:val="003A5927"/>
    <w:rsid w:val="003A5CD9"/>
    <w:rsid w:val="003A5FAE"/>
    <w:rsid w:val="003B00D5"/>
    <w:rsid w:val="003B0711"/>
    <w:rsid w:val="003B0783"/>
    <w:rsid w:val="003B0ABE"/>
    <w:rsid w:val="003B0ECA"/>
    <w:rsid w:val="003B1D04"/>
    <w:rsid w:val="003B2A55"/>
    <w:rsid w:val="003B3096"/>
    <w:rsid w:val="003B317D"/>
    <w:rsid w:val="003B3CCD"/>
    <w:rsid w:val="003B420D"/>
    <w:rsid w:val="003B6684"/>
    <w:rsid w:val="003B66DD"/>
    <w:rsid w:val="003B6A13"/>
    <w:rsid w:val="003B6B8B"/>
    <w:rsid w:val="003B7042"/>
    <w:rsid w:val="003B74EF"/>
    <w:rsid w:val="003C0121"/>
    <w:rsid w:val="003C0C03"/>
    <w:rsid w:val="003C14C5"/>
    <w:rsid w:val="003C19CF"/>
    <w:rsid w:val="003C2D06"/>
    <w:rsid w:val="003C3761"/>
    <w:rsid w:val="003C396A"/>
    <w:rsid w:val="003C411F"/>
    <w:rsid w:val="003C4C9F"/>
    <w:rsid w:val="003C5DA5"/>
    <w:rsid w:val="003C635E"/>
    <w:rsid w:val="003C6C16"/>
    <w:rsid w:val="003D0101"/>
    <w:rsid w:val="003D03BE"/>
    <w:rsid w:val="003D0685"/>
    <w:rsid w:val="003D123A"/>
    <w:rsid w:val="003D13A0"/>
    <w:rsid w:val="003D1BC4"/>
    <w:rsid w:val="003D2C78"/>
    <w:rsid w:val="003D44E6"/>
    <w:rsid w:val="003D4A26"/>
    <w:rsid w:val="003D56ED"/>
    <w:rsid w:val="003D6158"/>
    <w:rsid w:val="003D794D"/>
    <w:rsid w:val="003E010C"/>
    <w:rsid w:val="003E092C"/>
    <w:rsid w:val="003E09D4"/>
    <w:rsid w:val="003E0FFB"/>
    <w:rsid w:val="003E12F1"/>
    <w:rsid w:val="003E178C"/>
    <w:rsid w:val="003E18A2"/>
    <w:rsid w:val="003E231A"/>
    <w:rsid w:val="003E2877"/>
    <w:rsid w:val="003E3058"/>
    <w:rsid w:val="003E404E"/>
    <w:rsid w:val="003E4317"/>
    <w:rsid w:val="003E4A82"/>
    <w:rsid w:val="003E50A6"/>
    <w:rsid w:val="003E51AB"/>
    <w:rsid w:val="003E54FC"/>
    <w:rsid w:val="003E5DF0"/>
    <w:rsid w:val="003E7501"/>
    <w:rsid w:val="003E76A9"/>
    <w:rsid w:val="003F0809"/>
    <w:rsid w:val="003F122C"/>
    <w:rsid w:val="003F1DB7"/>
    <w:rsid w:val="003F1E54"/>
    <w:rsid w:val="003F289A"/>
    <w:rsid w:val="003F289E"/>
    <w:rsid w:val="003F3134"/>
    <w:rsid w:val="003F3970"/>
    <w:rsid w:val="003F3BBF"/>
    <w:rsid w:val="003F42C6"/>
    <w:rsid w:val="003F4502"/>
    <w:rsid w:val="003F4C4A"/>
    <w:rsid w:val="003F55C2"/>
    <w:rsid w:val="003F65D9"/>
    <w:rsid w:val="003F6A8C"/>
    <w:rsid w:val="003F6BF4"/>
    <w:rsid w:val="003F73D5"/>
    <w:rsid w:val="003F755C"/>
    <w:rsid w:val="003F7AE1"/>
    <w:rsid w:val="00400418"/>
    <w:rsid w:val="00400B74"/>
    <w:rsid w:val="004015F7"/>
    <w:rsid w:val="00402587"/>
    <w:rsid w:val="00403C75"/>
    <w:rsid w:val="00403E91"/>
    <w:rsid w:val="00403FE6"/>
    <w:rsid w:val="00405377"/>
    <w:rsid w:val="0040623F"/>
    <w:rsid w:val="0040642B"/>
    <w:rsid w:val="004064B7"/>
    <w:rsid w:val="004064ED"/>
    <w:rsid w:val="004066CD"/>
    <w:rsid w:val="004067E3"/>
    <w:rsid w:val="00406843"/>
    <w:rsid w:val="00406C2B"/>
    <w:rsid w:val="00406F01"/>
    <w:rsid w:val="00407808"/>
    <w:rsid w:val="004100AA"/>
    <w:rsid w:val="004100BB"/>
    <w:rsid w:val="00410872"/>
    <w:rsid w:val="00411106"/>
    <w:rsid w:val="004114B8"/>
    <w:rsid w:val="004116C3"/>
    <w:rsid w:val="00411D7B"/>
    <w:rsid w:val="004121FD"/>
    <w:rsid w:val="004136F5"/>
    <w:rsid w:val="00414228"/>
    <w:rsid w:val="004151DB"/>
    <w:rsid w:val="004153C6"/>
    <w:rsid w:val="00415458"/>
    <w:rsid w:val="004158C1"/>
    <w:rsid w:val="00415A1A"/>
    <w:rsid w:val="00415C2C"/>
    <w:rsid w:val="00416163"/>
    <w:rsid w:val="004167B4"/>
    <w:rsid w:val="00416D50"/>
    <w:rsid w:val="00416FD5"/>
    <w:rsid w:val="004173D4"/>
    <w:rsid w:val="00417772"/>
    <w:rsid w:val="00417FAE"/>
    <w:rsid w:val="00420522"/>
    <w:rsid w:val="00420706"/>
    <w:rsid w:val="00420E6A"/>
    <w:rsid w:val="00421486"/>
    <w:rsid w:val="0042355D"/>
    <w:rsid w:val="00423712"/>
    <w:rsid w:val="00423FDE"/>
    <w:rsid w:val="0042449D"/>
    <w:rsid w:val="00424857"/>
    <w:rsid w:val="004252B9"/>
    <w:rsid w:val="00425458"/>
    <w:rsid w:val="0042570C"/>
    <w:rsid w:val="004259BE"/>
    <w:rsid w:val="00425A9E"/>
    <w:rsid w:val="0042638E"/>
    <w:rsid w:val="004266D5"/>
    <w:rsid w:val="004269EF"/>
    <w:rsid w:val="00426CD8"/>
    <w:rsid w:val="00426D6B"/>
    <w:rsid w:val="00426D7B"/>
    <w:rsid w:val="0043006B"/>
    <w:rsid w:val="00431493"/>
    <w:rsid w:val="004316D3"/>
    <w:rsid w:val="00431CC2"/>
    <w:rsid w:val="00431E6C"/>
    <w:rsid w:val="004322F3"/>
    <w:rsid w:val="004337A1"/>
    <w:rsid w:val="00433CE7"/>
    <w:rsid w:val="0043414C"/>
    <w:rsid w:val="004347D3"/>
    <w:rsid w:val="004353B1"/>
    <w:rsid w:val="004355C8"/>
    <w:rsid w:val="0043584D"/>
    <w:rsid w:val="00436137"/>
    <w:rsid w:val="004363C1"/>
    <w:rsid w:val="00436808"/>
    <w:rsid w:val="00436B09"/>
    <w:rsid w:val="00440F7F"/>
    <w:rsid w:val="004415BB"/>
    <w:rsid w:val="00441B93"/>
    <w:rsid w:val="00442047"/>
    <w:rsid w:val="004420E5"/>
    <w:rsid w:val="00443016"/>
    <w:rsid w:val="0044344E"/>
    <w:rsid w:val="004436EA"/>
    <w:rsid w:val="0044385B"/>
    <w:rsid w:val="00443E35"/>
    <w:rsid w:val="004440BA"/>
    <w:rsid w:val="00444725"/>
    <w:rsid w:val="00444734"/>
    <w:rsid w:val="00445E76"/>
    <w:rsid w:val="00446348"/>
    <w:rsid w:val="0044661E"/>
    <w:rsid w:val="00447162"/>
    <w:rsid w:val="00447AC0"/>
    <w:rsid w:val="00447E64"/>
    <w:rsid w:val="00447ECC"/>
    <w:rsid w:val="004509A8"/>
    <w:rsid w:val="00451DF9"/>
    <w:rsid w:val="00452738"/>
    <w:rsid w:val="004529C9"/>
    <w:rsid w:val="00452EDA"/>
    <w:rsid w:val="00452F08"/>
    <w:rsid w:val="00453B46"/>
    <w:rsid w:val="00453DF0"/>
    <w:rsid w:val="00454CE7"/>
    <w:rsid w:val="004559FE"/>
    <w:rsid w:val="00456091"/>
    <w:rsid w:val="004564A1"/>
    <w:rsid w:val="0046077B"/>
    <w:rsid w:val="00461064"/>
    <w:rsid w:val="004627C1"/>
    <w:rsid w:val="00464826"/>
    <w:rsid w:val="00465553"/>
    <w:rsid w:val="0046603E"/>
    <w:rsid w:val="00466321"/>
    <w:rsid w:val="00466F2E"/>
    <w:rsid w:val="00467349"/>
    <w:rsid w:val="004677D1"/>
    <w:rsid w:val="004704C7"/>
    <w:rsid w:val="00470640"/>
    <w:rsid w:val="00470A91"/>
    <w:rsid w:val="0047118C"/>
    <w:rsid w:val="00472190"/>
    <w:rsid w:val="00472D2A"/>
    <w:rsid w:val="00472E13"/>
    <w:rsid w:val="004733AE"/>
    <w:rsid w:val="004736BA"/>
    <w:rsid w:val="00473999"/>
    <w:rsid w:val="004740F4"/>
    <w:rsid w:val="00474F67"/>
    <w:rsid w:val="00475230"/>
    <w:rsid w:val="00475286"/>
    <w:rsid w:val="004760C4"/>
    <w:rsid w:val="004763C5"/>
    <w:rsid w:val="00476848"/>
    <w:rsid w:val="00477321"/>
    <w:rsid w:val="00477331"/>
    <w:rsid w:val="00477747"/>
    <w:rsid w:val="00477E89"/>
    <w:rsid w:val="00480180"/>
    <w:rsid w:val="0048021F"/>
    <w:rsid w:val="004805D5"/>
    <w:rsid w:val="00480FE4"/>
    <w:rsid w:val="0048123A"/>
    <w:rsid w:val="00481538"/>
    <w:rsid w:val="00481712"/>
    <w:rsid w:val="004820B6"/>
    <w:rsid w:val="004824C1"/>
    <w:rsid w:val="00482772"/>
    <w:rsid w:val="0048313B"/>
    <w:rsid w:val="0048317A"/>
    <w:rsid w:val="004833F2"/>
    <w:rsid w:val="00483AFC"/>
    <w:rsid w:val="0048428D"/>
    <w:rsid w:val="00484922"/>
    <w:rsid w:val="00484B9B"/>
    <w:rsid w:val="004855F6"/>
    <w:rsid w:val="0048661E"/>
    <w:rsid w:val="00486DC1"/>
    <w:rsid w:val="00486F37"/>
    <w:rsid w:val="004872FD"/>
    <w:rsid w:val="004914C1"/>
    <w:rsid w:val="00491C2B"/>
    <w:rsid w:val="00492AE4"/>
    <w:rsid w:val="00492ED9"/>
    <w:rsid w:val="00493EF4"/>
    <w:rsid w:val="0049403C"/>
    <w:rsid w:val="00494612"/>
    <w:rsid w:val="00494670"/>
    <w:rsid w:val="0049470A"/>
    <w:rsid w:val="00495809"/>
    <w:rsid w:val="00495E03"/>
    <w:rsid w:val="00495EC4"/>
    <w:rsid w:val="0049643C"/>
    <w:rsid w:val="0049663E"/>
    <w:rsid w:val="004969B3"/>
    <w:rsid w:val="00496AE5"/>
    <w:rsid w:val="00496E53"/>
    <w:rsid w:val="00497252"/>
    <w:rsid w:val="00497547"/>
    <w:rsid w:val="004976A3"/>
    <w:rsid w:val="00497B04"/>
    <w:rsid w:val="004A0517"/>
    <w:rsid w:val="004A05A2"/>
    <w:rsid w:val="004A1198"/>
    <w:rsid w:val="004A1D1E"/>
    <w:rsid w:val="004A2A4D"/>
    <w:rsid w:val="004A30AD"/>
    <w:rsid w:val="004A3823"/>
    <w:rsid w:val="004A41AE"/>
    <w:rsid w:val="004A5007"/>
    <w:rsid w:val="004A5071"/>
    <w:rsid w:val="004A547B"/>
    <w:rsid w:val="004A5768"/>
    <w:rsid w:val="004A5941"/>
    <w:rsid w:val="004A5D1E"/>
    <w:rsid w:val="004A6776"/>
    <w:rsid w:val="004A6A42"/>
    <w:rsid w:val="004A6B0B"/>
    <w:rsid w:val="004A7E91"/>
    <w:rsid w:val="004B036C"/>
    <w:rsid w:val="004B06C5"/>
    <w:rsid w:val="004B0D0C"/>
    <w:rsid w:val="004B172F"/>
    <w:rsid w:val="004B1860"/>
    <w:rsid w:val="004B22CC"/>
    <w:rsid w:val="004B2836"/>
    <w:rsid w:val="004B38F7"/>
    <w:rsid w:val="004B394D"/>
    <w:rsid w:val="004B4CA0"/>
    <w:rsid w:val="004B5BEF"/>
    <w:rsid w:val="004B5CE9"/>
    <w:rsid w:val="004B68A4"/>
    <w:rsid w:val="004B6A91"/>
    <w:rsid w:val="004B72FE"/>
    <w:rsid w:val="004B76F0"/>
    <w:rsid w:val="004B7740"/>
    <w:rsid w:val="004B7E72"/>
    <w:rsid w:val="004B7FA7"/>
    <w:rsid w:val="004C0B09"/>
    <w:rsid w:val="004C0B2A"/>
    <w:rsid w:val="004C1CA4"/>
    <w:rsid w:val="004C2706"/>
    <w:rsid w:val="004C3371"/>
    <w:rsid w:val="004C36EC"/>
    <w:rsid w:val="004C3702"/>
    <w:rsid w:val="004C37B8"/>
    <w:rsid w:val="004C37ED"/>
    <w:rsid w:val="004C38D9"/>
    <w:rsid w:val="004C3C54"/>
    <w:rsid w:val="004C3C5C"/>
    <w:rsid w:val="004C4C25"/>
    <w:rsid w:val="004C4D32"/>
    <w:rsid w:val="004C5684"/>
    <w:rsid w:val="004C64BA"/>
    <w:rsid w:val="004C6632"/>
    <w:rsid w:val="004C77C7"/>
    <w:rsid w:val="004C7C10"/>
    <w:rsid w:val="004D09DB"/>
    <w:rsid w:val="004D10E1"/>
    <w:rsid w:val="004D13C8"/>
    <w:rsid w:val="004D1D51"/>
    <w:rsid w:val="004D255C"/>
    <w:rsid w:val="004D32B7"/>
    <w:rsid w:val="004D3F8C"/>
    <w:rsid w:val="004D421F"/>
    <w:rsid w:val="004D51B5"/>
    <w:rsid w:val="004D56A9"/>
    <w:rsid w:val="004D5929"/>
    <w:rsid w:val="004D60DE"/>
    <w:rsid w:val="004D6477"/>
    <w:rsid w:val="004D7475"/>
    <w:rsid w:val="004D7A57"/>
    <w:rsid w:val="004D7A61"/>
    <w:rsid w:val="004D7D3A"/>
    <w:rsid w:val="004E01A2"/>
    <w:rsid w:val="004E050A"/>
    <w:rsid w:val="004E15C7"/>
    <w:rsid w:val="004E1CD1"/>
    <w:rsid w:val="004E2361"/>
    <w:rsid w:val="004E23D8"/>
    <w:rsid w:val="004E24CC"/>
    <w:rsid w:val="004E2AC8"/>
    <w:rsid w:val="004E30D5"/>
    <w:rsid w:val="004E3290"/>
    <w:rsid w:val="004E3EEE"/>
    <w:rsid w:val="004E46B0"/>
    <w:rsid w:val="004E4982"/>
    <w:rsid w:val="004E4B71"/>
    <w:rsid w:val="004E5083"/>
    <w:rsid w:val="004E50BE"/>
    <w:rsid w:val="004E53D4"/>
    <w:rsid w:val="004E5CD3"/>
    <w:rsid w:val="004E5E3A"/>
    <w:rsid w:val="004E6946"/>
    <w:rsid w:val="004E720B"/>
    <w:rsid w:val="004E7423"/>
    <w:rsid w:val="004E7DA0"/>
    <w:rsid w:val="004F0339"/>
    <w:rsid w:val="004F0A4E"/>
    <w:rsid w:val="004F17AA"/>
    <w:rsid w:val="004F1AD8"/>
    <w:rsid w:val="004F22CB"/>
    <w:rsid w:val="004F2A6B"/>
    <w:rsid w:val="004F2F76"/>
    <w:rsid w:val="004F47BC"/>
    <w:rsid w:val="004F51E5"/>
    <w:rsid w:val="004F5C3C"/>
    <w:rsid w:val="004F5F0E"/>
    <w:rsid w:val="004F6028"/>
    <w:rsid w:val="004F6239"/>
    <w:rsid w:val="004F654A"/>
    <w:rsid w:val="004F6801"/>
    <w:rsid w:val="004F73A9"/>
    <w:rsid w:val="005006B1"/>
    <w:rsid w:val="00500E91"/>
    <w:rsid w:val="00502172"/>
    <w:rsid w:val="005025FF"/>
    <w:rsid w:val="00503999"/>
    <w:rsid w:val="005039CB"/>
    <w:rsid w:val="00503FD8"/>
    <w:rsid w:val="00504356"/>
    <w:rsid w:val="0050558F"/>
    <w:rsid w:val="00506286"/>
    <w:rsid w:val="00506CDC"/>
    <w:rsid w:val="00507778"/>
    <w:rsid w:val="005077F0"/>
    <w:rsid w:val="00507D38"/>
    <w:rsid w:val="005103E2"/>
    <w:rsid w:val="00510813"/>
    <w:rsid w:val="005112FC"/>
    <w:rsid w:val="0051146A"/>
    <w:rsid w:val="00511990"/>
    <w:rsid w:val="00511DE0"/>
    <w:rsid w:val="005124B7"/>
    <w:rsid w:val="00512B3B"/>
    <w:rsid w:val="005138F0"/>
    <w:rsid w:val="005138F2"/>
    <w:rsid w:val="0051478F"/>
    <w:rsid w:val="00514870"/>
    <w:rsid w:val="00514B9B"/>
    <w:rsid w:val="00516982"/>
    <w:rsid w:val="00516CC0"/>
    <w:rsid w:val="00516D05"/>
    <w:rsid w:val="00516D65"/>
    <w:rsid w:val="00517CAE"/>
    <w:rsid w:val="00517D5B"/>
    <w:rsid w:val="00517E2C"/>
    <w:rsid w:val="00517F02"/>
    <w:rsid w:val="00520690"/>
    <w:rsid w:val="005206D9"/>
    <w:rsid w:val="00521448"/>
    <w:rsid w:val="005218D7"/>
    <w:rsid w:val="00521A16"/>
    <w:rsid w:val="00521BF1"/>
    <w:rsid w:val="00521C03"/>
    <w:rsid w:val="005233F6"/>
    <w:rsid w:val="00524303"/>
    <w:rsid w:val="005249DC"/>
    <w:rsid w:val="0052535D"/>
    <w:rsid w:val="0052567C"/>
    <w:rsid w:val="005258A2"/>
    <w:rsid w:val="00525AC2"/>
    <w:rsid w:val="00525D64"/>
    <w:rsid w:val="00525FD6"/>
    <w:rsid w:val="00526073"/>
    <w:rsid w:val="00526470"/>
    <w:rsid w:val="0052716B"/>
    <w:rsid w:val="005272B6"/>
    <w:rsid w:val="005278B1"/>
    <w:rsid w:val="00532B16"/>
    <w:rsid w:val="0053324F"/>
    <w:rsid w:val="0053391B"/>
    <w:rsid w:val="00533BFC"/>
    <w:rsid w:val="00533C86"/>
    <w:rsid w:val="00534983"/>
    <w:rsid w:val="00535620"/>
    <w:rsid w:val="00536B6C"/>
    <w:rsid w:val="005372E4"/>
    <w:rsid w:val="005401AE"/>
    <w:rsid w:val="005402F0"/>
    <w:rsid w:val="00540A10"/>
    <w:rsid w:val="00540A2F"/>
    <w:rsid w:val="005411A7"/>
    <w:rsid w:val="00542479"/>
    <w:rsid w:val="00542E07"/>
    <w:rsid w:val="00543643"/>
    <w:rsid w:val="005439D2"/>
    <w:rsid w:val="00543E3E"/>
    <w:rsid w:val="00545424"/>
    <w:rsid w:val="005454B5"/>
    <w:rsid w:val="00547CA2"/>
    <w:rsid w:val="005502B5"/>
    <w:rsid w:val="0055099C"/>
    <w:rsid w:val="00551724"/>
    <w:rsid w:val="00551D2E"/>
    <w:rsid w:val="0055246E"/>
    <w:rsid w:val="00553278"/>
    <w:rsid w:val="0055357B"/>
    <w:rsid w:val="005542B1"/>
    <w:rsid w:val="005549DE"/>
    <w:rsid w:val="00554A7B"/>
    <w:rsid w:val="00554FA4"/>
    <w:rsid w:val="00555487"/>
    <w:rsid w:val="005554F3"/>
    <w:rsid w:val="005556F0"/>
    <w:rsid w:val="0055572C"/>
    <w:rsid w:val="00555B41"/>
    <w:rsid w:val="00555C23"/>
    <w:rsid w:val="00555C44"/>
    <w:rsid w:val="00555D83"/>
    <w:rsid w:val="00556C99"/>
    <w:rsid w:val="00557382"/>
    <w:rsid w:val="005604F9"/>
    <w:rsid w:val="005605EE"/>
    <w:rsid w:val="0056097F"/>
    <w:rsid w:val="0056106A"/>
    <w:rsid w:val="00561341"/>
    <w:rsid w:val="00561809"/>
    <w:rsid w:val="00561D3E"/>
    <w:rsid w:val="00561EE6"/>
    <w:rsid w:val="00562813"/>
    <w:rsid w:val="00563463"/>
    <w:rsid w:val="00563B2E"/>
    <w:rsid w:val="00564C59"/>
    <w:rsid w:val="0056532C"/>
    <w:rsid w:val="0056633F"/>
    <w:rsid w:val="0056681E"/>
    <w:rsid w:val="00566A71"/>
    <w:rsid w:val="00566AF0"/>
    <w:rsid w:val="005672F2"/>
    <w:rsid w:val="005674FE"/>
    <w:rsid w:val="00567642"/>
    <w:rsid w:val="005712CA"/>
    <w:rsid w:val="00571C97"/>
    <w:rsid w:val="005720AE"/>
    <w:rsid w:val="0057234E"/>
    <w:rsid w:val="005729E0"/>
    <w:rsid w:val="005745CF"/>
    <w:rsid w:val="005745E4"/>
    <w:rsid w:val="0057463C"/>
    <w:rsid w:val="005753CC"/>
    <w:rsid w:val="0057628D"/>
    <w:rsid w:val="00576462"/>
    <w:rsid w:val="005766F7"/>
    <w:rsid w:val="00577140"/>
    <w:rsid w:val="00577C9B"/>
    <w:rsid w:val="005806F6"/>
    <w:rsid w:val="00580A88"/>
    <w:rsid w:val="00580AC7"/>
    <w:rsid w:val="0058147D"/>
    <w:rsid w:val="005814E9"/>
    <w:rsid w:val="00582954"/>
    <w:rsid w:val="00582991"/>
    <w:rsid w:val="00582B79"/>
    <w:rsid w:val="00582CEC"/>
    <w:rsid w:val="00582F3F"/>
    <w:rsid w:val="005839C2"/>
    <w:rsid w:val="00583B31"/>
    <w:rsid w:val="00583C66"/>
    <w:rsid w:val="00583D52"/>
    <w:rsid w:val="005848D7"/>
    <w:rsid w:val="00585178"/>
    <w:rsid w:val="005865E4"/>
    <w:rsid w:val="005866DA"/>
    <w:rsid w:val="00590D5D"/>
    <w:rsid w:val="005913F5"/>
    <w:rsid w:val="00591F0C"/>
    <w:rsid w:val="0059272E"/>
    <w:rsid w:val="00593823"/>
    <w:rsid w:val="00593F3A"/>
    <w:rsid w:val="005941C3"/>
    <w:rsid w:val="0059449F"/>
    <w:rsid w:val="00594D77"/>
    <w:rsid w:val="00595304"/>
    <w:rsid w:val="00595978"/>
    <w:rsid w:val="0059689A"/>
    <w:rsid w:val="005969E4"/>
    <w:rsid w:val="00597581"/>
    <w:rsid w:val="005977CE"/>
    <w:rsid w:val="00597BA9"/>
    <w:rsid w:val="00597D36"/>
    <w:rsid w:val="005A00F0"/>
    <w:rsid w:val="005A06B7"/>
    <w:rsid w:val="005A0723"/>
    <w:rsid w:val="005A07AD"/>
    <w:rsid w:val="005A10A1"/>
    <w:rsid w:val="005A1759"/>
    <w:rsid w:val="005A1D3E"/>
    <w:rsid w:val="005A2A36"/>
    <w:rsid w:val="005A2DC2"/>
    <w:rsid w:val="005A2E4E"/>
    <w:rsid w:val="005A4302"/>
    <w:rsid w:val="005A445C"/>
    <w:rsid w:val="005A44D6"/>
    <w:rsid w:val="005A4D24"/>
    <w:rsid w:val="005A4E68"/>
    <w:rsid w:val="005A68A7"/>
    <w:rsid w:val="005A6C72"/>
    <w:rsid w:val="005A6E93"/>
    <w:rsid w:val="005A74FE"/>
    <w:rsid w:val="005A7C99"/>
    <w:rsid w:val="005A7F86"/>
    <w:rsid w:val="005A7FA2"/>
    <w:rsid w:val="005B01E1"/>
    <w:rsid w:val="005B06AE"/>
    <w:rsid w:val="005B2201"/>
    <w:rsid w:val="005B235B"/>
    <w:rsid w:val="005B2AF5"/>
    <w:rsid w:val="005B2E1F"/>
    <w:rsid w:val="005B3A37"/>
    <w:rsid w:val="005B3E23"/>
    <w:rsid w:val="005B46EC"/>
    <w:rsid w:val="005B4A70"/>
    <w:rsid w:val="005B4EE7"/>
    <w:rsid w:val="005B5462"/>
    <w:rsid w:val="005B57A9"/>
    <w:rsid w:val="005B61CA"/>
    <w:rsid w:val="005B631A"/>
    <w:rsid w:val="005B6D0A"/>
    <w:rsid w:val="005B794D"/>
    <w:rsid w:val="005C1C4F"/>
    <w:rsid w:val="005C1D2D"/>
    <w:rsid w:val="005C2DFC"/>
    <w:rsid w:val="005C4D8A"/>
    <w:rsid w:val="005C5433"/>
    <w:rsid w:val="005C54BC"/>
    <w:rsid w:val="005C65C8"/>
    <w:rsid w:val="005C69A4"/>
    <w:rsid w:val="005C7420"/>
    <w:rsid w:val="005C75CE"/>
    <w:rsid w:val="005D0606"/>
    <w:rsid w:val="005D0BD2"/>
    <w:rsid w:val="005D0EC0"/>
    <w:rsid w:val="005D125C"/>
    <w:rsid w:val="005D1448"/>
    <w:rsid w:val="005D274D"/>
    <w:rsid w:val="005D36AB"/>
    <w:rsid w:val="005D389D"/>
    <w:rsid w:val="005D398A"/>
    <w:rsid w:val="005D4FDA"/>
    <w:rsid w:val="005D5178"/>
    <w:rsid w:val="005D61D2"/>
    <w:rsid w:val="005D6214"/>
    <w:rsid w:val="005D69B4"/>
    <w:rsid w:val="005D6D50"/>
    <w:rsid w:val="005D6E5D"/>
    <w:rsid w:val="005D7290"/>
    <w:rsid w:val="005D7498"/>
    <w:rsid w:val="005D78D7"/>
    <w:rsid w:val="005E15C8"/>
    <w:rsid w:val="005E171A"/>
    <w:rsid w:val="005E1B8F"/>
    <w:rsid w:val="005E201A"/>
    <w:rsid w:val="005E2F64"/>
    <w:rsid w:val="005E3027"/>
    <w:rsid w:val="005E32B1"/>
    <w:rsid w:val="005E342D"/>
    <w:rsid w:val="005E4E7F"/>
    <w:rsid w:val="005E5C34"/>
    <w:rsid w:val="005E6067"/>
    <w:rsid w:val="005E6A82"/>
    <w:rsid w:val="005E7062"/>
    <w:rsid w:val="005E74B4"/>
    <w:rsid w:val="005E7C9B"/>
    <w:rsid w:val="005F00E4"/>
    <w:rsid w:val="005F01BF"/>
    <w:rsid w:val="005F0DEC"/>
    <w:rsid w:val="005F26B7"/>
    <w:rsid w:val="005F39D8"/>
    <w:rsid w:val="005F4A9B"/>
    <w:rsid w:val="005F4BF4"/>
    <w:rsid w:val="005F4FBC"/>
    <w:rsid w:val="005F5454"/>
    <w:rsid w:val="005F58C7"/>
    <w:rsid w:val="005F59B7"/>
    <w:rsid w:val="005F5CCC"/>
    <w:rsid w:val="005F6676"/>
    <w:rsid w:val="005F73F2"/>
    <w:rsid w:val="005F7722"/>
    <w:rsid w:val="00600012"/>
    <w:rsid w:val="00600605"/>
    <w:rsid w:val="0060161B"/>
    <w:rsid w:val="0060163D"/>
    <w:rsid w:val="0060199D"/>
    <w:rsid w:val="00601E93"/>
    <w:rsid w:val="0060214C"/>
    <w:rsid w:val="006039A8"/>
    <w:rsid w:val="00604B17"/>
    <w:rsid w:val="006051A4"/>
    <w:rsid w:val="006052E5"/>
    <w:rsid w:val="00605C91"/>
    <w:rsid w:val="00605E2C"/>
    <w:rsid w:val="00606399"/>
    <w:rsid w:val="00606A3B"/>
    <w:rsid w:val="006079DA"/>
    <w:rsid w:val="00610992"/>
    <w:rsid w:val="00611759"/>
    <w:rsid w:val="00611BA6"/>
    <w:rsid w:val="00612343"/>
    <w:rsid w:val="006127C9"/>
    <w:rsid w:val="00612903"/>
    <w:rsid w:val="00612BA4"/>
    <w:rsid w:val="00613550"/>
    <w:rsid w:val="00613E84"/>
    <w:rsid w:val="006143C9"/>
    <w:rsid w:val="00614E1F"/>
    <w:rsid w:val="006156B5"/>
    <w:rsid w:val="006157EA"/>
    <w:rsid w:val="00615973"/>
    <w:rsid w:val="00615B9F"/>
    <w:rsid w:val="00616770"/>
    <w:rsid w:val="00616847"/>
    <w:rsid w:val="00617266"/>
    <w:rsid w:val="00617CC3"/>
    <w:rsid w:val="00617D79"/>
    <w:rsid w:val="006201DF"/>
    <w:rsid w:val="006205BE"/>
    <w:rsid w:val="00620A4C"/>
    <w:rsid w:val="00620B28"/>
    <w:rsid w:val="00620DCC"/>
    <w:rsid w:val="00620EA7"/>
    <w:rsid w:val="00622037"/>
    <w:rsid w:val="0062311A"/>
    <w:rsid w:val="00625A27"/>
    <w:rsid w:val="00626D93"/>
    <w:rsid w:val="006271A6"/>
    <w:rsid w:val="006301A0"/>
    <w:rsid w:val="006305AC"/>
    <w:rsid w:val="006307D6"/>
    <w:rsid w:val="00630959"/>
    <w:rsid w:val="00630A9C"/>
    <w:rsid w:val="00630BE2"/>
    <w:rsid w:val="00630C49"/>
    <w:rsid w:val="00631B41"/>
    <w:rsid w:val="00632771"/>
    <w:rsid w:val="00632E77"/>
    <w:rsid w:val="00633BC5"/>
    <w:rsid w:val="00633D0D"/>
    <w:rsid w:val="00634006"/>
    <w:rsid w:val="006344D9"/>
    <w:rsid w:val="00634B00"/>
    <w:rsid w:val="00635412"/>
    <w:rsid w:val="00635A7F"/>
    <w:rsid w:val="0063619D"/>
    <w:rsid w:val="006366C3"/>
    <w:rsid w:val="006377A6"/>
    <w:rsid w:val="00637A3D"/>
    <w:rsid w:val="00637B47"/>
    <w:rsid w:val="00640EC3"/>
    <w:rsid w:val="006411EF"/>
    <w:rsid w:val="0064139B"/>
    <w:rsid w:val="0064179B"/>
    <w:rsid w:val="00641DF6"/>
    <w:rsid w:val="0064220A"/>
    <w:rsid w:val="0064259A"/>
    <w:rsid w:val="006435ED"/>
    <w:rsid w:val="00643A36"/>
    <w:rsid w:val="00643EFC"/>
    <w:rsid w:val="006442E2"/>
    <w:rsid w:val="00644FFE"/>
    <w:rsid w:val="006451DD"/>
    <w:rsid w:val="00645D6A"/>
    <w:rsid w:val="0064616A"/>
    <w:rsid w:val="006468EC"/>
    <w:rsid w:val="00647861"/>
    <w:rsid w:val="00647F14"/>
    <w:rsid w:val="00651A59"/>
    <w:rsid w:val="006522B1"/>
    <w:rsid w:val="006527ED"/>
    <w:rsid w:val="00652884"/>
    <w:rsid w:val="0065292F"/>
    <w:rsid w:val="006538CB"/>
    <w:rsid w:val="006543A8"/>
    <w:rsid w:val="00654572"/>
    <w:rsid w:val="00655EBA"/>
    <w:rsid w:val="00656137"/>
    <w:rsid w:val="006563B7"/>
    <w:rsid w:val="00656B93"/>
    <w:rsid w:val="00657066"/>
    <w:rsid w:val="00657B81"/>
    <w:rsid w:val="00661D2F"/>
    <w:rsid w:val="0066235B"/>
    <w:rsid w:val="00663E10"/>
    <w:rsid w:val="006647E8"/>
    <w:rsid w:val="00664EBA"/>
    <w:rsid w:val="0066505A"/>
    <w:rsid w:val="0066551F"/>
    <w:rsid w:val="00665A45"/>
    <w:rsid w:val="00670615"/>
    <w:rsid w:val="006706E7"/>
    <w:rsid w:val="00670C88"/>
    <w:rsid w:val="00672451"/>
    <w:rsid w:val="006725E0"/>
    <w:rsid w:val="00672EEF"/>
    <w:rsid w:val="006748B8"/>
    <w:rsid w:val="00674AEF"/>
    <w:rsid w:val="00674EBC"/>
    <w:rsid w:val="00675128"/>
    <w:rsid w:val="00675D9B"/>
    <w:rsid w:val="00677051"/>
    <w:rsid w:val="006775C3"/>
    <w:rsid w:val="006804B0"/>
    <w:rsid w:val="00680FD1"/>
    <w:rsid w:val="00682369"/>
    <w:rsid w:val="0068255F"/>
    <w:rsid w:val="00685829"/>
    <w:rsid w:val="0068610B"/>
    <w:rsid w:val="006864A5"/>
    <w:rsid w:val="00686C9D"/>
    <w:rsid w:val="006874AB"/>
    <w:rsid w:val="00687546"/>
    <w:rsid w:val="006903FE"/>
    <w:rsid w:val="006904FD"/>
    <w:rsid w:val="00690B50"/>
    <w:rsid w:val="00691910"/>
    <w:rsid w:val="0069226D"/>
    <w:rsid w:val="0069290A"/>
    <w:rsid w:val="0069327F"/>
    <w:rsid w:val="006933F0"/>
    <w:rsid w:val="0069342E"/>
    <w:rsid w:val="006935BE"/>
    <w:rsid w:val="00693B1C"/>
    <w:rsid w:val="006944A8"/>
    <w:rsid w:val="006952A0"/>
    <w:rsid w:val="00695DAC"/>
    <w:rsid w:val="006969FA"/>
    <w:rsid w:val="006974A5"/>
    <w:rsid w:val="0069775A"/>
    <w:rsid w:val="00697813"/>
    <w:rsid w:val="00697CB5"/>
    <w:rsid w:val="006A088A"/>
    <w:rsid w:val="006A0A4B"/>
    <w:rsid w:val="006A1146"/>
    <w:rsid w:val="006A15F8"/>
    <w:rsid w:val="006A1AD3"/>
    <w:rsid w:val="006A25EE"/>
    <w:rsid w:val="006A29B7"/>
    <w:rsid w:val="006A2BF0"/>
    <w:rsid w:val="006A2E55"/>
    <w:rsid w:val="006A360F"/>
    <w:rsid w:val="006A3EE8"/>
    <w:rsid w:val="006A436F"/>
    <w:rsid w:val="006A444B"/>
    <w:rsid w:val="006A4882"/>
    <w:rsid w:val="006A4FF0"/>
    <w:rsid w:val="006A5717"/>
    <w:rsid w:val="006A58EB"/>
    <w:rsid w:val="006A6015"/>
    <w:rsid w:val="006A61D7"/>
    <w:rsid w:val="006A61F1"/>
    <w:rsid w:val="006A6205"/>
    <w:rsid w:val="006A642B"/>
    <w:rsid w:val="006A64D4"/>
    <w:rsid w:val="006A693D"/>
    <w:rsid w:val="006A710D"/>
    <w:rsid w:val="006A72BF"/>
    <w:rsid w:val="006B034B"/>
    <w:rsid w:val="006B03F2"/>
    <w:rsid w:val="006B1677"/>
    <w:rsid w:val="006B1D9A"/>
    <w:rsid w:val="006B21A3"/>
    <w:rsid w:val="006B315B"/>
    <w:rsid w:val="006B37DC"/>
    <w:rsid w:val="006B3D5B"/>
    <w:rsid w:val="006B3EF1"/>
    <w:rsid w:val="006B408C"/>
    <w:rsid w:val="006B4317"/>
    <w:rsid w:val="006B4B5D"/>
    <w:rsid w:val="006B4F68"/>
    <w:rsid w:val="006B5747"/>
    <w:rsid w:val="006B6677"/>
    <w:rsid w:val="006B78C3"/>
    <w:rsid w:val="006C0592"/>
    <w:rsid w:val="006C0DFD"/>
    <w:rsid w:val="006C111F"/>
    <w:rsid w:val="006C120D"/>
    <w:rsid w:val="006C1CC4"/>
    <w:rsid w:val="006C272E"/>
    <w:rsid w:val="006C3348"/>
    <w:rsid w:val="006C3F4C"/>
    <w:rsid w:val="006C5479"/>
    <w:rsid w:val="006C559A"/>
    <w:rsid w:val="006C6A1A"/>
    <w:rsid w:val="006C6A72"/>
    <w:rsid w:val="006C7DB4"/>
    <w:rsid w:val="006D031B"/>
    <w:rsid w:val="006D13B5"/>
    <w:rsid w:val="006D1E65"/>
    <w:rsid w:val="006D208F"/>
    <w:rsid w:val="006D43F3"/>
    <w:rsid w:val="006D55E1"/>
    <w:rsid w:val="006D5936"/>
    <w:rsid w:val="006D60AE"/>
    <w:rsid w:val="006D6455"/>
    <w:rsid w:val="006D64F4"/>
    <w:rsid w:val="006D68C6"/>
    <w:rsid w:val="006D6C6D"/>
    <w:rsid w:val="006D7B82"/>
    <w:rsid w:val="006D7E0A"/>
    <w:rsid w:val="006E0158"/>
    <w:rsid w:val="006E01DF"/>
    <w:rsid w:val="006E094D"/>
    <w:rsid w:val="006E0FA9"/>
    <w:rsid w:val="006E12FF"/>
    <w:rsid w:val="006E1529"/>
    <w:rsid w:val="006E2673"/>
    <w:rsid w:val="006E3F4A"/>
    <w:rsid w:val="006E43E2"/>
    <w:rsid w:val="006E4530"/>
    <w:rsid w:val="006E4598"/>
    <w:rsid w:val="006E48AB"/>
    <w:rsid w:val="006E4F7B"/>
    <w:rsid w:val="006E513E"/>
    <w:rsid w:val="006E59C5"/>
    <w:rsid w:val="006E607E"/>
    <w:rsid w:val="006E7618"/>
    <w:rsid w:val="006E7B4F"/>
    <w:rsid w:val="006F0144"/>
    <w:rsid w:val="006F0720"/>
    <w:rsid w:val="006F19D3"/>
    <w:rsid w:val="006F1B04"/>
    <w:rsid w:val="006F1CD8"/>
    <w:rsid w:val="006F228C"/>
    <w:rsid w:val="006F22E0"/>
    <w:rsid w:val="006F2692"/>
    <w:rsid w:val="006F2F3D"/>
    <w:rsid w:val="006F3D06"/>
    <w:rsid w:val="006F3F6D"/>
    <w:rsid w:val="006F49C7"/>
    <w:rsid w:val="006F5277"/>
    <w:rsid w:val="006F68A0"/>
    <w:rsid w:val="006F6A24"/>
    <w:rsid w:val="006F7512"/>
    <w:rsid w:val="00700713"/>
    <w:rsid w:val="007010D9"/>
    <w:rsid w:val="00701F7C"/>
    <w:rsid w:val="007029E6"/>
    <w:rsid w:val="00702DB1"/>
    <w:rsid w:val="00703750"/>
    <w:rsid w:val="00703E45"/>
    <w:rsid w:val="0070411F"/>
    <w:rsid w:val="0070415A"/>
    <w:rsid w:val="00705175"/>
    <w:rsid w:val="00706852"/>
    <w:rsid w:val="00706C5D"/>
    <w:rsid w:val="00706EF1"/>
    <w:rsid w:val="00706FEC"/>
    <w:rsid w:val="00707D0A"/>
    <w:rsid w:val="00710221"/>
    <w:rsid w:val="00710B98"/>
    <w:rsid w:val="00710C9C"/>
    <w:rsid w:val="007112AB"/>
    <w:rsid w:val="00711487"/>
    <w:rsid w:val="007127CF"/>
    <w:rsid w:val="00713A4C"/>
    <w:rsid w:val="00714015"/>
    <w:rsid w:val="00714D3B"/>
    <w:rsid w:val="00717914"/>
    <w:rsid w:val="00717C90"/>
    <w:rsid w:val="00720059"/>
    <w:rsid w:val="007201C1"/>
    <w:rsid w:val="007207E0"/>
    <w:rsid w:val="00721289"/>
    <w:rsid w:val="00721BD5"/>
    <w:rsid w:val="007231EC"/>
    <w:rsid w:val="00723530"/>
    <w:rsid w:val="00723904"/>
    <w:rsid w:val="00723A60"/>
    <w:rsid w:val="0072439B"/>
    <w:rsid w:val="0072489D"/>
    <w:rsid w:val="007252FC"/>
    <w:rsid w:val="00725C1C"/>
    <w:rsid w:val="00726702"/>
    <w:rsid w:val="00730424"/>
    <w:rsid w:val="00730731"/>
    <w:rsid w:val="00730E1A"/>
    <w:rsid w:val="00731310"/>
    <w:rsid w:val="007314D3"/>
    <w:rsid w:val="00731C43"/>
    <w:rsid w:val="00731DAA"/>
    <w:rsid w:val="007320E2"/>
    <w:rsid w:val="00732261"/>
    <w:rsid w:val="00732922"/>
    <w:rsid w:val="007329F7"/>
    <w:rsid w:val="00733696"/>
    <w:rsid w:val="00733A88"/>
    <w:rsid w:val="00734139"/>
    <w:rsid w:val="007355D5"/>
    <w:rsid w:val="00735840"/>
    <w:rsid w:val="00735E9F"/>
    <w:rsid w:val="00736D53"/>
    <w:rsid w:val="00740072"/>
    <w:rsid w:val="00740093"/>
    <w:rsid w:val="007400FA"/>
    <w:rsid w:val="007409FD"/>
    <w:rsid w:val="00740B5F"/>
    <w:rsid w:val="00741326"/>
    <w:rsid w:val="00741D22"/>
    <w:rsid w:val="00742C59"/>
    <w:rsid w:val="00742EA9"/>
    <w:rsid w:val="00743ED1"/>
    <w:rsid w:val="00744254"/>
    <w:rsid w:val="007445DF"/>
    <w:rsid w:val="00744D60"/>
    <w:rsid w:val="007451C1"/>
    <w:rsid w:val="00745645"/>
    <w:rsid w:val="007456F4"/>
    <w:rsid w:val="00745918"/>
    <w:rsid w:val="00745EBE"/>
    <w:rsid w:val="0074613B"/>
    <w:rsid w:val="00746CEE"/>
    <w:rsid w:val="00746FB1"/>
    <w:rsid w:val="00747183"/>
    <w:rsid w:val="00747504"/>
    <w:rsid w:val="00747C52"/>
    <w:rsid w:val="007507F4"/>
    <w:rsid w:val="00750EB1"/>
    <w:rsid w:val="00750F25"/>
    <w:rsid w:val="00751498"/>
    <w:rsid w:val="0075162E"/>
    <w:rsid w:val="00751872"/>
    <w:rsid w:val="00751B1C"/>
    <w:rsid w:val="00751C65"/>
    <w:rsid w:val="00751EAD"/>
    <w:rsid w:val="00751FB9"/>
    <w:rsid w:val="007525BD"/>
    <w:rsid w:val="00752B6F"/>
    <w:rsid w:val="007538A6"/>
    <w:rsid w:val="00753A7D"/>
    <w:rsid w:val="00754034"/>
    <w:rsid w:val="00755662"/>
    <w:rsid w:val="00755AD0"/>
    <w:rsid w:val="00755BC4"/>
    <w:rsid w:val="00755EAD"/>
    <w:rsid w:val="007561BB"/>
    <w:rsid w:val="00756556"/>
    <w:rsid w:val="00756C98"/>
    <w:rsid w:val="00756D79"/>
    <w:rsid w:val="00756DA3"/>
    <w:rsid w:val="00756F70"/>
    <w:rsid w:val="00757E56"/>
    <w:rsid w:val="007602E8"/>
    <w:rsid w:val="0076082F"/>
    <w:rsid w:val="0076132D"/>
    <w:rsid w:val="007618C4"/>
    <w:rsid w:val="00761D79"/>
    <w:rsid w:val="00762B18"/>
    <w:rsid w:val="00762BD7"/>
    <w:rsid w:val="00763CA0"/>
    <w:rsid w:val="00763D85"/>
    <w:rsid w:val="007645D0"/>
    <w:rsid w:val="00765C1E"/>
    <w:rsid w:val="00766191"/>
    <w:rsid w:val="007663D3"/>
    <w:rsid w:val="007666FF"/>
    <w:rsid w:val="00767262"/>
    <w:rsid w:val="00767980"/>
    <w:rsid w:val="007703A5"/>
    <w:rsid w:val="00770998"/>
    <w:rsid w:val="00770B19"/>
    <w:rsid w:val="00770CF8"/>
    <w:rsid w:val="00770E41"/>
    <w:rsid w:val="007713F7"/>
    <w:rsid w:val="0077150D"/>
    <w:rsid w:val="007718AE"/>
    <w:rsid w:val="00772A97"/>
    <w:rsid w:val="00772BD2"/>
    <w:rsid w:val="00774443"/>
    <w:rsid w:val="0077463F"/>
    <w:rsid w:val="00774E35"/>
    <w:rsid w:val="007767AC"/>
    <w:rsid w:val="00776AF1"/>
    <w:rsid w:val="00777AF4"/>
    <w:rsid w:val="007805E2"/>
    <w:rsid w:val="00781522"/>
    <w:rsid w:val="00781BB5"/>
    <w:rsid w:val="0078246F"/>
    <w:rsid w:val="007833BE"/>
    <w:rsid w:val="007836EA"/>
    <w:rsid w:val="00783E52"/>
    <w:rsid w:val="00783F65"/>
    <w:rsid w:val="00783F78"/>
    <w:rsid w:val="00784CDA"/>
    <w:rsid w:val="00784DBD"/>
    <w:rsid w:val="00785D13"/>
    <w:rsid w:val="00786052"/>
    <w:rsid w:val="007869D7"/>
    <w:rsid w:val="00787AC2"/>
    <w:rsid w:val="00790180"/>
    <w:rsid w:val="007906C4"/>
    <w:rsid w:val="00790901"/>
    <w:rsid w:val="0079092A"/>
    <w:rsid w:val="00790E83"/>
    <w:rsid w:val="00791BD2"/>
    <w:rsid w:val="007921F5"/>
    <w:rsid w:val="007928DC"/>
    <w:rsid w:val="00793D3A"/>
    <w:rsid w:val="007940EA"/>
    <w:rsid w:val="00795FC6"/>
    <w:rsid w:val="00796675"/>
    <w:rsid w:val="007967E8"/>
    <w:rsid w:val="00797B8D"/>
    <w:rsid w:val="00797CAA"/>
    <w:rsid w:val="007A002D"/>
    <w:rsid w:val="007A02FF"/>
    <w:rsid w:val="007A07AD"/>
    <w:rsid w:val="007A09FA"/>
    <w:rsid w:val="007A0EFD"/>
    <w:rsid w:val="007A1589"/>
    <w:rsid w:val="007A1AC5"/>
    <w:rsid w:val="007A1FA2"/>
    <w:rsid w:val="007A2170"/>
    <w:rsid w:val="007A22BF"/>
    <w:rsid w:val="007A2C17"/>
    <w:rsid w:val="007A3323"/>
    <w:rsid w:val="007A55C1"/>
    <w:rsid w:val="007A6404"/>
    <w:rsid w:val="007B00D5"/>
    <w:rsid w:val="007B0D39"/>
    <w:rsid w:val="007B0E2B"/>
    <w:rsid w:val="007B111E"/>
    <w:rsid w:val="007B1207"/>
    <w:rsid w:val="007B17C9"/>
    <w:rsid w:val="007B2CB7"/>
    <w:rsid w:val="007B3D42"/>
    <w:rsid w:val="007B41C2"/>
    <w:rsid w:val="007B482D"/>
    <w:rsid w:val="007B49ED"/>
    <w:rsid w:val="007B52D8"/>
    <w:rsid w:val="007B5C58"/>
    <w:rsid w:val="007B5D72"/>
    <w:rsid w:val="007B5DBC"/>
    <w:rsid w:val="007B60A1"/>
    <w:rsid w:val="007B60E3"/>
    <w:rsid w:val="007B63B7"/>
    <w:rsid w:val="007B67ED"/>
    <w:rsid w:val="007B6A52"/>
    <w:rsid w:val="007B6CE5"/>
    <w:rsid w:val="007B72B8"/>
    <w:rsid w:val="007B780A"/>
    <w:rsid w:val="007B7A58"/>
    <w:rsid w:val="007C0AA8"/>
    <w:rsid w:val="007C1968"/>
    <w:rsid w:val="007C1C43"/>
    <w:rsid w:val="007C206F"/>
    <w:rsid w:val="007C21B5"/>
    <w:rsid w:val="007C417E"/>
    <w:rsid w:val="007C42C2"/>
    <w:rsid w:val="007C441A"/>
    <w:rsid w:val="007C4C1B"/>
    <w:rsid w:val="007C567B"/>
    <w:rsid w:val="007C6C0C"/>
    <w:rsid w:val="007C7462"/>
    <w:rsid w:val="007C7EA2"/>
    <w:rsid w:val="007C7FA8"/>
    <w:rsid w:val="007D0185"/>
    <w:rsid w:val="007D1B75"/>
    <w:rsid w:val="007D1C52"/>
    <w:rsid w:val="007D1FF5"/>
    <w:rsid w:val="007D26E2"/>
    <w:rsid w:val="007D297A"/>
    <w:rsid w:val="007D36D4"/>
    <w:rsid w:val="007D3817"/>
    <w:rsid w:val="007D387C"/>
    <w:rsid w:val="007D41D9"/>
    <w:rsid w:val="007D4247"/>
    <w:rsid w:val="007D4829"/>
    <w:rsid w:val="007D4BCB"/>
    <w:rsid w:val="007D50AB"/>
    <w:rsid w:val="007D5259"/>
    <w:rsid w:val="007D5555"/>
    <w:rsid w:val="007D5766"/>
    <w:rsid w:val="007D67DD"/>
    <w:rsid w:val="007D7120"/>
    <w:rsid w:val="007D75BF"/>
    <w:rsid w:val="007E1729"/>
    <w:rsid w:val="007E18B7"/>
    <w:rsid w:val="007E1A6A"/>
    <w:rsid w:val="007E2515"/>
    <w:rsid w:val="007E2926"/>
    <w:rsid w:val="007E2A8E"/>
    <w:rsid w:val="007E2EB8"/>
    <w:rsid w:val="007E2FF7"/>
    <w:rsid w:val="007E3913"/>
    <w:rsid w:val="007E3E0D"/>
    <w:rsid w:val="007E4ADC"/>
    <w:rsid w:val="007E4BD2"/>
    <w:rsid w:val="007E50BC"/>
    <w:rsid w:val="007E51DB"/>
    <w:rsid w:val="007E5E5C"/>
    <w:rsid w:val="007E64E0"/>
    <w:rsid w:val="007E65D6"/>
    <w:rsid w:val="007E7415"/>
    <w:rsid w:val="007E75A8"/>
    <w:rsid w:val="007E7A8B"/>
    <w:rsid w:val="007F0EB2"/>
    <w:rsid w:val="007F12B8"/>
    <w:rsid w:val="007F14ED"/>
    <w:rsid w:val="007F19EB"/>
    <w:rsid w:val="007F206C"/>
    <w:rsid w:val="007F256B"/>
    <w:rsid w:val="007F5530"/>
    <w:rsid w:val="007F7194"/>
    <w:rsid w:val="007F7228"/>
    <w:rsid w:val="007F7463"/>
    <w:rsid w:val="00800D6D"/>
    <w:rsid w:val="00800FA8"/>
    <w:rsid w:val="0080119B"/>
    <w:rsid w:val="00801393"/>
    <w:rsid w:val="00801450"/>
    <w:rsid w:val="008016D3"/>
    <w:rsid w:val="008018AF"/>
    <w:rsid w:val="00801AF2"/>
    <w:rsid w:val="00801C8D"/>
    <w:rsid w:val="0080226B"/>
    <w:rsid w:val="008025EA"/>
    <w:rsid w:val="00802C50"/>
    <w:rsid w:val="00802F88"/>
    <w:rsid w:val="008031C3"/>
    <w:rsid w:val="00803856"/>
    <w:rsid w:val="00803E93"/>
    <w:rsid w:val="00804011"/>
    <w:rsid w:val="008051B8"/>
    <w:rsid w:val="00805CBF"/>
    <w:rsid w:val="00805FE6"/>
    <w:rsid w:val="008061E8"/>
    <w:rsid w:val="00806DC3"/>
    <w:rsid w:val="00807D39"/>
    <w:rsid w:val="00810500"/>
    <w:rsid w:val="00810843"/>
    <w:rsid w:val="00810B79"/>
    <w:rsid w:val="0081111E"/>
    <w:rsid w:val="0081143C"/>
    <w:rsid w:val="00811519"/>
    <w:rsid w:val="00811C57"/>
    <w:rsid w:val="0081214F"/>
    <w:rsid w:val="0081293E"/>
    <w:rsid w:val="00813245"/>
    <w:rsid w:val="008132FF"/>
    <w:rsid w:val="008143B8"/>
    <w:rsid w:val="008147F0"/>
    <w:rsid w:val="008152A4"/>
    <w:rsid w:val="00815465"/>
    <w:rsid w:val="00815C13"/>
    <w:rsid w:val="00815C6A"/>
    <w:rsid w:val="00816422"/>
    <w:rsid w:val="008164C4"/>
    <w:rsid w:val="008167DD"/>
    <w:rsid w:val="008173F3"/>
    <w:rsid w:val="00817E9A"/>
    <w:rsid w:val="008202F4"/>
    <w:rsid w:val="00820F27"/>
    <w:rsid w:val="00821784"/>
    <w:rsid w:val="00823113"/>
    <w:rsid w:val="008233C4"/>
    <w:rsid w:val="00823D24"/>
    <w:rsid w:val="00824441"/>
    <w:rsid w:val="008246CA"/>
    <w:rsid w:val="0082504B"/>
    <w:rsid w:val="008258F7"/>
    <w:rsid w:val="00825A58"/>
    <w:rsid w:val="00826307"/>
    <w:rsid w:val="00827D15"/>
    <w:rsid w:val="0083001D"/>
    <w:rsid w:val="008306BD"/>
    <w:rsid w:val="00830E0F"/>
    <w:rsid w:val="008313AD"/>
    <w:rsid w:val="00831A80"/>
    <w:rsid w:val="00832B4C"/>
    <w:rsid w:val="00832EB0"/>
    <w:rsid w:val="00833743"/>
    <w:rsid w:val="008340A4"/>
    <w:rsid w:val="008342C2"/>
    <w:rsid w:val="008347D2"/>
    <w:rsid w:val="008351C4"/>
    <w:rsid w:val="00835F95"/>
    <w:rsid w:val="008361B9"/>
    <w:rsid w:val="00836CBB"/>
    <w:rsid w:val="00837293"/>
    <w:rsid w:val="0084064C"/>
    <w:rsid w:val="0084143A"/>
    <w:rsid w:val="00841B1B"/>
    <w:rsid w:val="00843231"/>
    <w:rsid w:val="00845317"/>
    <w:rsid w:val="00846686"/>
    <w:rsid w:val="008466DD"/>
    <w:rsid w:val="00846A01"/>
    <w:rsid w:val="00847299"/>
    <w:rsid w:val="00847304"/>
    <w:rsid w:val="00847353"/>
    <w:rsid w:val="0084782E"/>
    <w:rsid w:val="00850075"/>
    <w:rsid w:val="008509DD"/>
    <w:rsid w:val="00852409"/>
    <w:rsid w:val="00852C08"/>
    <w:rsid w:val="00852E78"/>
    <w:rsid w:val="00853B33"/>
    <w:rsid w:val="00854B32"/>
    <w:rsid w:val="0085514E"/>
    <w:rsid w:val="00855B6B"/>
    <w:rsid w:val="0085688A"/>
    <w:rsid w:val="008569CE"/>
    <w:rsid w:val="00856E20"/>
    <w:rsid w:val="00860FC1"/>
    <w:rsid w:val="0086235E"/>
    <w:rsid w:val="008633BB"/>
    <w:rsid w:val="00863953"/>
    <w:rsid w:val="00863A8C"/>
    <w:rsid w:val="00864CD7"/>
    <w:rsid w:val="008657A1"/>
    <w:rsid w:val="00865A0B"/>
    <w:rsid w:val="00865A4F"/>
    <w:rsid w:val="00866DE1"/>
    <w:rsid w:val="00867057"/>
    <w:rsid w:val="00867F46"/>
    <w:rsid w:val="00870C52"/>
    <w:rsid w:val="0087127A"/>
    <w:rsid w:val="0087135F"/>
    <w:rsid w:val="0087157D"/>
    <w:rsid w:val="00871B5D"/>
    <w:rsid w:val="00872405"/>
    <w:rsid w:val="008727A2"/>
    <w:rsid w:val="00872CB8"/>
    <w:rsid w:val="00872D94"/>
    <w:rsid w:val="00873210"/>
    <w:rsid w:val="008733E4"/>
    <w:rsid w:val="008736E4"/>
    <w:rsid w:val="0087388B"/>
    <w:rsid w:val="008749ED"/>
    <w:rsid w:val="00874E1D"/>
    <w:rsid w:val="00875C04"/>
    <w:rsid w:val="00875D35"/>
    <w:rsid w:val="008761E2"/>
    <w:rsid w:val="00876F6F"/>
    <w:rsid w:val="0087793B"/>
    <w:rsid w:val="008802AE"/>
    <w:rsid w:val="00880364"/>
    <w:rsid w:val="00880C5B"/>
    <w:rsid w:val="008821C5"/>
    <w:rsid w:val="00883753"/>
    <w:rsid w:val="00884DC7"/>
    <w:rsid w:val="00885C83"/>
    <w:rsid w:val="00885F88"/>
    <w:rsid w:val="008863B3"/>
    <w:rsid w:val="0088665F"/>
    <w:rsid w:val="00886794"/>
    <w:rsid w:val="008867B9"/>
    <w:rsid w:val="008907C5"/>
    <w:rsid w:val="0089129C"/>
    <w:rsid w:val="008912F5"/>
    <w:rsid w:val="00891592"/>
    <w:rsid w:val="0089162A"/>
    <w:rsid w:val="0089166B"/>
    <w:rsid w:val="00891E9E"/>
    <w:rsid w:val="0089293B"/>
    <w:rsid w:val="00892EE6"/>
    <w:rsid w:val="008930C2"/>
    <w:rsid w:val="00893563"/>
    <w:rsid w:val="00894747"/>
    <w:rsid w:val="00894EF9"/>
    <w:rsid w:val="008951BF"/>
    <w:rsid w:val="00895938"/>
    <w:rsid w:val="00895D06"/>
    <w:rsid w:val="0089602B"/>
    <w:rsid w:val="0089603B"/>
    <w:rsid w:val="008960F5"/>
    <w:rsid w:val="008964BD"/>
    <w:rsid w:val="0089660E"/>
    <w:rsid w:val="008A005C"/>
    <w:rsid w:val="008A0C41"/>
    <w:rsid w:val="008A0F59"/>
    <w:rsid w:val="008A2F68"/>
    <w:rsid w:val="008A2F91"/>
    <w:rsid w:val="008A329C"/>
    <w:rsid w:val="008A3682"/>
    <w:rsid w:val="008A3CC1"/>
    <w:rsid w:val="008A403A"/>
    <w:rsid w:val="008A45CE"/>
    <w:rsid w:val="008A4BED"/>
    <w:rsid w:val="008A4F72"/>
    <w:rsid w:val="008A6830"/>
    <w:rsid w:val="008A7941"/>
    <w:rsid w:val="008B008A"/>
    <w:rsid w:val="008B0EBB"/>
    <w:rsid w:val="008B203B"/>
    <w:rsid w:val="008B2FB7"/>
    <w:rsid w:val="008B30F2"/>
    <w:rsid w:val="008B37FC"/>
    <w:rsid w:val="008B3CCD"/>
    <w:rsid w:val="008B472A"/>
    <w:rsid w:val="008B4B5C"/>
    <w:rsid w:val="008B4B69"/>
    <w:rsid w:val="008B4FA6"/>
    <w:rsid w:val="008B5282"/>
    <w:rsid w:val="008B5C2E"/>
    <w:rsid w:val="008B6918"/>
    <w:rsid w:val="008B6ECE"/>
    <w:rsid w:val="008B7A6F"/>
    <w:rsid w:val="008B7C17"/>
    <w:rsid w:val="008C000F"/>
    <w:rsid w:val="008C0252"/>
    <w:rsid w:val="008C05D8"/>
    <w:rsid w:val="008C062A"/>
    <w:rsid w:val="008C0680"/>
    <w:rsid w:val="008C1CDA"/>
    <w:rsid w:val="008C1F0F"/>
    <w:rsid w:val="008C228E"/>
    <w:rsid w:val="008C2D01"/>
    <w:rsid w:val="008C2D57"/>
    <w:rsid w:val="008C32C3"/>
    <w:rsid w:val="008C39FB"/>
    <w:rsid w:val="008C40E6"/>
    <w:rsid w:val="008C4130"/>
    <w:rsid w:val="008C557A"/>
    <w:rsid w:val="008C5B1E"/>
    <w:rsid w:val="008C6313"/>
    <w:rsid w:val="008C6769"/>
    <w:rsid w:val="008C6B9F"/>
    <w:rsid w:val="008C7973"/>
    <w:rsid w:val="008C79CA"/>
    <w:rsid w:val="008D0F7A"/>
    <w:rsid w:val="008D1256"/>
    <w:rsid w:val="008D24DE"/>
    <w:rsid w:val="008D26A3"/>
    <w:rsid w:val="008D4727"/>
    <w:rsid w:val="008D48B3"/>
    <w:rsid w:val="008D4A29"/>
    <w:rsid w:val="008D57B6"/>
    <w:rsid w:val="008D5A93"/>
    <w:rsid w:val="008D68E4"/>
    <w:rsid w:val="008D6BD3"/>
    <w:rsid w:val="008D7566"/>
    <w:rsid w:val="008D773E"/>
    <w:rsid w:val="008D7A20"/>
    <w:rsid w:val="008E00A5"/>
    <w:rsid w:val="008E0506"/>
    <w:rsid w:val="008E0CFF"/>
    <w:rsid w:val="008E0D81"/>
    <w:rsid w:val="008E14DF"/>
    <w:rsid w:val="008E161B"/>
    <w:rsid w:val="008E1D0F"/>
    <w:rsid w:val="008E1F93"/>
    <w:rsid w:val="008E237F"/>
    <w:rsid w:val="008E26CA"/>
    <w:rsid w:val="008E2F13"/>
    <w:rsid w:val="008E304A"/>
    <w:rsid w:val="008E320D"/>
    <w:rsid w:val="008E34EA"/>
    <w:rsid w:val="008E4EC7"/>
    <w:rsid w:val="008E59BF"/>
    <w:rsid w:val="008E5D6B"/>
    <w:rsid w:val="008E6278"/>
    <w:rsid w:val="008E76F0"/>
    <w:rsid w:val="008E7839"/>
    <w:rsid w:val="008E7934"/>
    <w:rsid w:val="008E79C0"/>
    <w:rsid w:val="008F0A89"/>
    <w:rsid w:val="008F0DB7"/>
    <w:rsid w:val="008F106B"/>
    <w:rsid w:val="008F15FE"/>
    <w:rsid w:val="008F1AF7"/>
    <w:rsid w:val="008F202E"/>
    <w:rsid w:val="008F2D29"/>
    <w:rsid w:val="008F371C"/>
    <w:rsid w:val="008F5187"/>
    <w:rsid w:val="008F53AD"/>
    <w:rsid w:val="008F558F"/>
    <w:rsid w:val="008F59B7"/>
    <w:rsid w:val="008F5BB1"/>
    <w:rsid w:val="008F60D8"/>
    <w:rsid w:val="008F6E38"/>
    <w:rsid w:val="008F74E7"/>
    <w:rsid w:val="008F7972"/>
    <w:rsid w:val="008F7A43"/>
    <w:rsid w:val="0090025A"/>
    <w:rsid w:val="009004B7"/>
    <w:rsid w:val="009006AA"/>
    <w:rsid w:val="0090071F"/>
    <w:rsid w:val="0090092D"/>
    <w:rsid w:val="00902623"/>
    <w:rsid w:val="0090267B"/>
    <w:rsid w:val="00902727"/>
    <w:rsid w:val="0090312B"/>
    <w:rsid w:val="009034E0"/>
    <w:rsid w:val="0090453E"/>
    <w:rsid w:val="00904D49"/>
    <w:rsid w:val="00905A08"/>
    <w:rsid w:val="00906058"/>
    <w:rsid w:val="00906335"/>
    <w:rsid w:val="009063D0"/>
    <w:rsid w:val="0090690A"/>
    <w:rsid w:val="00910846"/>
    <w:rsid w:val="009109EF"/>
    <w:rsid w:val="00911ABF"/>
    <w:rsid w:val="00912193"/>
    <w:rsid w:val="00912ED5"/>
    <w:rsid w:val="00912FEB"/>
    <w:rsid w:val="00912FFA"/>
    <w:rsid w:val="009134A5"/>
    <w:rsid w:val="00913B73"/>
    <w:rsid w:val="00913BA1"/>
    <w:rsid w:val="00914273"/>
    <w:rsid w:val="00914466"/>
    <w:rsid w:val="00914533"/>
    <w:rsid w:val="0091477F"/>
    <w:rsid w:val="00914C1A"/>
    <w:rsid w:val="00914D02"/>
    <w:rsid w:val="00914E77"/>
    <w:rsid w:val="00915A4B"/>
    <w:rsid w:val="00915D14"/>
    <w:rsid w:val="00915F1B"/>
    <w:rsid w:val="00916F11"/>
    <w:rsid w:val="0091736D"/>
    <w:rsid w:val="0092043D"/>
    <w:rsid w:val="009209DD"/>
    <w:rsid w:val="00920F98"/>
    <w:rsid w:val="009213BF"/>
    <w:rsid w:val="00921A50"/>
    <w:rsid w:val="00921F78"/>
    <w:rsid w:val="0092238F"/>
    <w:rsid w:val="00924864"/>
    <w:rsid w:val="009248A9"/>
    <w:rsid w:val="00924A59"/>
    <w:rsid w:val="009256F0"/>
    <w:rsid w:val="009261C0"/>
    <w:rsid w:val="0092657C"/>
    <w:rsid w:val="00927E31"/>
    <w:rsid w:val="0093037A"/>
    <w:rsid w:val="00930CF5"/>
    <w:rsid w:val="0093195D"/>
    <w:rsid w:val="00932EF0"/>
    <w:rsid w:val="00933632"/>
    <w:rsid w:val="00933F38"/>
    <w:rsid w:val="00934482"/>
    <w:rsid w:val="0093464A"/>
    <w:rsid w:val="0093482C"/>
    <w:rsid w:val="00937516"/>
    <w:rsid w:val="00937A0B"/>
    <w:rsid w:val="009404C2"/>
    <w:rsid w:val="00940944"/>
    <w:rsid w:val="009410B8"/>
    <w:rsid w:val="0094154D"/>
    <w:rsid w:val="0094154F"/>
    <w:rsid w:val="00942288"/>
    <w:rsid w:val="00942D79"/>
    <w:rsid w:val="00942EE8"/>
    <w:rsid w:val="0094307B"/>
    <w:rsid w:val="0094343A"/>
    <w:rsid w:val="00944DEA"/>
    <w:rsid w:val="009452C6"/>
    <w:rsid w:val="0094593A"/>
    <w:rsid w:val="009465B5"/>
    <w:rsid w:val="00946A8B"/>
    <w:rsid w:val="00947AF2"/>
    <w:rsid w:val="00947C31"/>
    <w:rsid w:val="00950322"/>
    <w:rsid w:val="00950365"/>
    <w:rsid w:val="0095101F"/>
    <w:rsid w:val="00951229"/>
    <w:rsid w:val="0095155F"/>
    <w:rsid w:val="00951812"/>
    <w:rsid w:val="00952B53"/>
    <w:rsid w:val="009532E8"/>
    <w:rsid w:val="00954429"/>
    <w:rsid w:val="00954B55"/>
    <w:rsid w:val="00955219"/>
    <w:rsid w:val="00956008"/>
    <w:rsid w:val="009560EE"/>
    <w:rsid w:val="009563CE"/>
    <w:rsid w:val="0095731B"/>
    <w:rsid w:val="0095770B"/>
    <w:rsid w:val="00957710"/>
    <w:rsid w:val="00957897"/>
    <w:rsid w:val="00961AB8"/>
    <w:rsid w:val="00961B6F"/>
    <w:rsid w:val="00962536"/>
    <w:rsid w:val="00962E80"/>
    <w:rsid w:val="00963178"/>
    <w:rsid w:val="00963B9D"/>
    <w:rsid w:val="0096508A"/>
    <w:rsid w:val="00967343"/>
    <w:rsid w:val="0096743D"/>
    <w:rsid w:val="00967E5E"/>
    <w:rsid w:val="009701BA"/>
    <w:rsid w:val="009701FE"/>
    <w:rsid w:val="009704F2"/>
    <w:rsid w:val="009706C2"/>
    <w:rsid w:val="00970ABD"/>
    <w:rsid w:val="00970DFC"/>
    <w:rsid w:val="00970FC5"/>
    <w:rsid w:val="00971401"/>
    <w:rsid w:val="00972276"/>
    <w:rsid w:val="0097278A"/>
    <w:rsid w:val="00972E7C"/>
    <w:rsid w:val="00973235"/>
    <w:rsid w:val="009743CB"/>
    <w:rsid w:val="009747D2"/>
    <w:rsid w:val="00974927"/>
    <w:rsid w:val="00974BD1"/>
    <w:rsid w:val="00974E53"/>
    <w:rsid w:val="009755A5"/>
    <w:rsid w:val="00976328"/>
    <w:rsid w:val="00976378"/>
    <w:rsid w:val="009766DE"/>
    <w:rsid w:val="0097680D"/>
    <w:rsid w:val="0097685D"/>
    <w:rsid w:val="00977C46"/>
    <w:rsid w:val="0098092E"/>
    <w:rsid w:val="00980940"/>
    <w:rsid w:val="0098102B"/>
    <w:rsid w:val="009817FB"/>
    <w:rsid w:val="00981E11"/>
    <w:rsid w:val="00982438"/>
    <w:rsid w:val="00982BC5"/>
    <w:rsid w:val="009834AA"/>
    <w:rsid w:val="0098404C"/>
    <w:rsid w:val="009841CA"/>
    <w:rsid w:val="00984442"/>
    <w:rsid w:val="00984E41"/>
    <w:rsid w:val="00985283"/>
    <w:rsid w:val="009854C5"/>
    <w:rsid w:val="009858BF"/>
    <w:rsid w:val="00986712"/>
    <w:rsid w:val="0098740D"/>
    <w:rsid w:val="00987933"/>
    <w:rsid w:val="00987E79"/>
    <w:rsid w:val="0099080C"/>
    <w:rsid w:val="00991AAC"/>
    <w:rsid w:val="00991DAE"/>
    <w:rsid w:val="00992512"/>
    <w:rsid w:val="009926E3"/>
    <w:rsid w:val="00993919"/>
    <w:rsid w:val="00995992"/>
    <w:rsid w:val="00995B0B"/>
    <w:rsid w:val="00996CC9"/>
    <w:rsid w:val="00996FF9"/>
    <w:rsid w:val="00997A63"/>
    <w:rsid w:val="00997A70"/>
    <w:rsid w:val="00997A8C"/>
    <w:rsid w:val="00997F28"/>
    <w:rsid w:val="009A015E"/>
    <w:rsid w:val="009A03E5"/>
    <w:rsid w:val="009A0F3B"/>
    <w:rsid w:val="009A16EB"/>
    <w:rsid w:val="009A1BB4"/>
    <w:rsid w:val="009A22BB"/>
    <w:rsid w:val="009A2628"/>
    <w:rsid w:val="009A2A23"/>
    <w:rsid w:val="009A3200"/>
    <w:rsid w:val="009A378F"/>
    <w:rsid w:val="009A37AA"/>
    <w:rsid w:val="009A464E"/>
    <w:rsid w:val="009A4849"/>
    <w:rsid w:val="009A4DCD"/>
    <w:rsid w:val="009A6479"/>
    <w:rsid w:val="009A719C"/>
    <w:rsid w:val="009A742D"/>
    <w:rsid w:val="009B0897"/>
    <w:rsid w:val="009B0E36"/>
    <w:rsid w:val="009B1837"/>
    <w:rsid w:val="009B1CF3"/>
    <w:rsid w:val="009B2000"/>
    <w:rsid w:val="009B3477"/>
    <w:rsid w:val="009B3616"/>
    <w:rsid w:val="009B3D0E"/>
    <w:rsid w:val="009B44F9"/>
    <w:rsid w:val="009B6076"/>
    <w:rsid w:val="009B648D"/>
    <w:rsid w:val="009B73F1"/>
    <w:rsid w:val="009B773D"/>
    <w:rsid w:val="009B7826"/>
    <w:rsid w:val="009B793F"/>
    <w:rsid w:val="009B7BD9"/>
    <w:rsid w:val="009C00B5"/>
    <w:rsid w:val="009C0405"/>
    <w:rsid w:val="009C1871"/>
    <w:rsid w:val="009C23B9"/>
    <w:rsid w:val="009C24A8"/>
    <w:rsid w:val="009C27A4"/>
    <w:rsid w:val="009C2B67"/>
    <w:rsid w:val="009C2FFE"/>
    <w:rsid w:val="009C430E"/>
    <w:rsid w:val="009C4366"/>
    <w:rsid w:val="009C4497"/>
    <w:rsid w:val="009C4E04"/>
    <w:rsid w:val="009C534F"/>
    <w:rsid w:val="009C5705"/>
    <w:rsid w:val="009C5D33"/>
    <w:rsid w:val="009C65DD"/>
    <w:rsid w:val="009C6A4C"/>
    <w:rsid w:val="009C7118"/>
    <w:rsid w:val="009C7C04"/>
    <w:rsid w:val="009C7DD5"/>
    <w:rsid w:val="009C7E02"/>
    <w:rsid w:val="009D0F53"/>
    <w:rsid w:val="009D1C6E"/>
    <w:rsid w:val="009D209E"/>
    <w:rsid w:val="009D4329"/>
    <w:rsid w:val="009D4EBB"/>
    <w:rsid w:val="009D6607"/>
    <w:rsid w:val="009D683D"/>
    <w:rsid w:val="009D6EB9"/>
    <w:rsid w:val="009D7D35"/>
    <w:rsid w:val="009D7DE9"/>
    <w:rsid w:val="009E0A4C"/>
    <w:rsid w:val="009E11C6"/>
    <w:rsid w:val="009E227D"/>
    <w:rsid w:val="009E23E8"/>
    <w:rsid w:val="009E2719"/>
    <w:rsid w:val="009E2DD6"/>
    <w:rsid w:val="009E2FCC"/>
    <w:rsid w:val="009E35D6"/>
    <w:rsid w:val="009E36B1"/>
    <w:rsid w:val="009E4569"/>
    <w:rsid w:val="009E4594"/>
    <w:rsid w:val="009E4FCA"/>
    <w:rsid w:val="009E5019"/>
    <w:rsid w:val="009E564C"/>
    <w:rsid w:val="009E5A70"/>
    <w:rsid w:val="009E72C4"/>
    <w:rsid w:val="009E795E"/>
    <w:rsid w:val="009F043F"/>
    <w:rsid w:val="009F08D7"/>
    <w:rsid w:val="009F1A20"/>
    <w:rsid w:val="009F2B61"/>
    <w:rsid w:val="009F37C8"/>
    <w:rsid w:val="009F3C64"/>
    <w:rsid w:val="009F3EE8"/>
    <w:rsid w:val="009F418E"/>
    <w:rsid w:val="009F4C93"/>
    <w:rsid w:val="009F5FC0"/>
    <w:rsid w:val="009F5FE4"/>
    <w:rsid w:val="009F6DA7"/>
    <w:rsid w:val="009F71E4"/>
    <w:rsid w:val="009F7769"/>
    <w:rsid w:val="009F78AC"/>
    <w:rsid w:val="009F79A8"/>
    <w:rsid w:val="00A001C6"/>
    <w:rsid w:val="00A017D7"/>
    <w:rsid w:val="00A02864"/>
    <w:rsid w:val="00A02FC8"/>
    <w:rsid w:val="00A04F1B"/>
    <w:rsid w:val="00A0501B"/>
    <w:rsid w:val="00A0552B"/>
    <w:rsid w:val="00A05AB6"/>
    <w:rsid w:val="00A05BC0"/>
    <w:rsid w:val="00A05C8F"/>
    <w:rsid w:val="00A069B4"/>
    <w:rsid w:val="00A071D8"/>
    <w:rsid w:val="00A07C6C"/>
    <w:rsid w:val="00A10428"/>
    <w:rsid w:val="00A105F5"/>
    <w:rsid w:val="00A11A1C"/>
    <w:rsid w:val="00A11A27"/>
    <w:rsid w:val="00A12A0F"/>
    <w:rsid w:val="00A13716"/>
    <w:rsid w:val="00A13A42"/>
    <w:rsid w:val="00A14947"/>
    <w:rsid w:val="00A1642D"/>
    <w:rsid w:val="00A17A7B"/>
    <w:rsid w:val="00A17A7D"/>
    <w:rsid w:val="00A17AF9"/>
    <w:rsid w:val="00A17BAA"/>
    <w:rsid w:val="00A203AE"/>
    <w:rsid w:val="00A203CA"/>
    <w:rsid w:val="00A206BF"/>
    <w:rsid w:val="00A20A08"/>
    <w:rsid w:val="00A21B5D"/>
    <w:rsid w:val="00A21F1F"/>
    <w:rsid w:val="00A227D8"/>
    <w:rsid w:val="00A22882"/>
    <w:rsid w:val="00A22B46"/>
    <w:rsid w:val="00A23649"/>
    <w:rsid w:val="00A23D91"/>
    <w:rsid w:val="00A23DAE"/>
    <w:rsid w:val="00A2488D"/>
    <w:rsid w:val="00A26EC3"/>
    <w:rsid w:val="00A273FB"/>
    <w:rsid w:val="00A30221"/>
    <w:rsid w:val="00A31F62"/>
    <w:rsid w:val="00A320E0"/>
    <w:rsid w:val="00A32219"/>
    <w:rsid w:val="00A3222F"/>
    <w:rsid w:val="00A322E1"/>
    <w:rsid w:val="00A325B1"/>
    <w:rsid w:val="00A32718"/>
    <w:rsid w:val="00A32A83"/>
    <w:rsid w:val="00A32BA5"/>
    <w:rsid w:val="00A32EE5"/>
    <w:rsid w:val="00A33292"/>
    <w:rsid w:val="00A33666"/>
    <w:rsid w:val="00A3459F"/>
    <w:rsid w:val="00A355CD"/>
    <w:rsid w:val="00A35DF9"/>
    <w:rsid w:val="00A363D9"/>
    <w:rsid w:val="00A368DB"/>
    <w:rsid w:val="00A378CD"/>
    <w:rsid w:val="00A37A45"/>
    <w:rsid w:val="00A401F3"/>
    <w:rsid w:val="00A4183B"/>
    <w:rsid w:val="00A419CA"/>
    <w:rsid w:val="00A4231D"/>
    <w:rsid w:val="00A423AA"/>
    <w:rsid w:val="00A42783"/>
    <w:rsid w:val="00A43ABB"/>
    <w:rsid w:val="00A43C42"/>
    <w:rsid w:val="00A443BC"/>
    <w:rsid w:val="00A4468E"/>
    <w:rsid w:val="00A44D7E"/>
    <w:rsid w:val="00A450E4"/>
    <w:rsid w:val="00A459D4"/>
    <w:rsid w:val="00A461D5"/>
    <w:rsid w:val="00A462B5"/>
    <w:rsid w:val="00A46DAC"/>
    <w:rsid w:val="00A47350"/>
    <w:rsid w:val="00A47659"/>
    <w:rsid w:val="00A50EDD"/>
    <w:rsid w:val="00A523E6"/>
    <w:rsid w:val="00A52AF6"/>
    <w:rsid w:val="00A534D6"/>
    <w:rsid w:val="00A53EC6"/>
    <w:rsid w:val="00A53F85"/>
    <w:rsid w:val="00A55812"/>
    <w:rsid w:val="00A55C0F"/>
    <w:rsid w:val="00A56691"/>
    <w:rsid w:val="00A56702"/>
    <w:rsid w:val="00A56E8F"/>
    <w:rsid w:val="00A56F17"/>
    <w:rsid w:val="00A574C5"/>
    <w:rsid w:val="00A600FA"/>
    <w:rsid w:val="00A61755"/>
    <w:rsid w:val="00A617EB"/>
    <w:rsid w:val="00A61E7C"/>
    <w:rsid w:val="00A62F01"/>
    <w:rsid w:val="00A64BDD"/>
    <w:rsid w:val="00A66691"/>
    <w:rsid w:val="00A67B1D"/>
    <w:rsid w:val="00A71124"/>
    <w:rsid w:val="00A7140F"/>
    <w:rsid w:val="00A715DA"/>
    <w:rsid w:val="00A71BE1"/>
    <w:rsid w:val="00A73003"/>
    <w:rsid w:val="00A737F7"/>
    <w:rsid w:val="00A747E0"/>
    <w:rsid w:val="00A75B1D"/>
    <w:rsid w:val="00A75EB0"/>
    <w:rsid w:val="00A76003"/>
    <w:rsid w:val="00A761AD"/>
    <w:rsid w:val="00A77785"/>
    <w:rsid w:val="00A77C35"/>
    <w:rsid w:val="00A77E1B"/>
    <w:rsid w:val="00A802F1"/>
    <w:rsid w:val="00A80441"/>
    <w:rsid w:val="00A80BDD"/>
    <w:rsid w:val="00A80E99"/>
    <w:rsid w:val="00A81CAD"/>
    <w:rsid w:val="00A83398"/>
    <w:rsid w:val="00A8495C"/>
    <w:rsid w:val="00A84FDC"/>
    <w:rsid w:val="00A850C6"/>
    <w:rsid w:val="00A854D8"/>
    <w:rsid w:val="00A860F2"/>
    <w:rsid w:val="00A86200"/>
    <w:rsid w:val="00A864EC"/>
    <w:rsid w:val="00A86A74"/>
    <w:rsid w:val="00A87117"/>
    <w:rsid w:val="00A8713F"/>
    <w:rsid w:val="00A90160"/>
    <w:rsid w:val="00A90A73"/>
    <w:rsid w:val="00A90BA1"/>
    <w:rsid w:val="00A90FE0"/>
    <w:rsid w:val="00A9169E"/>
    <w:rsid w:val="00A91DB4"/>
    <w:rsid w:val="00A91ECC"/>
    <w:rsid w:val="00A92C74"/>
    <w:rsid w:val="00A92D5A"/>
    <w:rsid w:val="00A940D6"/>
    <w:rsid w:val="00A94BD9"/>
    <w:rsid w:val="00A953B5"/>
    <w:rsid w:val="00A95596"/>
    <w:rsid w:val="00A95D79"/>
    <w:rsid w:val="00A961A4"/>
    <w:rsid w:val="00A965EC"/>
    <w:rsid w:val="00A97A9A"/>
    <w:rsid w:val="00AA0020"/>
    <w:rsid w:val="00AA0226"/>
    <w:rsid w:val="00AA0268"/>
    <w:rsid w:val="00AA0671"/>
    <w:rsid w:val="00AA09AA"/>
    <w:rsid w:val="00AA0F83"/>
    <w:rsid w:val="00AA1493"/>
    <w:rsid w:val="00AA1F47"/>
    <w:rsid w:val="00AA2049"/>
    <w:rsid w:val="00AA2531"/>
    <w:rsid w:val="00AA2718"/>
    <w:rsid w:val="00AA2A63"/>
    <w:rsid w:val="00AA3887"/>
    <w:rsid w:val="00AA3A34"/>
    <w:rsid w:val="00AA3EE2"/>
    <w:rsid w:val="00AA44C5"/>
    <w:rsid w:val="00AA5137"/>
    <w:rsid w:val="00AA6D66"/>
    <w:rsid w:val="00AA7673"/>
    <w:rsid w:val="00AA7928"/>
    <w:rsid w:val="00AA7EFF"/>
    <w:rsid w:val="00AB10F2"/>
    <w:rsid w:val="00AB1400"/>
    <w:rsid w:val="00AB1E09"/>
    <w:rsid w:val="00AB266A"/>
    <w:rsid w:val="00AB2BA1"/>
    <w:rsid w:val="00AB42C6"/>
    <w:rsid w:val="00AB43EC"/>
    <w:rsid w:val="00AB48C5"/>
    <w:rsid w:val="00AB4CBB"/>
    <w:rsid w:val="00AB4D1F"/>
    <w:rsid w:val="00AB4EB1"/>
    <w:rsid w:val="00AB5330"/>
    <w:rsid w:val="00AB5851"/>
    <w:rsid w:val="00AB5D16"/>
    <w:rsid w:val="00AB6956"/>
    <w:rsid w:val="00AB6B8A"/>
    <w:rsid w:val="00AB6FAA"/>
    <w:rsid w:val="00AB7747"/>
    <w:rsid w:val="00AB7B1A"/>
    <w:rsid w:val="00AC1280"/>
    <w:rsid w:val="00AC14CE"/>
    <w:rsid w:val="00AC163C"/>
    <w:rsid w:val="00AC198B"/>
    <w:rsid w:val="00AC1DAF"/>
    <w:rsid w:val="00AC2A56"/>
    <w:rsid w:val="00AC3A3D"/>
    <w:rsid w:val="00AC4217"/>
    <w:rsid w:val="00AC4722"/>
    <w:rsid w:val="00AC4B06"/>
    <w:rsid w:val="00AC4DCB"/>
    <w:rsid w:val="00AC4E11"/>
    <w:rsid w:val="00AC562D"/>
    <w:rsid w:val="00AC596E"/>
    <w:rsid w:val="00AC5DD3"/>
    <w:rsid w:val="00AC6229"/>
    <w:rsid w:val="00AC6A0E"/>
    <w:rsid w:val="00AC6DA2"/>
    <w:rsid w:val="00AC7B25"/>
    <w:rsid w:val="00AC7E8C"/>
    <w:rsid w:val="00AC7EE9"/>
    <w:rsid w:val="00AD0096"/>
    <w:rsid w:val="00AD055E"/>
    <w:rsid w:val="00AD0593"/>
    <w:rsid w:val="00AD1039"/>
    <w:rsid w:val="00AD11A0"/>
    <w:rsid w:val="00AD1356"/>
    <w:rsid w:val="00AD187B"/>
    <w:rsid w:val="00AD1960"/>
    <w:rsid w:val="00AD2F62"/>
    <w:rsid w:val="00AD37A0"/>
    <w:rsid w:val="00AD3BD7"/>
    <w:rsid w:val="00AD3DDF"/>
    <w:rsid w:val="00AD3E33"/>
    <w:rsid w:val="00AD4734"/>
    <w:rsid w:val="00AD47A7"/>
    <w:rsid w:val="00AD4F06"/>
    <w:rsid w:val="00AD4F3D"/>
    <w:rsid w:val="00AD50D4"/>
    <w:rsid w:val="00AD51BD"/>
    <w:rsid w:val="00AD5872"/>
    <w:rsid w:val="00AE0CA5"/>
    <w:rsid w:val="00AE25C0"/>
    <w:rsid w:val="00AE2907"/>
    <w:rsid w:val="00AE2A55"/>
    <w:rsid w:val="00AE2B0C"/>
    <w:rsid w:val="00AE2D27"/>
    <w:rsid w:val="00AE2DDB"/>
    <w:rsid w:val="00AE3056"/>
    <w:rsid w:val="00AE333E"/>
    <w:rsid w:val="00AE39EA"/>
    <w:rsid w:val="00AE486F"/>
    <w:rsid w:val="00AE4D61"/>
    <w:rsid w:val="00AE5776"/>
    <w:rsid w:val="00AE5F81"/>
    <w:rsid w:val="00AE64CD"/>
    <w:rsid w:val="00AE6581"/>
    <w:rsid w:val="00AE66A3"/>
    <w:rsid w:val="00AE6A57"/>
    <w:rsid w:val="00AE6C69"/>
    <w:rsid w:val="00AE7CC4"/>
    <w:rsid w:val="00AE7F6E"/>
    <w:rsid w:val="00AF0635"/>
    <w:rsid w:val="00AF0CBF"/>
    <w:rsid w:val="00AF1989"/>
    <w:rsid w:val="00AF257F"/>
    <w:rsid w:val="00AF2DA1"/>
    <w:rsid w:val="00AF33CF"/>
    <w:rsid w:val="00AF48E3"/>
    <w:rsid w:val="00AF4D50"/>
    <w:rsid w:val="00AF5E1C"/>
    <w:rsid w:val="00AF5F61"/>
    <w:rsid w:val="00AF611B"/>
    <w:rsid w:val="00AF6179"/>
    <w:rsid w:val="00AF7AEE"/>
    <w:rsid w:val="00B00917"/>
    <w:rsid w:val="00B00D54"/>
    <w:rsid w:val="00B00FDC"/>
    <w:rsid w:val="00B01A03"/>
    <w:rsid w:val="00B028C8"/>
    <w:rsid w:val="00B02B9E"/>
    <w:rsid w:val="00B03BEA"/>
    <w:rsid w:val="00B05190"/>
    <w:rsid w:val="00B057F3"/>
    <w:rsid w:val="00B05F29"/>
    <w:rsid w:val="00B05F91"/>
    <w:rsid w:val="00B06073"/>
    <w:rsid w:val="00B064B7"/>
    <w:rsid w:val="00B06D87"/>
    <w:rsid w:val="00B07986"/>
    <w:rsid w:val="00B079ED"/>
    <w:rsid w:val="00B10EAB"/>
    <w:rsid w:val="00B11309"/>
    <w:rsid w:val="00B1148C"/>
    <w:rsid w:val="00B11871"/>
    <w:rsid w:val="00B11E0E"/>
    <w:rsid w:val="00B11E62"/>
    <w:rsid w:val="00B1295A"/>
    <w:rsid w:val="00B12E5C"/>
    <w:rsid w:val="00B13C3D"/>
    <w:rsid w:val="00B152B3"/>
    <w:rsid w:val="00B1731A"/>
    <w:rsid w:val="00B176AD"/>
    <w:rsid w:val="00B17A13"/>
    <w:rsid w:val="00B17E52"/>
    <w:rsid w:val="00B209CC"/>
    <w:rsid w:val="00B20A45"/>
    <w:rsid w:val="00B216EC"/>
    <w:rsid w:val="00B21866"/>
    <w:rsid w:val="00B22C5C"/>
    <w:rsid w:val="00B22D4E"/>
    <w:rsid w:val="00B237A9"/>
    <w:rsid w:val="00B23898"/>
    <w:rsid w:val="00B23B60"/>
    <w:rsid w:val="00B23E78"/>
    <w:rsid w:val="00B24F30"/>
    <w:rsid w:val="00B253B8"/>
    <w:rsid w:val="00B2639F"/>
    <w:rsid w:val="00B2721A"/>
    <w:rsid w:val="00B27E41"/>
    <w:rsid w:val="00B300F3"/>
    <w:rsid w:val="00B31796"/>
    <w:rsid w:val="00B31ABF"/>
    <w:rsid w:val="00B321C6"/>
    <w:rsid w:val="00B3302D"/>
    <w:rsid w:val="00B33728"/>
    <w:rsid w:val="00B33783"/>
    <w:rsid w:val="00B33ACD"/>
    <w:rsid w:val="00B33BE3"/>
    <w:rsid w:val="00B34995"/>
    <w:rsid w:val="00B34FF8"/>
    <w:rsid w:val="00B3551A"/>
    <w:rsid w:val="00B35743"/>
    <w:rsid w:val="00B36709"/>
    <w:rsid w:val="00B37060"/>
    <w:rsid w:val="00B373B1"/>
    <w:rsid w:val="00B40734"/>
    <w:rsid w:val="00B4078D"/>
    <w:rsid w:val="00B40E41"/>
    <w:rsid w:val="00B41322"/>
    <w:rsid w:val="00B41511"/>
    <w:rsid w:val="00B4157D"/>
    <w:rsid w:val="00B42615"/>
    <w:rsid w:val="00B42C27"/>
    <w:rsid w:val="00B431B6"/>
    <w:rsid w:val="00B43C13"/>
    <w:rsid w:val="00B44921"/>
    <w:rsid w:val="00B45799"/>
    <w:rsid w:val="00B4607F"/>
    <w:rsid w:val="00B46A36"/>
    <w:rsid w:val="00B46E3F"/>
    <w:rsid w:val="00B47447"/>
    <w:rsid w:val="00B477F2"/>
    <w:rsid w:val="00B47C31"/>
    <w:rsid w:val="00B507A1"/>
    <w:rsid w:val="00B51BBB"/>
    <w:rsid w:val="00B51C53"/>
    <w:rsid w:val="00B51F3E"/>
    <w:rsid w:val="00B53B5D"/>
    <w:rsid w:val="00B54EA4"/>
    <w:rsid w:val="00B5720A"/>
    <w:rsid w:val="00B57758"/>
    <w:rsid w:val="00B578DC"/>
    <w:rsid w:val="00B6055E"/>
    <w:rsid w:val="00B60CAB"/>
    <w:rsid w:val="00B6154B"/>
    <w:rsid w:val="00B61BB2"/>
    <w:rsid w:val="00B62CA9"/>
    <w:rsid w:val="00B6317D"/>
    <w:rsid w:val="00B641D9"/>
    <w:rsid w:val="00B65113"/>
    <w:rsid w:val="00B654A3"/>
    <w:rsid w:val="00B65D36"/>
    <w:rsid w:val="00B6676F"/>
    <w:rsid w:val="00B668D5"/>
    <w:rsid w:val="00B675FE"/>
    <w:rsid w:val="00B67927"/>
    <w:rsid w:val="00B712B8"/>
    <w:rsid w:val="00B71DA3"/>
    <w:rsid w:val="00B727DE"/>
    <w:rsid w:val="00B72B7B"/>
    <w:rsid w:val="00B73B13"/>
    <w:rsid w:val="00B73B7D"/>
    <w:rsid w:val="00B742D6"/>
    <w:rsid w:val="00B75181"/>
    <w:rsid w:val="00B754D2"/>
    <w:rsid w:val="00B759D4"/>
    <w:rsid w:val="00B76260"/>
    <w:rsid w:val="00B76386"/>
    <w:rsid w:val="00B7650A"/>
    <w:rsid w:val="00B76A8A"/>
    <w:rsid w:val="00B7723F"/>
    <w:rsid w:val="00B77D2C"/>
    <w:rsid w:val="00B80295"/>
    <w:rsid w:val="00B803A5"/>
    <w:rsid w:val="00B80534"/>
    <w:rsid w:val="00B8190D"/>
    <w:rsid w:val="00B81B18"/>
    <w:rsid w:val="00B82A73"/>
    <w:rsid w:val="00B82AFA"/>
    <w:rsid w:val="00B83781"/>
    <w:rsid w:val="00B83980"/>
    <w:rsid w:val="00B8433C"/>
    <w:rsid w:val="00B85EC6"/>
    <w:rsid w:val="00B862CE"/>
    <w:rsid w:val="00B86ED0"/>
    <w:rsid w:val="00B87491"/>
    <w:rsid w:val="00B879E0"/>
    <w:rsid w:val="00B87AAA"/>
    <w:rsid w:val="00B87CCB"/>
    <w:rsid w:val="00B87FCF"/>
    <w:rsid w:val="00B90055"/>
    <w:rsid w:val="00B915FD"/>
    <w:rsid w:val="00B91E07"/>
    <w:rsid w:val="00B9227A"/>
    <w:rsid w:val="00B922AC"/>
    <w:rsid w:val="00B927BC"/>
    <w:rsid w:val="00B92DB6"/>
    <w:rsid w:val="00B92E27"/>
    <w:rsid w:val="00B9325F"/>
    <w:rsid w:val="00B93E93"/>
    <w:rsid w:val="00B940C9"/>
    <w:rsid w:val="00B947AA"/>
    <w:rsid w:val="00B9543F"/>
    <w:rsid w:val="00B95631"/>
    <w:rsid w:val="00B9662F"/>
    <w:rsid w:val="00B96955"/>
    <w:rsid w:val="00B969E0"/>
    <w:rsid w:val="00B969E7"/>
    <w:rsid w:val="00B96C1D"/>
    <w:rsid w:val="00B97306"/>
    <w:rsid w:val="00B97696"/>
    <w:rsid w:val="00BA0058"/>
    <w:rsid w:val="00BA0183"/>
    <w:rsid w:val="00BA04DB"/>
    <w:rsid w:val="00BA0B0D"/>
    <w:rsid w:val="00BA143A"/>
    <w:rsid w:val="00BA1471"/>
    <w:rsid w:val="00BA1A96"/>
    <w:rsid w:val="00BA21FC"/>
    <w:rsid w:val="00BA25FE"/>
    <w:rsid w:val="00BA29E9"/>
    <w:rsid w:val="00BA3F3D"/>
    <w:rsid w:val="00BA4DB5"/>
    <w:rsid w:val="00BA5363"/>
    <w:rsid w:val="00BA63DC"/>
    <w:rsid w:val="00BA7142"/>
    <w:rsid w:val="00BA7F8C"/>
    <w:rsid w:val="00BB01E7"/>
    <w:rsid w:val="00BB0244"/>
    <w:rsid w:val="00BB1380"/>
    <w:rsid w:val="00BB1562"/>
    <w:rsid w:val="00BB1CFF"/>
    <w:rsid w:val="00BB237C"/>
    <w:rsid w:val="00BB2822"/>
    <w:rsid w:val="00BB2915"/>
    <w:rsid w:val="00BB2D41"/>
    <w:rsid w:val="00BB3012"/>
    <w:rsid w:val="00BB35C5"/>
    <w:rsid w:val="00BB38CB"/>
    <w:rsid w:val="00BB41A3"/>
    <w:rsid w:val="00BB52B8"/>
    <w:rsid w:val="00BB5962"/>
    <w:rsid w:val="00BB5A15"/>
    <w:rsid w:val="00BB690A"/>
    <w:rsid w:val="00BB6FF8"/>
    <w:rsid w:val="00BB7C9E"/>
    <w:rsid w:val="00BB7E35"/>
    <w:rsid w:val="00BB7E43"/>
    <w:rsid w:val="00BC019E"/>
    <w:rsid w:val="00BC2190"/>
    <w:rsid w:val="00BC2685"/>
    <w:rsid w:val="00BC32DC"/>
    <w:rsid w:val="00BC3498"/>
    <w:rsid w:val="00BC35B6"/>
    <w:rsid w:val="00BC3638"/>
    <w:rsid w:val="00BC4B26"/>
    <w:rsid w:val="00BC4F85"/>
    <w:rsid w:val="00BC58B4"/>
    <w:rsid w:val="00BC5BE9"/>
    <w:rsid w:val="00BC5EB3"/>
    <w:rsid w:val="00BC63F5"/>
    <w:rsid w:val="00BC66C4"/>
    <w:rsid w:val="00BC764D"/>
    <w:rsid w:val="00BD00FB"/>
    <w:rsid w:val="00BD01F1"/>
    <w:rsid w:val="00BD091F"/>
    <w:rsid w:val="00BD10A1"/>
    <w:rsid w:val="00BD1136"/>
    <w:rsid w:val="00BD1575"/>
    <w:rsid w:val="00BD173F"/>
    <w:rsid w:val="00BD1B51"/>
    <w:rsid w:val="00BD1B5A"/>
    <w:rsid w:val="00BD2FF0"/>
    <w:rsid w:val="00BD43F4"/>
    <w:rsid w:val="00BD4596"/>
    <w:rsid w:val="00BD4922"/>
    <w:rsid w:val="00BD4D6C"/>
    <w:rsid w:val="00BD5385"/>
    <w:rsid w:val="00BD5484"/>
    <w:rsid w:val="00BD6734"/>
    <w:rsid w:val="00BD6DB9"/>
    <w:rsid w:val="00BE0682"/>
    <w:rsid w:val="00BE0D84"/>
    <w:rsid w:val="00BE1405"/>
    <w:rsid w:val="00BE16D8"/>
    <w:rsid w:val="00BE186D"/>
    <w:rsid w:val="00BE1AC6"/>
    <w:rsid w:val="00BE1E52"/>
    <w:rsid w:val="00BE312D"/>
    <w:rsid w:val="00BE3ADF"/>
    <w:rsid w:val="00BE3E0A"/>
    <w:rsid w:val="00BE4359"/>
    <w:rsid w:val="00BE4BF4"/>
    <w:rsid w:val="00BE5411"/>
    <w:rsid w:val="00BE6476"/>
    <w:rsid w:val="00BE763B"/>
    <w:rsid w:val="00BE7A70"/>
    <w:rsid w:val="00BF0132"/>
    <w:rsid w:val="00BF0419"/>
    <w:rsid w:val="00BF1317"/>
    <w:rsid w:val="00BF1662"/>
    <w:rsid w:val="00BF1C20"/>
    <w:rsid w:val="00BF2101"/>
    <w:rsid w:val="00BF2127"/>
    <w:rsid w:val="00BF2DC8"/>
    <w:rsid w:val="00BF2EC8"/>
    <w:rsid w:val="00BF33BC"/>
    <w:rsid w:val="00BF4144"/>
    <w:rsid w:val="00BF52B4"/>
    <w:rsid w:val="00BF747E"/>
    <w:rsid w:val="00BF7606"/>
    <w:rsid w:val="00C000A4"/>
    <w:rsid w:val="00C00697"/>
    <w:rsid w:val="00C008B1"/>
    <w:rsid w:val="00C0090B"/>
    <w:rsid w:val="00C010D8"/>
    <w:rsid w:val="00C017AE"/>
    <w:rsid w:val="00C01B51"/>
    <w:rsid w:val="00C01CA0"/>
    <w:rsid w:val="00C024D0"/>
    <w:rsid w:val="00C037F4"/>
    <w:rsid w:val="00C045B6"/>
    <w:rsid w:val="00C04ECC"/>
    <w:rsid w:val="00C0505F"/>
    <w:rsid w:val="00C07873"/>
    <w:rsid w:val="00C10578"/>
    <w:rsid w:val="00C10F2C"/>
    <w:rsid w:val="00C115AD"/>
    <w:rsid w:val="00C1161A"/>
    <w:rsid w:val="00C1191F"/>
    <w:rsid w:val="00C1246E"/>
    <w:rsid w:val="00C12655"/>
    <w:rsid w:val="00C1265E"/>
    <w:rsid w:val="00C135BC"/>
    <w:rsid w:val="00C14340"/>
    <w:rsid w:val="00C146F0"/>
    <w:rsid w:val="00C14A4E"/>
    <w:rsid w:val="00C150B3"/>
    <w:rsid w:val="00C150F2"/>
    <w:rsid w:val="00C15364"/>
    <w:rsid w:val="00C15B34"/>
    <w:rsid w:val="00C15C95"/>
    <w:rsid w:val="00C16292"/>
    <w:rsid w:val="00C171AF"/>
    <w:rsid w:val="00C176F9"/>
    <w:rsid w:val="00C17C55"/>
    <w:rsid w:val="00C20EFB"/>
    <w:rsid w:val="00C2210F"/>
    <w:rsid w:val="00C2318A"/>
    <w:rsid w:val="00C2596A"/>
    <w:rsid w:val="00C26222"/>
    <w:rsid w:val="00C2636D"/>
    <w:rsid w:val="00C265B2"/>
    <w:rsid w:val="00C266A1"/>
    <w:rsid w:val="00C26B06"/>
    <w:rsid w:val="00C2727D"/>
    <w:rsid w:val="00C27537"/>
    <w:rsid w:val="00C279A9"/>
    <w:rsid w:val="00C30784"/>
    <w:rsid w:val="00C31626"/>
    <w:rsid w:val="00C3173E"/>
    <w:rsid w:val="00C32726"/>
    <w:rsid w:val="00C328AB"/>
    <w:rsid w:val="00C328FE"/>
    <w:rsid w:val="00C33507"/>
    <w:rsid w:val="00C3415D"/>
    <w:rsid w:val="00C37292"/>
    <w:rsid w:val="00C37495"/>
    <w:rsid w:val="00C3750E"/>
    <w:rsid w:val="00C37D8E"/>
    <w:rsid w:val="00C40D4B"/>
    <w:rsid w:val="00C421A0"/>
    <w:rsid w:val="00C42233"/>
    <w:rsid w:val="00C43589"/>
    <w:rsid w:val="00C4409D"/>
    <w:rsid w:val="00C44B1C"/>
    <w:rsid w:val="00C44D7F"/>
    <w:rsid w:val="00C44E72"/>
    <w:rsid w:val="00C45A06"/>
    <w:rsid w:val="00C465F5"/>
    <w:rsid w:val="00C46D07"/>
    <w:rsid w:val="00C46F14"/>
    <w:rsid w:val="00C47E5B"/>
    <w:rsid w:val="00C50D55"/>
    <w:rsid w:val="00C51412"/>
    <w:rsid w:val="00C51AA6"/>
    <w:rsid w:val="00C53334"/>
    <w:rsid w:val="00C5337A"/>
    <w:rsid w:val="00C53EE0"/>
    <w:rsid w:val="00C5509F"/>
    <w:rsid w:val="00C55250"/>
    <w:rsid w:val="00C55CB8"/>
    <w:rsid w:val="00C56377"/>
    <w:rsid w:val="00C5659F"/>
    <w:rsid w:val="00C56867"/>
    <w:rsid w:val="00C56F21"/>
    <w:rsid w:val="00C573A9"/>
    <w:rsid w:val="00C57B16"/>
    <w:rsid w:val="00C6078C"/>
    <w:rsid w:val="00C619F5"/>
    <w:rsid w:val="00C61E4B"/>
    <w:rsid w:val="00C61E8E"/>
    <w:rsid w:val="00C62941"/>
    <w:rsid w:val="00C62E64"/>
    <w:rsid w:val="00C63F67"/>
    <w:rsid w:val="00C64BFF"/>
    <w:rsid w:val="00C6514B"/>
    <w:rsid w:val="00C65321"/>
    <w:rsid w:val="00C66D72"/>
    <w:rsid w:val="00C67881"/>
    <w:rsid w:val="00C70403"/>
    <w:rsid w:val="00C704E9"/>
    <w:rsid w:val="00C706F2"/>
    <w:rsid w:val="00C70F82"/>
    <w:rsid w:val="00C719C8"/>
    <w:rsid w:val="00C71A8F"/>
    <w:rsid w:val="00C71C64"/>
    <w:rsid w:val="00C73224"/>
    <w:rsid w:val="00C73B1B"/>
    <w:rsid w:val="00C73B35"/>
    <w:rsid w:val="00C74F12"/>
    <w:rsid w:val="00C74F78"/>
    <w:rsid w:val="00C756DF"/>
    <w:rsid w:val="00C75C68"/>
    <w:rsid w:val="00C76276"/>
    <w:rsid w:val="00C763C9"/>
    <w:rsid w:val="00C771BB"/>
    <w:rsid w:val="00C772D1"/>
    <w:rsid w:val="00C80057"/>
    <w:rsid w:val="00C8074C"/>
    <w:rsid w:val="00C811A2"/>
    <w:rsid w:val="00C820A3"/>
    <w:rsid w:val="00C82232"/>
    <w:rsid w:val="00C8231B"/>
    <w:rsid w:val="00C823CC"/>
    <w:rsid w:val="00C82913"/>
    <w:rsid w:val="00C82954"/>
    <w:rsid w:val="00C829FF"/>
    <w:rsid w:val="00C82F74"/>
    <w:rsid w:val="00C8342D"/>
    <w:rsid w:val="00C8383E"/>
    <w:rsid w:val="00C83AFB"/>
    <w:rsid w:val="00C83EB0"/>
    <w:rsid w:val="00C841C8"/>
    <w:rsid w:val="00C844FF"/>
    <w:rsid w:val="00C84948"/>
    <w:rsid w:val="00C84F22"/>
    <w:rsid w:val="00C850D9"/>
    <w:rsid w:val="00C85414"/>
    <w:rsid w:val="00C85B93"/>
    <w:rsid w:val="00C8649F"/>
    <w:rsid w:val="00C86687"/>
    <w:rsid w:val="00C86E24"/>
    <w:rsid w:val="00C86EA7"/>
    <w:rsid w:val="00C87895"/>
    <w:rsid w:val="00C87B63"/>
    <w:rsid w:val="00C92031"/>
    <w:rsid w:val="00C92183"/>
    <w:rsid w:val="00C927B2"/>
    <w:rsid w:val="00C92A92"/>
    <w:rsid w:val="00C932EC"/>
    <w:rsid w:val="00C93433"/>
    <w:rsid w:val="00C941C4"/>
    <w:rsid w:val="00C94AC9"/>
    <w:rsid w:val="00C94EDC"/>
    <w:rsid w:val="00C957F7"/>
    <w:rsid w:val="00C972B1"/>
    <w:rsid w:val="00C97AD4"/>
    <w:rsid w:val="00C97EE3"/>
    <w:rsid w:val="00CA0520"/>
    <w:rsid w:val="00CA0732"/>
    <w:rsid w:val="00CA0836"/>
    <w:rsid w:val="00CA0ACD"/>
    <w:rsid w:val="00CA0B21"/>
    <w:rsid w:val="00CA1AE0"/>
    <w:rsid w:val="00CA281E"/>
    <w:rsid w:val="00CA2CCE"/>
    <w:rsid w:val="00CA2EFA"/>
    <w:rsid w:val="00CA363A"/>
    <w:rsid w:val="00CA397A"/>
    <w:rsid w:val="00CA43FD"/>
    <w:rsid w:val="00CA57B9"/>
    <w:rsid w:val="00CA5BD5"/>
    <w:rsid w:val="00CA5FD3"/>
    <w:rsid w:val="00CA6684"/>
    <w:rsid w:val="00CA6C23"/>
    <w:rsid w:val="00CA6D33"/>
    <w:rsid w:val="00CA7362"/>
    <w:rsid w:val="00CA7811"/>
    <w:rsid w:val="00CA7853"/>
    <w:rsid w:val="00CA7A5B"/>
    <w:rsid w:val="00CA7EF8"/>
    <w:rsid w:val="00CB09AE"/>
    <w:rsid w:val="00CB1969"/>
    <w:rsid w:val="00CB2542"/>
    <w:rsid w:val="00CB366E"/>
    <w:rsid w:val="00CB4DEA"/>
    <w:rsid w:val="00CB5DB4"/>
    <w:rsid w:val="00CB648B"/>
    <w:rsid w:val="00CB687D"/>
    <w:rsid w:val="00CB6DE2"/>
    <w:rsid w:val="00CB7150"/>
    <w:rsid w:val="00CB72C3"/>
    <w:rsid w:val="00CB7366"/>
    <w:rsid w:val="00CB7544"/>
    <w:rsid w:val="00CC02B8"/>
    <w:rsid w:val="00CC0A61"/>
    <w:rsid w:val="00CC0AC5"/>
    <w:rsid w:val="00CC0E74"/>
    <w:rsid w:val="00CC0FB2"/>
    <w:rsid w:val="00CC1268"/>
    <w:rsid w:val="00CC1B43"/>
    <w:rsid w:val="00CC23B8"/>
    <w:rsid w:val="00CC255F"/>
    <w:rsid w:val="00CC3783"/>
    <w:rsid w:val="00CC3D5B"/>
    <w:rsid w:val="00CC489B"/>
    <w:rsid w:val="00CC4926"/>
    <w:rsid w:val="00CC55B8"/>
    <w:rsid w:val="00CC5F9A"/>
    <w:rsid w:val="00CC61D5"/>
    <w:rsid w:val="00CC706F"/>
    <w:rsid w:val="00CC7EA2"/>
    <w:rsid w:val="00CD046A"/>
    <w:rsid w:val="00CD0C69"/>
    <w:rsid w:val="00CD0F4C"/>
    <w:rsid w:val="00CD10FE"/>
    <w:rsid w:val="00CD119D"/>
    <w:rsid w:val="00CD1254"/>
    <w:rsid w:val="00CD2BCD"/>
    <w:rsid w:val="00CD2F09"/>
    <w:rsid w:val="00CD3177"/>
    <w:rsid w:val="00CD3A4C"/>
    <w:rsid w:val="00CD4B0C"/>
    <w:rsid w:val="00CD4D1D"/>
    <w:rsid w:val="00CD58F2"/>
    <w:rsid w:val="00CD6244"/>
    <w:rsid w:val="00CD6528"/>
    <w:rsid w:val="00CD6607"/>
    <w:rsid w:val="00CD729C"/>
    <w:rsid w:val="00CD7A5C"/>
    <w:rsid w:val="00CE010D"/>
    <w:rsid w:val="00CE0542"/>
    <w:rsid w:val="00CE10E9"/>
    <w:rsid w:val="00CE120A"/>
    <w:rsid w:val="00CE1E0E"/>
    <w:rsid w:val="00CE2899"/>
    <w:rsid w:val="00CE2910"/>
    <w:rsid w:val="00CE3761"/>
    <w:rsid w:val="00CE3C09"/>
    <w:rsid w:val="00CE3D78"/>
    <w:rsid w:val="00CE3D95"/>
    <w:rsid w:val="00CE4189"/>
    <w:rsid w:val="00CE5267"/>
    <w:rsid w:val="00CE52CF"/>
    <w:rsid w:val="00CE5393"/>
    <w:rsid w:val="00CE5B4E"/>
    <w:rsid w:val="00CE5EFE"/>
    <w:rsid w:val="00CE6025"/>
    <w:rsid w:val="00CE6545"/>
    <w:rsid w:val="00CE70F2"/>
    <w:rsid w:val="00CE7235"/>
    <w:rsid w:val="00CE73C5"/>
    <w:rsid w:val="00CE74E6"/>
    <w:rsid w:val="00CE7CD3"/>
    <w:rsid w:val="00CF1245"/>
    <w:rsid w:val="00CF1252"/>
    <w:rsid w:val="00CF167E"/>
    <w:rsid w:val="00CF18E3"/>
    <w:rsid w:val="00CF1CDD"/>
    <w:rsid w:val="00CF1F26"/>
    <w:rsid w:val="00CF36BE"/>
    <w:rsid w:val="00CF39AC"/>
    <w:rsid w:val="00CF6000"/>
    <w:rsid w:val="00CF60ED"/>
    <w:rsid w:val="00CF644B"/>
    <w:rsid w:val="00CF69AD"/>
    <w:rsid w:val="00CF6E07"/>
    <w:rsid w:val="00CF7669"/>
    <w:rsid w:val="00CF77BA"/>
    <w:rsid w:val="00CF7D26"/>
    <w:rsid w:val="00D00102"/>
    <w:rsid w:val="00D003F3"/>
    <w:rsid w:val="00D00481"/>
    <w:rsid w:val="00D005AD"/>
    <w:rsid w:val="00D00EF4"/>
    <w:rsid w:val="00D01B3E"/>
    <w:rsid w:val="00D01DAC"/>
    <w:rsid w:val="00D01E7C"/>
    <w:rsid w:val="00D01F74"/>
    <w:rsid w:val="00D021A7"/>
    <w:rsid w:val="00D02336"/>
    <w:rsid w:val="00D0364F"/>
    <w:rsid w:val="00D03899"/>
    <w:rsid w:val="00D038D4"/>
    <w:rsid w:val="00D03FA8"/>
    <w:rsid w:val="00D04A04"/>
    <w:rsid w:val="00D04D22"/>
    <w:rsid w:val="00D052FF"/>
    <w:rsid w:val="00D06834"/>
    <w:rsid w:val="00D068AA"/>
    <w:rsid w:val="00D06C98"/>
    <w:rsid w:val="00D07CD1"/>
    <w:rsid w:val="00D07D59"/>
    <w:rsid w:val="00D10842"/>
    <w:rsid w:val="00D10F2E"/>
    <w:rsid w:val="00D11358"/>
    <w:rsid w:val="00D11AB5"/>
    <w:rsid w:val="00D11AEE"/>
    <w:rsid w:val="00D1274F"/>
    <w:rsid w:val="00D1281A"/>
    <w:rsid w:val="00D13769"/>
    <w:rsid w:val="00D14081"/>
    <w:rsid w:val="00D147E1"/>
    <w:rsid w:val="00D15552"/>
    <w:rsid w:val="00D16AFC"/>
    <w:rsid w:val="00D16D16"/>
    <w:rsid w:val="00D21564"/>
    <w:rsid w:val="00D217F0"/>
    <w:rsid w:val="00D21A2E"/>
    <w:rsid w:val="00D2283E"/>
    <w:rsid w:val="00D2302A"/>
    <w:rsid w:val="00D2401C"/>
    <w:rsid w:val="00D242D4"/>
    <w:rsid w:val="00D24DE5"/>
    <w:rsid w:val="00D25717"/>
    <w:rsid w:val="00D25728"/>
    <w:rsid w:val="00D25E43"/>
    <w:rsid w:val="00D25F08"/>
    <w:rsid w:val="00D25F65"/>
    <w:rsid w:val="00D265B3"/>
    <w:rsid w:val="00D26C01"/>
    <w:rsid w:val="00D301B4"/>
    <w:rsid w:val="00D308ED"/>
    <w:rsid w:val="00D30EC5"/>
    <w:rsid w:val="00D335C1"/>
    <w:rsid w:val="00D340FC"/>
    <w:rsid w:val="00D343DD"/>
    <w:rsid w:val="00D34776"/>
    <w:rsid w:val="00D34CB7"/>
    <w:rsid w:val="00D350A5"/>
    <w:rsid w:val="00D352CB"/>
    <w:rsid w:val="00D35AF5"/>
    <w:rsid w:val="00D363FA"/>
    <w:rsid w:val="00D36D86"/>
    <w:rsid w:val="00D371D5"/>
    <w:rsid w:val="00D37302"/>
    <w:rsid w:val="00D37664"/>
    <w:rsid w:val="00D412A2"/>
    <w:rsid w:val="00D421D3"/>
    <w:rsid w:val="00D42394"/>
    <w:rsid w:val="00D428AA"/>
    <w:rsid w:val="00D43B69"/>
    <w:rsid w:val="00D4445A"/>
    <w:rsid w:val="00D4489F"/>
    <w:rsid w:val="00D458CA"/>
    <w:rsid w:val="00D45FFF"/>
    <w:rsid w:val="00D4600E"/>
    <w:rsid w:val="00D46F54"/>
    <w:rsid w:val="00D477A4"/>
    <w:rsid w:val="00D47A57"/>
    <w:rsid w:val="00D47D56"/>
    <w:rsid w:val="00D47EAE"/>
    <w:rsid w:val="00D50A34"/>
    <w:rsid w:val="00D50AC2"/>
    <w:rsid w:val="00D5294B"/>
    <w:rsid w:val="00D52EBA"/>
    <w:rsid w:val="00D53274"/>
    <w:rsid w:val="00D53905"/>
    <w:rsid w:val="00D53EFA"/>
    <w:rsid w:val="00D544BD"/>
    <w:rsid w:val="00D54830"/>
    <w:rsid w:val="00D55288"/>
    <w:rsid w:val="00D55757"/>
    <w:rsid w:val="00D55915"/>
    <w:rsid w:val="00D5694F"/>
    <w:rsid w:val="00D60B28"/>
    <w:rsid w:val="00D61840"/>
    <w:rsid w:val="00D61CC5"/>
    <w:rsid w:val="00D62F25"/>
    <w:rsid w:val="00D6346F"/>
    <w:rsid w:val="00D63E80"/>
    <w:rsid w:val="00D64040"/>
    <w:rsid w:val="00D64938"/>
    <w:rsid w:val="00D64AC1"/>
    <w:rsid w:val="00D6586F"/>
    <w:rsid w:val="00D6589B"/>
    <w:rsid w:val="00D659D1"/>
    <w:rsid w:val="00D66B89"/>
    <w:rsid w:val="00D66CDD"/>
    <w:rsid w:val="00D67BBE"/>
    <w:rsid w:val="00D70563"/>
    <w:rsid w:val="00D707AE"/>
    <w:rsid w:val="00D70F58"/>
    <w:rsid w:val="00D71164"/>
    <w:rsid w:val="00D716A3"/>
    <w:rsid w:val="00D7198A"/>
    <w:rsid w:val="00D731F1"/>
    <w:rsid w:val="00D734AC"/>
    <w:rsid w:val="00D73C9D"/>
    <w:rsid w:val="00D74A83"/>
    <w:rsid w:val="00D75946"/>
    <w:rsid w:val="00D7710D"/>
    <w:rsid w:val="00D77F90"/>
    <w:rsid w:val="00D80A92"/>
    <w:rsid w:val="00D80DBE"/>
    <w:rsid w:val="00D8230F"/>
    <w:rsid w:val="00D82572"/>
    <w:rsid w:val="00D82684"/>
    <w:rsid w:val="00D82E62"/>
    <w:rsid w:val="00D84AE9"/>
    <w:rsid w:val="00D851ED"/>
    <w:rsid w:val="00D855A7"/>
    <w:rsid w:val="00D85C83"/>
    <w:rsid w:val="00D860CA"/>
    <w:rsid w:val="00D87258"/>
    <w:rsid w:val="00D8753D"/>
    <w:rsid w:val="00D877F7"/>
    <w:rsid w:val="00D87F5B"/>
    <w:rsid w:val="00D902B9"/>
    <w:rsid w:val="00D904F8"/>
    <w:rsid w:val="00D908D5"/>
    <w:rsid w:val="00D91514"/>
    <w:rsid w:val="00D91623"/>
    <w:rsid w:val="00D9171B"/>
    <w:rsid w:val="00D91740"/>
    <w:rsid w:val="00D918F6"/>
    <w:rsid w:val="00D91956"/>
    <w:rsid w:val="00D92252"/>
    <w:rsid w:val="00D927A5"/>
    <w:rsid w:val="00D928D4"/>
    <w:rsid w:val="00D92B90"/>
    <w:rsid w:val="00D92F4A"/>
    <w:rsid w:val="00D936E8"/>
    <w:rsid w:val="00D93D30"/>
    <w:rsid w:val="00D93D7E"/>
    <w:rsid w:val="00D93F0E"/>
    <w:rsid w:val="00D93F67"/>
    <w:rsid w:val="00D94A7C"/>
    <w:rsid w:val="00D95896"/>
    <w:rsid w:val="00D95CAB"/>
    <w:rsid w:val="00D962AB"/>
    <w:rsid w:val="00D967F3"/>
    <w:rsid w:val="00D96817"/>
    <w:rsid w:val="00D96AE1"/>
    <w:rsid w:val="00D96B89"/>
    <w:rsid w:val="00D96CA4"/>
    <w:rsid w:val="00D97211"/>
    <w:rsid w:val="00DA094F"/>
    <w:rsid w:val="00DA0E65"/>
    <w:rsid w:val="00DA0FA5"/>
    <w:rsid w:val="00DA2684"/>
    <w:rsid w:val="00DA2743"/>
    <w:rsid w:val="00DA299D"/>
    <w:rsid w:val="00DA2E0A"/>
    <w:rsid w:val="00DA32C8"/>
    <w:rsid w:val="00DA3AFE"/>
    <w:rsid w:val="00DA3E02"/>
    <w:rsid w:val="00DA45C0"/>
    <w:rsid w:val="00DA5D73"/>
    <w:rsid w:val="00DA666E"/>
    <w:rsid w:val="00DA7240"/>
    <w:rsid w:val="00DA750F"/>
    <w:rsid w:val="00DA7DFF"/>
    <w:rsid w:val="00DB0A11"/>
    <w:rsid w:val="00DB12C3"/>
    <w:rsid w:val="00DB1B0A"/>
    <w:rsid w:val="00DB2983"/>
    <w:rsid w:val="00DB7C98"/>
    <w:rsid w:val="00DC0002"/>
    <w:rsid w:val="00DC0384"/>
    <w:rsid w:val="00DC1257"/>
    <w:rsid w:val="00DC1D37"/>
    <w:rsid w:val="00DC2459"/>
    <w:rsid w:val="00DC25A9"/>
    <w:rsid w:val="00DC3946"/>
    <w:rsid w:val="00DC3DC0"/>
    <w:rsid w:val="00DC450B"/>
    <w:rsid w:val="00DC5B2B"/>
    <w:rsid w:val="00DC63FF"/>
    <w:rsid w:val="00DC64BD"/>
    <w:rsid w:val="00DC668B"/>
    <w:rsid w:val="00DC69C8"/>
    <w:rsid w:val="00DD01DD"/>
    <w:rsid w:val="00DD027E"/>
    <w:rsid w:val="00DD03A7"/>
    <w:rsid w:val="00DD0A63"/>
    <w:rsid w:val="00DD1681"/>
    <w:rsid w:val="00DD21AC"/>
    <w:rsid w:val="00DD21ED"/>
    <w:rsid w:val="00DD318D"/>
    <w:rsid w:val="00DD377A"/>
    <w:rsid w:val="00DD3E20"/>
    <w:rsid w:val="00DD4D32"/>
    <w:rsid w:val="00DD4FF6"/>
    <w:rsid w:val="00DD5322"/>
    <w:rsid w:val="00DD5368"/>
    <w:rsid w:val="00DD6156"/>
    <w:rsid w:val="00DD639C"/>
    <w:rsid w:val="00DD6F1B"/>
    <w:rsid w:val="00DD722C"/>
    <w:rsid w:val="00DD7C41"/>
    <w:rsid w:val="00DE03F2"/>
    <w:rsid w:val="00DE1762"/>
    <w:rsid w:val="00DE2310"/>
    <w:rsid w:val="00DE4141"/>
    <w:rsid w:val="00DE444E"/>
    <w:rsid w:val="00DE4A08"/>
    <w:rsid w:val="00DE4E9C"/>
    <w:rsid w:val="00DE5298"/>
    <w:rsid w:val="00DE5EA3"/>
    <w:rsid w:val="00DE73F1"/>
    <w:rsid w:val="00DF0E65"/>
    <w:rsid w:val="00DF1631"/>
    <w:rsid w:val="00DF169C"/>
    <w:rsid w:val="00DF1ABA"/>
    <w:rsid w:val="00DF1B5A"/>
    <w:rsid w:val="00DF1F7C"/>
    <w:rsid w:val="00DF209B"/>
    <w:rsid w:val="00DF2E12"/>
    <w:rsid w:val="00DF3C55"/>
    <w:rsid w:val="00DF3F93"/>
    <w:rsid w:val="00DF4893"/>
    <w:rsid w:val="00DF4EB2"/>
    <w:rsid w:val="00DF514A"/>
    <w:rsid w:val="00DF6115"/>
    <w:rsid w:val="00DF626A"/>
    <w:rsid w:val="00DF639E"/>
    <w:rsid w:val="00DF6690"/>
    <w:rsid w:val="00DF6804"/>
    <w:rsid w:val="00DF6CE8"/>
    <w:rsid w:val="00DF719D"/>
    <w:rsid w:val="00DF7499"/>
    <w:rsid w:val="00DF7D13"/>
    <w:rsid w:val="00E00120"/>
    <w:rsid w:val="00E001F8"/>
    <w:rsid w:val="00E00201"/>
    <w:rsid w:val="00E004F6"/>
    <w:rsid w:val="00E009FF"/>
    <w:rsid w:val="00E0195F"/>
    <w:rsid w:val="00E01C35"/>
    <w:rsid w:val="00E02765"/>
    <w:rsid w:val="00E02913"/>
    <w:rsid w:val="00E030BE"/>
    <w:rsid w:val="00E0358D"/>
    <w:rsid w:val="00E04323"/>
    <w:rsid w:val="00E045AC"/>
    <w:rsid w:val="00E04C7C"/>
    <w:rsid w:val="00E04DB1"/>
    <w:rsid w:val="00E05163"/>
    <w:rsid w:val="00E058BA"/>
    <w:rsid w:val="00E06AA8"/>
    <w:rsid w:val="00E06C93"/>
    <w:rsid w:val="00E06D75"/>
    <w:rsid w:val="00E06F52"/>
    <w:rsid w:val="00E070A2"/>
    <w:rsid w:val="00E072EF"/>
    <w:rsid w:val="00E077A4"/>
    <w:rsid w:val="00E10691"/>
    <w:rsid w:val="00E11EE4"/>
    <w:rsid w:val="00E121A2"/>
    <w:rsid w:val="00E123D8"/>
    <w:rsid w:val="00E127F5"/>
    <w:rsid w:val="00E12811"/>
    <w:rsid w:val="00E129AA"/>
    <w:rsid w:val="00E12ECE"/>
    <w:rsid w:val="00E132A1"/>
    <w:rsid w:val="00E13535"/>
    <w:rsid w:val="00E13A18"/>
    <w:rsid w:val="00E13BF2"/>
    <w:rsid w:val="00E14B07"/>
    <w:rsid w:val="00E15889"/>
    <w:rsid w:val="00E15FCC"/>
    <w:rsid w:val="00E169D8"/>
    <w:rsid w:val="00E16FB3"/>
    <w:rsid w:val="00E1715E"/>
    <w:rsid w:val="00E17493"/>
    <w:rsid w:val="00E176AE"/>
    <w:rsid w:val="00E17887"/>
    <w:rsid w:val="00E179F0"/>
    <w:rsid w:val="00E201BC"/>
    <w:rsid w:val="00E20770"/>
    <w:rsid w:val="00E211CE"/>
    <w:rsid w:val="00E21252"/>
    <w:rsid w:val="00E21409"/>
    <w:rsid w:val="00E21499"/>
    <w:rsid w:val="00E221FF"/>
    <w:rsid w:val="00E235DB"/>
    <w:rsid w:val="00E236A6"/>
    <w:rsid w:val="00E24DF1"/>
    <w:rsid w:val="00E25609"/>
    <w:rsid w:val="00E25A27"/>
    <w:rsid w:val="00E2656A"/>
    <w:rsid w:val="00E26713"/>
    <w:rsid w:val="00E26CDB"/>
    <w:rsid w:val="00E27FF6"/>
    <w:rsid w:val="00E301A5"/>
    <w:rsid w:val="00E3108D"/>
    <w:rsid w:val="00E31216"/>
    <w:rsid w:val="00E31598"/>
    <w:rsid w:val="00E319F5"/>
    <w:rsid w:val="00E32293"/>
    <w:rsid w:val="00E32F66"/>
    <w:rsid w:val="00E331C5"/>
    <w:rsid w:val="00E3396A"/>
    <w:rsid w:val="00E33D77"/>
    <w:rsid w:val="00E340FA"/>
    <w:rsid w:val="00E34AD5"/>
    <w:rsid w:val="00E352EB"/>
    <w:rsid w:val="00E35359"/>
    <w:rsid w:val="00E35512"/>
    <w:rsid w:val="00E35551"/>
    <w:rsid w:val="00E36951"/>
    <w:rsid w:val="00E36A72"/>
    <w:rsid w:val="00E36A9A"/>
    <w:rsid w:val="00E36ED3"/>
    <w:rsid w:val="00E36FAC"/>
    <w:rsid w:val="00E37B43"/>
    <w:rsid w:val="00E37BD9"/>
    <w:rsid w:val="00E40276"/>
    <w:rsid w:val="00E40575"/>
    <w:rsid w:val="00E4083C"/>
    <w:rsid w:val="00E40A18"/>
    <w:rsid w:val="00E412D0"/>
    <w:rsid w:val="00E41A14"/>
    <w:rsid w:val="00E41C80"/>
    <w:rsid w:val="00E4253E"/>
    <w:rsid w:val="00E43B1A"/>
    <w:rsid w:val="00E44875"/>
    <w:rsid w:val="00E468EE"/>
    <w:rsid w:val="00E47487"/>
    <w:rsid w:val="00E47A25"/>
    <w:rsid w:val="00E47FBF"/>
    <w:rsid w:val="00E509A9"/>
    <w:rsid w:val="00E50DA8"/>
    <w:rsid w:val="00E51CAB"/>
    <w:rsid w:val="00E522CB"/>
    <w:rsid w:val="00E52C76"/>
    <w:rsid w:val="00E52E42"/>
    <w:rsid w:val="00E53513"/>
    <w:rsid w:val="00E53A71"/>
    <w:rsid w:val="00E53E1E"/>
    <w:rsid w:val="00E54200"/>
    <w:rsid w:val="00E5421C"/>
    <w:rsid w:val="00E55314"/>
    <w:rsid w:val="00E5611D"/>
    <w:rsid w:val="00E56322"/>
    <w:rsid w:val="00E569FE"/>
    <w:rsid w:val="00E56DCB"/>
    <w:rsid w:val="00E56E95"/>
    <w:rsid w:val="00E56EEB"/>
    <w:rsid w:val="00E5774E"/>
    <w:rsid w:val="00E60982"/>
    <w:rsid w:val="00E60DD1"/>
    <w:rsid w:val="00E61180"/>
    <w:rsid w:val="00E61305"/>
    <w:rsid w:val="00E61361"/>
    <w:rsid w:val="00E618E7"/>
    <w:rsid w:val="00E62C62"/>
    <w:rsid w:val="00E64448"/>
    <w:rsid w:val="00E64862"/>
    <w:rsid w:val="00E654C1"/>
    <w:rsid w:val="00E65D97"/>
    <w:rsid w:val="00E6609C"/>
    <w:rsid w:val="00E66457"/>
    <w:rsid w:val="00E67392"/>
    <w:rsid w:val="00E709C0"/>
    <w:rsid w:val="00E70E14"/>
    <w:rsid w:val="00E71093"/>
    <w:rsid w:val="00E7109C"/>
    <w:rsid w:val="00E719AF"/>
    <w:rsid w:val="00E72A5A"/>
    <w:rsid w:val="00E73354"/>
    <w:rsid w:val="00E73830"/>
    <w:rsid w:val="00E74688"/>
    <w:rsid w:val="00E74A2C"/>
    <w:rsid w:val="00E75C34"/>
    <w:rsid w:val="00E75E16"/>
    <w:rsid w:val="00E76D61"/>
    <w:rsid w:val="00E76E04"/>
    <w:rsid w:val="00E77485"/>
    <w:rsid w:val="00E77CB0"/>
    <w:rsid w:val="00E80C9D"/>
    <w:rsid w:val="00E81A9B"/>
    <w:rsid w:val="00E81FFC"/>
    <w:rsid w:val="00E828B5"/>
    <w:rsid w:val="00E830EF"/>
    <w:rsid w:val="00E834EE"/>
    <w:rsid w:val="00E83A30"/>
    <w:rsid w:val="00E83AE5"/>
    <w:rsid w:val="00E83FEE"/>
    <w:rsid w:val="00E854A7"/>
    <w:rsid w:val="00E870B1"/>
    <w:rsid w:val="00E874FB"/>
    <w:rsid w:val="00E87925"/>
    <w:rsid w:val="00E902F1"/>
    <w:rsid w:val="00E907BD"/>
    <w:rsid w:val="00E90EB9"/>
    <w:rsid w:val="00E91F28"/>
    <w:rsid w:val="00E9242D"/>
    <w:rsid w:val="00E92F5E"/>
    <w:rsid w:val="00E93BBC"/>
    <w:rsid w:val="00E93FB5"/>
    <w:rsid w:val="00E9404F"/>
    <w:rsid w:val="00E943CD"/>
    <w:rsid w:val="00E95295"/>
    <w:rsid w:val="00E95F14"/>
    <w:rsid w:val="00E96D8A"/>
    <w:rsid w:val="00E9715A"/>
    <w:rsid w:val="00E97C97"/>
    <w:rsid w:val="00EA01C9"/>
    <w:rsid w:val="00EA06B5"/>
    <w:rsid w:val="00EA06EC"/>
    <w:rsid w:val="00EA0D0B"/>
    <w:rsid w:val="00EA0D36"/>
    <w:rsid w:val="00EA11F6"/>
    <w:rsid w:val="00EA1FDD"/>
    <w:rsid w:val="00EA20C0"/>
    <w:rsid w:val="00EA241F"/>
    <w:rsid w:val="00EA2EE6"/>
    <w:rsid w:val="00EA3768"/>
    <w:rsid w:val="00EA42AB"/>
    <w:rsid w:val="00EA4583"/>
    <w:rsid w:val="00EA4B8C"/>
    <w:rsid w:val="00EA57B4"/>
    <w:rsid w:val="00EA5813"/>
    <w:rsid w:val="00EA5B5E"/>
    <w:rsid w:val="00EA62A1"/>
    <w:rsid w:val="00EA6603"/>
    <w:rsid w:val="00EA676C"/>
    <w:rsid w:val="00EA7471"/>
    <w:rsid w:val="00EB03EE"/>
    <w:rsid w:val="00EB0E9C"/>
    <w:rsid w:val="00EB22DE"/>
    <w:rsid w:val="00EB2446"/>
    <w:rsid w:val="00EB2A70"/>
    <w:rsid w:val="00EB400D"/>
    <w:rsid w:val="00EB40C2"/>
    <w:rsid w:val="00EB42FE"/>
    <w:rsid w:val="00EB441E"/>
    <w:rsid w:val="00EB47C6"/>
    <w:rsid w:val="00EB4A1B"/>
    <w:rsid w:val="00EB4A21"/>
    <w:rsid w:val="00EB4EF5"/>
    <w:rsid w:val="00EB5255"/>
    <w:rsid w:val="00EB596C"/>
    <w:rsid w:val="00EB5C47"/>
    <w:rsid w:val="00EB5FC3"/>
    <w:rsid w:val="00EB75B6"/>
    <w:rsid w:val="00EC0A7B"/>
    <w:rsid w:val="00EC0C25"/>
    <w:rsid w:val="00EC1540"/>
    <w:rsid w:val="00EC1ACB"/>
    <w:rsid w:val="00EC26A0"/>
    <w:rsid w:val="00EC43C5"/>
    <w:rsid w:val="00EC4943"/>
    <w:rsid w:val="00EC4C60"/>
    <w:rsid w:val="00EC5B4C"/>
    <w:rsid w:val="00EC5E4E"/>
    <w:rsid w:val="00EC72DB"/>
    <w:rsid w:val="00EC7798"/>
    <w:rsid w:val="00EC7A89"/>
    <w:rsid w:val="00ED027C"/>
    <w:rsid w:val="00ED0639"/>
    <w:rsid w:val="00ED0E25"/>
    <w:rsid w:val="00ED0F9D"/>
    <w:rsid w:val="00ED1106"/>
    <w:rsid w:val="00ED1946"/>
    <w:rsid w:val="00ED2408"/>
    <w:rsid w:val="00ED297E"/>
    <w:rsid w:val="00ED2C76"/>
    <w:rsid w:val="00ED3C64"/>
    <w:rsid w:val="00ED3CCA"/>
    <w:rsid w:val="00ED43DC"/>
    <w:rsid w:val="00ED4B18"/>
    <w:rsid w:val="00ED4FE6"/>
    <w:rsid w:val="00ED63C0"/>
    <w:rsid w:val="00ED69F6"/>
    <w:rsid w:val="00ED7EA4"/>
    <w:rsid w:val="00ED7F81"/>
    <w:rsid w:val="00EE04BE"/>
    <w:rsid w:val="00EE0BD4"/>
    <w:rsid w:val="00EE0E43"/>
    <w:rsid w:val="00EE0E66"/>
    <w:rsid w:val="00EE1B97"/>
    <w:rsid w:val="00EE2367"/>
    <w:rsid w:val="00EE4085"/>
    <w:rsid w:val="00EE4591"/>
    <w:rsid w:val="00EE57E0"/>
    <w:rsid w:val="00EE5BBF"/>
    <w:rsid w:val="00EE66CC"/>
    <w:rsid w:val="00EE69C9"/>
    <w:rsid w:val="00EE6FB4"/>
    <w:rsid w:val="00EE73D8"/>
    <w:rsid w:val="00EE76A9"/>
    <w:rsid w:val="00EF0BBB"/>
    <w:rsid w:val="00EF1152"/>
    <w:rsid w:val="00EF17E0"/>
    <w:rsid w:val="00EF1A7D"/>
    <w:rsid w:val="00EF1C70"/>
    <w:rsid w:val="00EF1D82"/>
    <w:rsid w:val="00EF202C"/>
    <w:rsid w:val="00EF2F48"/>
    <w:rsid w:val="00EF3191"/>
    <w:rsid w:val="00EF40CC"/>
    <w:rsid w:val="00EF46A1"/>
    <w:rsid w:val="00EF4755"/>
    <w:rsid w:val="00EF493C"/>
    <w:rsid w:val="00EF4AC0"/>
    <w:rsid w:val="00EF642E"/>
    <w:rsid w:val="00EF64A7"/>
    <w:rsid w:val="00EF7135"/>
    <w:rsid w:val="00EF7685"/>
    <w:rsid w:val="00EF7E67"/>
    <w:rsid w:val="00F006AA"/>
    <w:rsid w:val="00F01AA8"/>
    <w:rsid w:val="00F02010"/>
    <w:rsid w:val="00F023DE"/>
    <w:rsid w:val="00F027DB"/>
    <w:rsid w:val="00F03503"/>
    <w:rsid w:val="00F0425B"/>
    <w:rsid w:val="00F04C90"/>
    <w:rsid w:val="00F05F41"/>
    <w:rsid w:val="00F06069"/>
    <w:rsid w:val="00F060D7"/>
    <w:rsid w:val="00F061CC"/>
    <w:rsid w:val="00F064D1"/>
    <w:rsid w:val="00F06959"/>
    <w:rsid w:val="00F06DA7"/>
    <w:rsid w:val="00F06FB2"/>
    <w:rsid w:val="00F07012"/>
    <w:rsid w:val="00F078B2"/>
    <w:rsid w:val="00F10E54"/>
    <w:rsid w:val="00F11606"/>
    <w:rsid w:val="00F11C9E"/>
    <w:rsid w:val="00F11EB6"/>
    <w:rsid w:val="00F12FDF"/>
    <w:rsid w:val="00F1417C"/>
    <w:rsid w:val="00F1461C"/>
    <w:rsid w:val="00F14A7A"/>
    <w:rsid w:val="00F14B9C"/>
    <w:rsid w:val="00F14DB1"/>
    <w:rsid w:val="00F1593D"/>
    <w:rsid w:val="00F15CED"/>
    <w:rsid w:val="00F15D5B"/>
    <w:rsid w:val="00F160CE"/>
    <w:rsid w:val="00F16150"/>
    <w:rsid w:val="00F16692"/>
    <w:rsid w:val="00F17038"/>
    <w:rsid w:val="00F17629"/>
    <w:rsid w:val="00F20A85"/>
    <w:rsid w:val="00F21669"/>
    <w:rsid w:val="00F2202E"/>
    <w:rsid w:val="00F22469"/>
    <w:rsid w:val="00F22985"/>
    <w:rsid w:val="00F22B17"/>
    <w:rsid w:val="00F22BE4"/>
    <w:rsid w:val="00F23389"/>
    <w:rsid w:val="00F23B03"/>
    <w:rsid w:val="00F23F7E"/>
    <w:rsid w:val="00F243FC"/>
    <w:rsid w:val="00F2468C"/>
    <w:rsid w:val="00F25088"/>
    <w:rsid w:val="00F255D4"/>
    <w:rsid w:val="00F262A7"/>
    <w:rsid w:val="00F26714"/>
    <w:rsid w:val="00F26E7A"/>
    <w:rsid w:val="00F26F26"/>
    <w:rsid w:val="00F26F69"/>
    <w:rsid w:val="00F303BA"/>
    <w:rsid w:val="00F30B56"/>
    <w:rsid w:val="00F30E1F"/>
    <w:rsid w:val="00F31368"/>
    <w:rsid w:val="00F31459"/>
    <w:rsid w:val="00F325B7"/>
    <w:rsid w:val="00F328E1"/>
    <w:rsid w:val="00F33150"/>
    <w:rsid w:val="00F3319B"/>
    <w:rsid w:val="00F3383E"/>
    <w:rsid w:val="00F34276"/>
    <w:rsid w:val="00F34B5F"/>
    <w:rsid w:val="00F353FC"/>
    <w:rsid w:val="00F3586E"/>
    <w:rsid w:val="00F361D9"/>
    <w:rsid w:val="00F365B8"/>
    <w:rsid w:val="00F367F5"/>
    <w:rsid w:val="00F36BF7"/>
    <w:rsid w:val="00F36DAD"/>
    <w:rsid w:val="00F37DB7"/>
    <w:rsid w:val="00F4084E"/>
    <w:rsid w:val="00F40A47"/>
    <w:rsid w:val="00F40C0C"/>
    <w:rsid w:val="00F40F55"/>
    <w:rsid w:val="00F41757"/>
    <w:rsid w:val="00F41907"/>
    <w:rsid w:val="00F41C10"/>
    <w:rsid w:val="00F41D64"/>
    <w:rsid w:val="00F4225E"/>
    <w:rsid w:val="00F42CF5"/>
    <w:rsid w:val="00F43875"/>
    <w:rsid w:val="00F44217"/>
    <w:rsid w:val="00F44B1E"/>
    <w:rsid w:val="00F44D85"/>
    <w:rsid w:val="00F44EC2"/>
    <w:rsid w:val="00F4501F"/>
    <w:rsid w:val="00F45C20"/>
    <w:rsid w:val="00F465A7"/>
    <w:rsid w:val="00F46B77"/>
    <w:rsid w:val="00F5011C"/>
    <w:rsid w:val="00F50B7C"/>
    <w:rsid w:val="00F5135D"/>
    <w:rsid w:val="00F514D2"/>
    <w:rsid w:val="00F519CB"/>
    <w:rsid w:val="00F51E1A"/>
    <w:rsid w:val="00F5223A"/>
    <w:rsid w:val="00F52671"/>
    <w:rsid w:val="00F53766"/>
    <w:rsid w:val="00F53856"/>
    <w:rsid w:val="00F5398A"/>
    <w:rsid w:val="00F539F6"/>
    <w:rsid w:val="00F53C30"/>
    <w:rsid w:val="00F53D02"/>
    <w:rsid w:val="00F53FA2"/>
    <w:rsid w:val="00F541A2"/>
    <w:rsid w:val="00F547B3"/>
    <w:rsid w:val="00F54C6E"/>
    <w:rsid w:val="00F550E6"/>
    <w:rsid w:val="00F55240"/>
    <w:rsid w:val="00F557A3"/>
    <w:rsid w:val="00F557D7"/>
    <w:rsid w:val="00F57D67"/>
    <w:rsid w:val="00F57EF5"/>
    <w:rsid w:val="00F60501"/>
    <w:rsid w:val="00F60560"/>
    <w:rsid w:val="00F61FE2"/>
    <w:rsid w:val="00F6378A"/>
    <w:rsid w:val="00F639A1"/>
    <w:rsid w:val="00F64332"/>
    <w:rsid w:val="00F64C5E"/>
    <w:rsid w:val="00F64E07"/>
    <w:rsid w:val="00F64E72"/>
    <w:rsid w:val="00F65823"/>
    <w:rsid w:val="00F66367"/>
    <w:rsid w:val="00F66F38"/>
    <w:rsid w:val="00F6719C"/>
    <w:rsid w:val="00F67546"/>
    <w:rsid w:val="00F67EB8"/>
    <w:rsid w:val="00F67F30"/>
    <w:rsid w:val="00F67F64"/>
    <w:rsid w:val="00F70636"/>
    <w:rsid w:val="00F70AB8"/>
    <w:rsid w:val="00F70BFD"/>
    <w:rsid w:val="00F712E6"/>
    <w:rsid w:val="00F71DDA"/>
    <w:rsid w:val="00F72546"/>
    <w:rsid w:val="00F729D0"/>
    <w:rsid w:val="00F72F2E"/>
    <w:rsid w:val="00F7378D"/>
    <w:rsid w:val="00F73AA0"/>
    <w:rsid w:val="00F74345"/>
    <w:rsid w:val="00F74985"/>
    <w:rsid w:val="00F750A3"/>
    <w:rsid w:val="00F77520"/>
    <w:rsid w:val="00F77A63"/>
    <w:rsid w:val="00F80039"/>
    <w:rsid w:val="00F80982"/>
    <w:rsid w:val="00F80A0A"/>
    <w:rsid w:val="00F810C5"/>
    <w:rsid w:val="00F81924"/>
    <w:rsid w:val="00F8299C"/>
    <w:rsid w:val="00F82B19"/>
    <w:rsid w:val="00F82C82"/>
    <w:rsid w:val="00F838A4"/>
    <w:rsid w:val="00F84D84"/>
    <w:rsid w:val="00F84D8B"/>
    <w:rsid w:val="00F84F00"/>
    <w:rsid w:val="00F8502E"/>
    <w:rsid w:val="00F85413"/>
    <w:rsid w:val="00F85BE6"/>
    <w:rsid w:val="00F86DC1"/>
    <w:rsid w:val="00F86E1F"/>
    <w:rsid w:val="00F86F19"/>
    <w:rsid w:val="00F900C3"/>
    <w:rsid w:val="00F90429"/>
    <w:rsid w:val="00F906B7"/>
    <w:rsid w:val="00F9086D"/>
    <w:rsid w:val="00F90977"/>
    <w:rsid w:val="00F90CE1"/>
    <w:rsid w:val="00F919C9"/>
    <w:rsid w:val="00F9212D"/>
    <w:rsid w:val="00F926DD"/>
    <w:rsid w:val="00F93549"/>
    <w:rsid w:val="00F93E8E"/>
    <w:rsid w:val="00F94F61"/>
    <w:rsid w:val="00F965DA"/>
    <w:rsid w:val="00F96808"/>
    <w:rsid w:val="00F9710C"/>
    <w:rsid w:val="00F971DA"/>
    <w:rsid w:val="00F97BFA"/>
    <w:rsid w:val="00F97F8B"/>
    <w:rsid w:val="00FA068F"/>
    <w:rsid w:val="00FA1EE0"/>
    <w:rsid w:val="00FA21B6"/>
    <w:rsid w:val="00FA3B9F"/>
    <w:rsid w:val="00FA406A"/>
    <w:rsid w:val="00FA4EA6"/>
    <w:rsid w:val="00FA5081"/>
    <w:rsid w:val="00FA600E"/>
    <w:rsid w:val="00FA6637"/>
    <w:rsid w:val="00FA69D3"/>
    <w:rsid w:val="00FA7AD6"/>
    <w:rsid w:val="00FB0A23"/>
    <w:rsid w:val="00FB0FDD"/>
    <w:rsid w:val="00FB2857"/>
    <w:rsid w:val="00FB2928"/>
    <w:rsid w:val="00FB33EC"/>
    <w:rsid w:val="00FB4556"/>
    <w:rsid w:val="00FB503A"/>
    <w:rsid w:val="00FB516C"/>
    <w:rsid w:val="00FB51B1"/>
    <w:rsid w:val="00FB54CD"/>
    <w:rsid w:val="00FB597A"/>
    <w:rsid w:val="00FB63CB"/>
    <w:rsid w:val="00FB68E2"/>
    <w:rsid w:val="00FB7E09"/>
    <w:rsid w:val="00FC079B"/>
    <w:rsid w:val="00FC0B3E"/>
    <w:rsid w:val="00FC1121"/>
    <w:rsid w:val="00FC2C43"/>
    <w:rsid w:val="00FC353D"/>
    <w:rsid w:val="00FC3AD5"/>
    <w:rsid w:val="00FC3B13"/>
    <w:rsid w:val="00FC3FAB"/>
    <w:rsid w:val="00FC5400"/>
    <w:rsid w:val="00FC54EB"/>
    <w:rsid w:val="00FC5F07"/>
    <w:rsid w:val="00FC5FDE"/>
    <w:rsid w:val="00FC6EC7"/>
    <w:rsid w:val="00FC7FD9"/>
    <w:rsid w:val="00FD0236"/>
    <w:rsid w:val="00FD03E5"/>
    <w:rsid w:val="00FD18F4"/>
    <w:rsid w:val="00FD1C16"/>
    <w:rsid w:val="00FD1EE1"/>
    <w:rsid w:val="00FD1F70"/>
    <w:rsid w:val="00FD1F94"/>
    <w:rsid w:val="00FD2DE9"/>
    <w:rsid w:val="00FD3A7F"/>
    <w:rsid w:val="00FD3BA1"/>
    <w:rsid w:val="00FD3C88"/>
    <w:rsid w:val="00FD54DB"/>
    <w:rsid w:val="00FD5F26"/>
    <w:rsid w:val="00FD606E"/>
    <w:rsid w:val="00FD619F"/>
    <w:rsid w:val="00FD716E"/>
    <w:rsid w:val="00FD7A1C"/>
    <w:rsid w:val="00FD7EDD"/>
    <w:rsid w:val="00FE2243"/>
    <w:rsid w:val="00FE2AB0"/>
    <w:rsid w:val="00FE3D78"/>
    <w:rsid w:val="00FE487D"/>
    <w:rsid w:val="00FE564F"/>
    <w:rsid w:val="00FE5BD3"/>
    <w:rsid w:val="00FE5E30"/>
    <w:rsid w:val="00FE67E6"/>
    <w:rsid w:val="00FE6A6D"/>
    <w:rsid w:val="00FE6CAB"/>
    <w:rsid w:val="00FE6E3D"/>
    <w:rsid w:val="00FF03D4"/>
    <w:rsid w:val="00FF0556"/>
    <w:rsid w:val="00FF0C34"/>
    <w:rsid w:val="00FF0D01"/>
    <w:rsid w:val="00FF0D31"/>
    <w:rsid w:val="00FF18E9"/>
    <w:rsid w:val="00FF22FD"/>
    <w:rsid w:val="00FF246C"/>
    <w:rsid w:val="00FF257F"/>
    <w:rsid w:val="00FF3008"/>
    <w:rsid w:val="00FF3A95"/>
    <w:rsid w:val="00FF3B09"/>
    <w:rsid w:val="00FF3ECE"/>
    <w:rsid w:val="00FF43A3"/>
    <w:rsid w:val="00FF5C35"/>
    <w:rsid w:val="00FF5F66"/>
    <w:rsid w:val="00FF6421"/>
    <w:rsid w:val="00FF6709"/>
    <w:rsid w:val="00FF6DAB"/>
    <w:rsid w:val="00FF715D"/>
    <w:rsid w:val="00FF7CFE"/>
    <w:rsid w:val="01290F7E"/>
    <w:rsid w:val="015D1E09"/>
    <w:rsid w:val="02697903"/>
    <w:rsid w:val="02F96569"/>
    <w:rsid w:val="03A2514E"/>
    <w:rsid w:val="03EA7B21"/>
    <w:rsid w:val="05F83EAE"/>
    <w:rsid w:val="063E7D85"/>
    <w:rsid w:val="07293586"/>
    <w:rsid w:val="07295285"/>
    <w:rsid w:val="07636392"/>
    <w:rsid w:val="07770C56"/>
    <w:rsid w:val="092217DD"/>
    <w:rsid w:val="093A7294"/>
    <w:rsid w:val="0A263993"/>
    <w:rsid w:val="0A2D3AC2"/>
    <w:rsid w:val="0AA755DF"/>
    <w:rsid w:val="0B120D44"/>
    <w:rsid w:val="0BD27BF6"/>
    <w:rsid w:val="0C3B3C7D"/>
    <w:rsid w:val="0CAB2EAE"/>
    <w:rsid w:val="0D621C7D"/>
    <w:rsid w:val="0E73034D"/>
    <w:rsid w:val="0F13775A"/>
    <w:rsid w:val="0F5F45FE"/>
    <w:rsid w:val="0F9A112B"/>
    <w:rsid w:val="106D2F64"/>
    <w:rsid w:val="10B63710"/>
    <w:rsid w:val="10F10820"/>
    <w:rsid w:val="111C2F7A"/>
    <w:rsid w:val="11665CA1"/>
    <w:rsid w:val="13951726"/>
    <w:rsid w:val="141B2AB8"/>
    <w:rsid w:val="14396509"/>
    <w:rsid w:val="14DD2C3C"/>
    <w:rsid w:val="16087E1D"/>
    <w:rsid w:val="17701D14"/>
    <w:rsid w:val="17735226"/>
    <w:rsid w:val="17E5123B"/>
    <w:rsid w:val="189F624C"/>
    <w:rsid w:val="1A1C66C0"/>
    <w:rsid w:val="1A42393B"/>
    <w:rsid w:val="1AAD45DE"/>
    <w:rsid w:val="1ADE22AB"/>
    <w:rsid w:val="1B046F80"/>
    <w:rsid w:val="1B3267B5"/>
    <w:rsid w:val="1B40161D"/>
    <w:rsid w:val="1B441859"/>
    <w:rsid w:val="1B6606B1"/>
    <w:rsid w:val="1C5E7925"/>
    <w:rsid w:val="1CBE6651"/>
    <w:rsid w:val="1CFD070F"/>
    <w:rsid w:val="1D5F6196"/>
    <w:rsid w:val="1D6132A5"/>
    <w:rsid w:val="1D8E56D5"/>
    <w:rsid w:val="1E7A43DA"/>
    <w:rsid w:val="1F010B23"/>
    <w:rsid w:val="1FE7539E"/>
    <w:rsid w:val="20671BE0"/>
    <w:rsid w:val="20963CB8"/>
    <w:rsid w:val="20A81A1B"/>
    <w:rsid w:val="20B07FB6"/>
    <w:rsid w:val="20B646FB"/>
    <w:rsid w:val="213B74B1"/>
    <w:rsid w:val="215A2310"/>
    <w:rsid w:val="21DE318A"/>
    <w:rsid w:val="21EF5B80"/>
    <w:rsid w:val="22576990"/>
    <w:rsid w:val="22F47480"/>
    <w:rsid w:val="23DE1C48"/>
    <w:rsid w:val="240210CD"/>
    <w:rsid w:val="24BF09F7"/>
    <w:rsid w:val="252D53FE"/>
    <w:rsid w:val="25AB382D"/>
    <w:rsid w:val="25E116AE"/>
    <w:rsid w:val="25EC2D81"/>
    <w:rsid w:val="277057A2"/>
    <w:rsid w:val="29206EB8"/>
    <w:rsid w:val="29595666"/>
    <w:rsid w:val="29874881"/>
    <w:rsid w:val="29E325E0"/>
    <w:rsid w:val="2A1831C5"/>
    <w:rsid w:val="2A452503"/>
    <w:rsid w:val="2BA936A8"/>
    <w:rsid w:val="2C315A5A"/>
    <w:rsid w:val="2C4B1C25"/>
    <w:rsid w:val="2D9E56F5"/>
    <w:rsid w:val="2E667F96"/>
    <w:rsid w:val="2E8226AB"/>
    <w:rsid w:val="2FD065E6"/>
    <w:rsid w:val="2FD96870"/>
    <w:rsid w:val="30580BC9"/>
    <w:rsid w:val="311E2ED7"/>
    <w:rsid w:val="315619EE"/>
    <w:rsid w:val="315C449C"/>
    <w:rsid w:val="31B82709"/>
    <w:rsid w:val="31D05482"/>
    <w:rsid w:val="32400B34"/>
    <w:rsid w:val="329E6876"/>
    <w:rsid w:val="333015F2"/>
    <w:rsid w:val="334B6320"/>
    <w:rsid w:val="33D934D4"/>
    <w:rsid w:val="33FE2F6A"/>
    <w:rsid w:val="340E07E5"/>
    <w:rsid w:val="34235BF7"/>
    <w:rsid w:val="358C5FA8"/>
    <w:rsid w:val="35C15DF1"/>
    <w:rsid w:val="36074A7F"/>
    <w:rsid w:val="36923549"/>
    <w:rsid w:val="36B75FBF"/>
    <w:rsid w:val="36BD0C45"/>
    <w:rsid w:val="37E00298"/>
    <w:rsid w:val="38B302F9"/>
    <w:rsid w:val="38F12CD3"/>
    <w:rsid w:val="38F94775"/>
    <w:rsid w:val="392971ED"/>
    <w:rsid w:val="39325651"/>
    <w:rsid w:val="3A872856"/>
    <w:rsid w:val="3B3763D1"/>
    <w:rsid w:val="3C2F6E1E"/>
    <w:rsid w:val="3C4F64BA"/>
    <w:rsid w:val="3CDA245A"/>
    <w:rsid w:val="3D1E06B7"/>
    <w:rsid w:val="3EDA0523"/>
    <w:rsid w:val="407A6407"/>
    <w:rsid w:val="4200449D"/>
    <w:rsid w:val="423A3BCC"/>
    <w:rsid w:val="424E57D2"/>
    <w:rsid w:val="42B26C49"/>
    <w:rsid w:val="433A6FE6"/>
    <w:rsid w:val="43480868"/>
    <w:rsid w:val="4350713C"/>
    <w:rsid w:val="436653E0"/>
    <w:rsid w:val="43C4431A"/>
    <w:rsid w:val="44B951CC"/>
    <w:rsid w:val="44CD14E0"/>
    <w:rsid w:val="44F20B0B"/>
    <w:rsid w:val="452E5F4C"/>
    <w:rsid w:val="45612018"/>
    <w:rsid w:val="458946E9"/>
    <w:rsid w:val="45A47C0E"/>
    <w:rsid w:val="46577FD6"/>
    <w:rsid w:val="46D955A7"/>
    <w:rsid w:val="47133957"/>
    <w:rsid w:val="47A07E0C"/>
    <w:rsid w:val="4870272E"/>
    <w:rsid w:val="49DC7715"/>
    <w:rsid w:val="4A023139"/>
    <w:rsid w:val="4A7B576F"/>
    <w:rsid w:val="4AF561A9"/>
    <w:rsid w:val="4C4A0649"/>
    <w:rsid w:val="4C7E5ECA"/>
    <w:rsid w:val="4C876AA5"/>
    <w:rsid w:val="4D0E00FB"/>
    <w:rsid w:val="4D176606"/>
    <w:rsid w:val="4DEC4FB0"/>
    <w:rsid w:val="4E075D8A"/>
    <w:rsid w:val="4EC00FAD"/>
    <w:rsid w:val="4F9843DC"/>
    <w:rsid w:val="4FC62A8C"/>
    <w:rsid w:val="4FE20F0D"/>
    <w:rsid w:val="4FE51552"/>
    <w:rsid w:val="50504C4B"/>
    <w:rsid w:val="509C6E7C"/>
    <w:rsid w:val="5162104E"/>
    <w:rsid w:val="53A039CC"/>
    <w:rsid w:val="53A1505A"/>
    <w:rsid w:val="54063E08"/>
    <w:rsid w:val="543437E8"/>
    <w:rsid w:val="54F73313"/>
    <w:rsid w:val="54F80955"/>
    <w:rsid w:val="555170A7"/>
    <w:rsid w:val="5587536D"/>
    <w:rsid w:val="559B174B"/>
    <w:rsid w:val="55CE0CF4"/>
    <w:rsid w:val="56B22A9C"/>
    <w:rsid w:val="57B72A76"/>
    <w:rsid w:val="57C3426C"/>
    <w:rsid w:val="57CE1F93"/>
    <w:rsid w:val="588743D1"/>
    <w:rsid w:val="5887701A"/>
    <w:rsid w:val="593E2D1F"/>
    <w:rsid w:val="59C0439F"/>
    <w:rsid w:val="5ABE2233"/>
    <w:rsid w:val="5BDF5D95"/>
    <w:rsid w:val="5BFE7528"/>
    <w:rsid w:val="5E2467F1"/>
    <w:rsid w:val="5F1A2B43"/>
    <w:rsid w:val="5FB837BB"/>
    <w:rsid w:val="60CC405A"/>
    <w:rsid w:val="61E215D8"/>
    <w:rsid w:val="621B3775"/>
    <w:rsid w:val="62364782"/>
    <w:rsid w:val="6394356A"/>
    <w:rsid w:val="63C61B2C"/>
    <w:rsid w:val="63D40BE9"/>
    <w:rsid w:val="64102431"/>
    <w:rsid w:val="64A5243A"/>
    <w:rsid w:val="64F531DE"/>
    <w:rsid w:val="65373578"/>
    <w:rsid w:val="671F124A"/>
    <w:rsid w:val="677A33C6"/>
    <w:rsid w:val="681F6961"/>
    <w:rsid w:val="68610A2F"/>
    <w:rsid w:val="68805514"/>
    <w:rsid w:val="69316E2F"/>
    <w:rsid w:val="694E2071"/>
    <w:rsid w:val="69766163"/>
    <w:rsid w:val="697A3B33"/>
    <w:rsid w:val="69D44760"/>
    <w:rsid w:val="6A520EC7"/>
    <w:rsid w:val="6AE70A64"/>
    <w:rsid w:val="6AF87E20"/>
    <w:rsid w:val="6B322639"/>
    <w:rsid w:val="6C636C38"/>
    <w:rsid w:val="6DB34098"/>
    <w:rsid w:val="6DB545B6"/>
    <w:rsid w:val="6DE02FB4"/>
    <w:rsid w:val="6E514CED"/>
    <w:rsid w:val="6EB563D5"/>
    <w:rsid w:val="6ED92677"/>
    <w:rsid w:val="6F225983"/>
    <w:rsid w:val="6FFC5590"/>
    <w:rsid w:val="706D1DD0"/>
    <w:rsid w:val="70856B87"/>
    <w:rsid w:val="70D527EE"/>
    <w:rsid w:val="715B5300"/>
    <w:rsid w:val="71D27F8A"/>
    <w:rsid w:val="72167F76"/>
    <w:rsid w:val="72553024"/>
    <w:rsid w:val="73122968"/>
    <w:rsid w:val="731F5D5E"/>
    <w:rsid w:val="73C51AD5"/>
    <w:rsid w:val="741E793C"/>
    <w:rsid w:val="745E3944"/>
    <w:rsid w:val="7635099D"/>
    <w:rsid w:val="77762421"/>
    <w:rsid w:val="77B56B1F"/>
    <w:rsid w:val="780F09F4"/>
    <w:rsid w:val="78A90480"/>
    <w:rsid w:val="7A364017"/>
    <w:rsid w:val="7A8265E1"/>
    <w:rsid w:val="7B686D42"/>
    <w:rsid w:val="7B841746"/>
    <w:rsid w:val="7C6C5AC7"/>
    <w:rsid w:val="7CC6544B"/>
    <w:rsid w:val="7D0239FF"/>
    <w:rsid w:val="7D5E40CD"/>
    <w:rsid w:val="7DCD56F2"/>
    <w:rsid w:val="7F001CE7"/>
    <w:rsid w:val="7FE4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ocked="1"/>
    <w:lsdException w:unhideWhenUsed="0" w:uiPriority="0" w:semiHidden="0" w:name="footnote text" w:locked="1"/>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ocked="1"/>
    <w:lsdException w:qFormat="1" w:unhideWhenUsed="0" w:uiPriority="0" w:semiHidden="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99" w:semiHidden="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unhideWhenUsed="0" w:uiPriority="0" w:semiHidden="0" w:name="Body Text First Indent" w:locked="1"/>
    <w:lsdException w:unhideWhenUsed="0" w:uiPriority="0" w:semiHidden="0" w:name="Body Text First Indent 2" w:locked="1"/>
    <w:lsdException w:unhideWhenUsed="0" w:uiPriority="0" w:semiHidden="0" w:name="Note Heading" w:locked="1"/>
    <w:lsdException w:unhideWhenUsed="0" w:uiPriority="0" w:semiHidden="0" w:name="Body Text 2" w:locked="1"/>
    <w:lsdException w:unhideWhenUsed="0" w:uiPriority="0" w:semiHidden="0" w:name="Body Text 3" w:locked="1"/>
    <w:lsdException w:unhideWhenUsed="0" w:uiPriority="0" w:semiHidden="0" w:name="Body Text Indent 2" w:locked="1"/>
    <w:lsdException w:unhideWhenUsed="0" w:uiPriority="0" w:semiHidden="0" w:name="Body Text Indent 3" w:locked="1"/>
    <w:lsdException w:unhideWhenUsed="0" w:uiPriority="0" w:semiHidden="0" w:name="Block Text" w:locked="1"/>
    <w:lsdException w:qFormat="1" w:uiPriority="99" w:semiHidden="0" w:name="Hyperlink" w:locked="1"/>
    <w:lsdException w:unhideWhenUsed="0" w:uiPriority="0" w:semiHidden="0" w:name="FollowedHyperlink" w:locked="1"/>
    <w:lsdException w:qFormat="1" w:unhideWhenUsed="0" w:uiPriority="0" w:semiHidden="0" w:name="Strong" w:locked="1"/>
    <w:lsdException w:qFormat="1" w:unhideWhenUsed="0" w:uiPriority="0" w:semiHidden="0" w:name="Emphasis" w:locked="1"/>
    <w:lsdException w:qFormat="1" w:unhideWhenUsed="0" w:uiPriority="0" w:semiHidden="0" w:name="Document Map" w:locked="1"/>
    <w:lsdException w:qFormat="1" w:unhideWhenUsed="0" w:uiPriority="0"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iPriority="99" w:name="Normal Table"/>
    <w:lsdException w:qFormat="1" w:unhideWhenUsed="0" w:uiPriority="99" w:semiHidden="0" w:name="annotation subject"/>
    <w:lsdException w:uiPriority="0" w:name="Table Simple 1" w:locked="1"/>
    <w:lsdException w:uiPriority="0" w:name="Table Simple 2" w:locked="1"/>
    <w:lsdException w:uiPriority="0" w:name="Table Simple 3" w:locked="1"/>
    <w:lsdException w:uiPriority="0" w:name="Table Classic 1" w:locked="1"/>
    <w:lsdException w:uiPriority="0" w:name="Table Classic 2" w:locked="1"/>
    <w:lsdException w:uiPriority="0" w:name="Table Classic 3" w:locked="1"/>
    <w:lsdException w:uiPriority="0" w:name="Table Classic 4" w:locked="1"/>
    <w:lsdException w:uiPriority="0" w:name="Table Colorful 1" w:locked="1"/>
    <w:lsdException w:uiPriority="0" w:name="Table Colorful 2" w:locked="1"/>
    <w:lsdException w:uiPriority="0" w:name="Table Colorful 3" w:locked="1"/>
    <w:lsdException w:uiPriority="0" w:name="Table Columns 1" w:locked="1"/>
    <w:lsdException w:uiPriority="0" w:name="Table Columns 2" w:locked="1"/>
    <w:lsdException w:uiPriority="0" w:name="Table Columns 3" w:locked="1"/>
    <w:lsdException w:uiPriority="0" w:name="Table Columns 4" w:locked="1"/>
    <w:lsdException w:uiPriority="0" w:name="Table Columns 5" w:locked="1"/>
    <w:lsdException w:uiPriority="0" w:name="Table Grid 1" w:locked="1"/>
    <w:lsdException w:uiPriority="0" w:name="Table Grid 2" w:locked="1"/>
    <w:lsdException w:uiPriority="0" w:name="Table Grid 3" w:locked="1"/>
    <w:lsdException w:uiPriority="0" w:name="Table Grid 4" w:locked="1"/>
    <w:lsdException w:uiPriority="0" w:name="Table Grid 5" w:locked="1"/>
    <w:lsdException w:uiPriority="0" w:name="Table Grid 6" w:locked="1"/>
    <w:lsdException w:uiPriority="0" w:name="Table Grid 7" w:locked="1"/>
    <w:lsdException w:uiPriority="0" w:name="Table Grid 8" w:locked="1"/>
    <w:lsdException w:uiPriority="0" w:name="Table List 1" w:locked="1"/>
    <w:lsdException w:uiPriority="0" w:name="Table List 2" w:locked="1"/>
    <w:lsdException w:uiPriority="0" w:name="Table List 3" w:locked="1"/>
    <w:lsdException w:uiPriority="0" w:name="Table List 4" w:locked="1"/>
    <w:lsdException w:uiPriority="0" w:name="Table List 5" w:locked="1"/>
    <w:lsdException w:uiPriority="0" w:name="Table List 6" w:locked="1"/>
    <w:lsdException w:uiPriority="0" w:name="Table List 7" w:locked="1"/>
    <w:lsdException w:uiPriority="0" w:name="Table List 8" w:locked="1"/>
    <w:lsdException w:uiPriority="0" w:name="Table 3D effects 1" w:locked="1"/>
    <w:lsdException w:uiPriority="0" w:name="Table 3D effects 2" w:locked="1"/>
    <w:lsdException w:uiPriority="0" w:name="Table 3D effects 3" w:locked="1"/>
    <w:lsdException w:uiPriority="0" w:name="Table Contemporary" w:locked="1"/>
    <w:lsdException w:uiPriority="0" w:name="Table Elegant" w:locked="1"/>
    <w:lsdException w:uiPriority="0" w:name="Table Professional" w:locked="1"/>
    <w:lsdException w:uiPriority="0" w:name="Table Subtle 1" w:locked="1"/>
    <w:lsdException w:uiPriority="0" w:name="Table Subtle 2" w:locked="1"/>
    <w:lsdException w:uiPriority="0" w:name="Table Web 1" w:locked="1"/>
    <w:lsdException w:uiPriority="0" w:name="Table Web 2" w:locked="1"/>
    <w:lsdException w:uiPriority="0" w:name="Table Web 3" w:locked="1"/>
    <w:lsdException w:qFormat="1" w:unhideWhenUsed="0" w:uiPriority="0" w:name="Balloon Text"/>
    <w:lsdException w:qFormat="1" w:unhideWhenUsed="0" w:uiPriority="0" w:semiHidden="0" w:name="Table Grid"/>
    <w:lsdException w:uiPriority="0" w:name="Table Theme" w:locked="1"/>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link w:val="69"/>
    <w:semiHidden/>
    <w:unhideWhenUsed/>
    <w:qFormat/>
    <w:locked/>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4"/>
    <w:basedOn w:val="1"/>
    <w:next w:val="1"/>
    <w:link w:val="65"/>
    <w:semiHidden/>
    <w:unhideWhenUsed/>
    <w:qFormat/>
    <w:locked/>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5">
    <w:name w:val="heading 8"/>
    <w:basedOn w:val="1"/>
    <w:next w:val="1"/>
    <w:link w:val="60"/>
    <w:semiHidden/>
    <w:unhideWhenUsed/>
    <w:qFormat/>
    <w:locked/>
    <w:uiPriority w:val="0"/>
    <w:pPr>
      <w:keepNext/>
      <w:keepLines/>
      <w:spacing w:before="240" w:after="64" w:line="320" w:lineRule="auto"/>
      <w:outlineLvl w:val="7"/>
    </w:pPr>
    <w:rPr>
      <w:rFonts w:asciiTheme="majorHAnsi" w:hAnsiTheme="majorHAnsi" w:eastAsiaTheme="majorEastAsia" w:cstheme="majorBidi"/>
      <w:sz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link w:val="57"/>
    <w:qFormat/>
    <w:locked/>
    <w:uiPriority w:val="0"/>
    <w:pPr>
      <w:adjustRightInd w:val="0"/>
      <w:snapToGrid w:val="0"/>
      <w:spacing w:line="360" w:lineRule="exact"/>
      <w:ind w:firstLine="200" w:firstLineChars="200"/>
      <w:textAlignment w:val="baseline"/>
    </w:pPr>
    <w:rPr>
      <w:b/>
      <w:kern w:val="0"/>
      <w:szCs w:val="20"/>
    </w:rPr>
  </w:style>
  <w:style w:type="paragraph" w:styleId="7">
    <w:name w:val="Document Map"/>
    <w:basedOn w:val="1"/>
    <w:link w:val="51"/>
    <w:qFormat/>
    <w:locked/>
    <w:uiPriority w:val="0"/>
    <w:rPr>
      <w:rFonts w:ascii="宋体"/>
      <w:sz w:val="18"/>
      <w:szCs w:val="18"/>
      <w:lang w:val="zh-CN"/>
    </w:rPr>
  </w:style>
  <w:style w:type="paragraph" w:styleId="8">
    <w:name w:val="annotation text"/>
    <w:basedOn w:val="1"/>
    <w:link w:val="30"/>
    <w:qFormat/>
    <w:uiPriority w:val="99"/>
    <w:pPr>
      <w:jc w:val="left"/>
    </w:pPr>
    <w:rPr>
      <w:kern w:val="0"/>
      <w:sz w:val="24"/>
      <w:szCs w:val="20"/>
      <w:lang w:val="zh-CN"/>
    </w:rPr>
  </w:style>
  <w:style w:type="paragraph" w:styleId="9">
    <w:name w:val="Body Text"/>
    <w:basedOn w:val="1"/>
    <w:link w:val="29"/>
    <w:qFormat/>
    <w:uiPriority w:val="0"/>
    <w:pPr>
      <w:widowControl/>
      <w:snapToGrid w:val="0"/>
      <w:spacing w:before="60" w:after="160" w:line="259" w:lineRule="auto"/>
      <w:ind w:right="113"/>
    </w:pPr>
    <w:rPr>
      <w:kern w:val="0"/>
      <w:sz w:val="18"/>
      <w:szCs w:val="20"/>
      <w:lang w:val="zh-CN"/>
    </w:rPr>
  </w:style>
  <w:style w:type="paragraph" w:styleId="10">
    <w:name w:val="Body Text Indent"/>
    <w:basedOn w:val="1"/>
    <w:link w:val="38"/>
    <w:qFormat/>
    <w:uiPriority w:val="0"/>
    <w:pPr>
      <w:spacing w:after="120"/>
      <w:ind w:left="420" w:leftChars="200"/>
    </w:pPr>
    <w:rPr>
      <w:kern w:val="0"/>
      <w:sz w:val="24"/>
      <w:szCs w:val="20"/>
      <w:lang w:val="zh-CN"/>
    </w:rPr>
  </w:style>
  <w:style w:type="paragraph" w:styleId="11">
    <w:name w:val="Plain Text"/>
    <w:basedOn w:val="1"/>
    <w:link w:val="49"/>
    <w:qFormat/>
    <w:locked/>
    <w:uiPriority w:val="0"/>
    <w:rPr>
      <w:rFonts w:ascii="宋体" w:hAnsi="Courier New"/>
      <w:szCs w:val="21"/>
      <w:lang w:val="zh-CN"/>
    </w:rPr>
  </w:style>
  <w:style w:type="paragraph" w:styleId="12">
    <w:name w:val="Date"/>
    <w:basedOn w:val="1"/>
    <w:next w:val="1"/>
    <w:link w:val="25"/>
    <w:qFormat/>
    <w:uiPriority w:val="0"/>
    <w:pPr>
      <w:ind w:left="100" w:leftChars="2500"/>
    </w:pPr>
    <w:rPr>
      <w:kern w:val="0"/>
      <w:sz w:val="24"/>
      <w:szCs w:val="20"/>
      <w:lang w:val="zh-CN"/>
    </w:rPr>
  </w:style>
  <w:style w:type="paragraph" w:styleId="13">
    <w:name w:val="Balloon Text"/>
    <w:basedOn w:val="1"/>
    <w:link w:val="34"/>
    <w:semiHidden/>
    <w:qFormat/>
    <w:uiPriority w:val="0"/>
    <w:rPr>
      <w:kern w:val="0"/>
      <w:sz w:val="18"/>
      <w:szCs w:val="20"/>
      <w:lang w:val="zh-CN"/>
    </w:rPr>
  </w:style>
  <w:style w:type="paragraph" w:styleId="14">
    <w:name w:val="footer"/>
    <w:basedOn w:val="1"/>
    <w:link w:val="24"/>
    <w:qFormat/>
    <w:uiPriority w:val="99"/>
    <w:pPr>
      <w:tabs>
        <w:tab w:val="center" w:pos="4153"/>
        <w:tab w:val="right" w:pos="8306"/>
      </w:tabs>
      <w:snapToGrid w:val="0"/>
      <w:jc w:val="left"/>
    </w:pPr>
    <w:rPr>
      <w:kern w:val="0"/>
      <w:sz w:val="18"/>
      <w:szCs w:val="20"/>
      <w:lang w:val="zh-CN"/>
    </w:rPr>
  </w:style>
  <w:style w:type="paragraph" w:styleId="15">
    <w:name w:val="header"/>
    <w:basedOn w:val="1"/>
    <w:link w:val="36"/>
    <w:qFormat/>
    <w:uiPriority w:val="99"/>
    <w:pPr>
      <w:pBdr>
        <w:bottom w:val="single" w:color="auto" w:sz="6" w:space="1"/>
      </w:pBdr>
      <w:tabs>
        <w:tab w:val="center" w:pos="4153"/>
        <w:tab w:val="right" w:pos="8306"/>
      </w:tabs>
      <w:snapToGrid w:val="0"/>
      <w:jc w:val="center"/>
    </w:pPr>
    <w:rPr>
      <w:kern w:val="0"/>
      <w:sz w:val="18"/>
      <w:szCs w:val="20"/>
      <w:lang w:val="zh-CN"/>
    </w:rPr>
  </w:style>
  <w:style w:type="paragraph" w:styleId="16">
    <w:name w:val="Normal (Web)"/>
    <w:basedOn w:val="1"/>
    <w:link w:val="27"/>
    <w:qFormat/>
    <w:uiPriority w:val="0"/>
    <w:pPr>
      <w:widowControl/>
      <w:spacing w:before="100" w:beforeAutospacing="1" w:after="100" w:afterAutospacing="1"/>
      <w:jc w:val="left"/>
    </w:pPr>
    <w:rPr>
      <w:rFonts w:ascii="宋体" w:hAnsi="宋体"/>
      <w:kern w:val="0"/>
      <w:sz w:val="24"/>
      <w:szCs w:val="20"/>
      <w:lang w:val="zh-CN"/>
    </w:rPr>
  </w:style>
  <w:style w:type="paragraph" w:styleId="17">
    <w:name w:val="annotation subject"/>
    <w:basedOn w:val="8"/>
    <w:next w:val="8"/>
    <w:link w:val="35"/>
    <w:qFormat/>
    <w:uiPriority w:val="99"/>
    <w:rPr>
      <w:b/>
      <w:kern w:val="2"/>
    </w:rPr>
  </w:style>
  <w:style w:type="table" w:styleId="19">
    <w:name w:val="Table Grid"/>
    <w:basedOn w:val="1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page number"/>
    <w:basedOn w:val="20"/>
    <w:qFormat/>
    <w:locked/>
    <w:uiPriority w:val="0"/>
  </w:style>
  <w:style w:type="character" w:styleId="22">
    <w:name w:val="Hyperlink"/>
    <w:unhideWhenUsed/>
    <w:qFormat/>
    <w:locked/>
    <w:uiPriority w:val="99"/>
    <w:rPr>
      <w:color w:val="000000"/>
      <w:u w:val="none"/>
    </w:rPr>
  </w:style>
  <w:style w:type="character" w:styleId="23">
    <w:name w:val="annotation reference"/>
    <w:qFormat/>
    <w:uiPriority w:val="99"/>
    <w:rPr>
      <w:sz w:val="21"/>
    </w:rPr>
  </w:style>
  <w:style w:type="character" w:customStyle="1" w:styleId="24">
    <w:name w:val="页脚 字符1"/>
    <w:link w:val="14"/>
    <w:qFormat/>
    <w:locked/>
    <w:uiPriority w:val="99"/>
    <w:rPr>
      <w:sz w:val="18"/>
    </w:rPr>
  </w:style>
  <w:style w:type="character" w:customStyle="1" w:styleId="25">
    <w:name w:val="日期 字符1"/>
    <w:link w:val="12"/>
    <w:qFormat/>
    <w:locked/>
    <w:uiPriority w:val="0"/>
    <w:rPr>
      <w:rFonts w:ascii="Times New Roman" w:hAnsi="Times New Roman" w:eastAsia="宋体"/>
      <w:sz w:val="24"/>
    </w:rPr>
  </w:style>
  <w:style w:type="character" w:customStyle="1" w:styleId="26">
    <w:name w:val="页脚 字符"/>
    <w:basedOn w:val="20"/>
    <w:qFormat/>
    <w:uiPriority w:val="99"/>
  </w:style>
  <w:style w:type="character" w:customStyle="1" w:styleId="27">
    <w:name w:val="普通(网站) 字符1"/>
    <w:link w:val="16"/>
    <w:qFormat/>
    <w:locked/>
    <w:uiPriority w:val="0"/>
    <w:rPr>
      <w:rFonts w:ascii="宋体" w:hAnsi="宋体" w:eastAsia="宋体"/>
      <w:sz w:val="24"/>
    </w:rPr>
  </w:style>
  <w:style w:type="character" w:customStyle="1" w:styleId="28">
    <w:name w:val="正文文本 字符1"/>
    <w:semiHidden/>
    <w:qFormat/>
    <w:uiPriority w:val="0"/>
    <w:rPr>
      <w:rFonts w:ascii="Times New Roman" w:hAnsi="Times New Roman" w:eastAsia="宋体"/>
      <w:sz w:val="24"/>
    </w:rPr>
  </w:style>
  <w:style w:type="character" w:customStyle="1" w:styleId="29">
    <w:name w:val="正文文本 字符"/>
    <w:link w:val="9"/>
    <w:qFormat/>
    <w:locked/>
    <w:uiPriority w:val="0"/>
    <w:rPr>
      <w:sz w:val="18"/>
    </w:rPr>
  </w:style>
  <w:style w:type="character" w:customStyle="1" w:styleId="30">
    <w:name w:val="批注文字 字符"/>
    <w:link w:val="8"/>
    <w:qFormat/>
    <w:locked/>
    <w:uiPriority w:val="99"/>
    <w:rPr>
      <w:rFonts w:ascii="Times New Roman" w:hAnsi="Times New Roman" w:eastAsia="宋体"/>
      <w:sz w:val="24"/>
    </w:rPr>
  </w:style>
  <w:style w:type="character" w:customStyle="1" w:styleId="31">
    <w:name w:val="表格 Char"/>
    <w:link w:val="32"/>
    <w:qFormat/>
    <w:locked/>
    <w:uiPriority w:val="0"/>
    <w:rPr>
      <w:rFonts w:ascii="宋体"/>
      <w:sz w:val="21"/>
    </w:rPr>
  </w:style>
  <w:style w:type="paragraph" w:customStyle="1" w:styleId="32">
    <w:name w:val="表格"/>
    <w:basedOn w:val="1"/>
    <w:next w:val="1"/>
    <w:link w:val="31"/>
    <w:qFormat/>
    <w:uiPriority w:val="0"/>
    <w:pPr>
      <w:adjustRightInd w:val="0"/>
      <w:snapToGrid w:val="0"/>
      <w:spacing w:beforeLines="10" w:afterLines="10" w:line="259" w:lineRule="auto"/>
      <w:jc w:val="center"/>
    </w:pPr>
    <w:rPr>
      <w:rFonts w:ascii="宋体"/>
      <w:kern w:val="0"/>
      <w:szCs w:val="20"/>
      <w:lang w:val="zh-CN"/>
    </w:rPr>
  </w:style>
  <w:style w:type="character" w:customStyle="1" w:styleId="33">
    <w:name w:val="日期 字符"/>
    <w:semiHidden/>
    <w:qFormat/>
    <w:uiPriority w:val="0"/>
    <w:rPr>
      <w:rFonts w:ascii="Times New Roman" w:hAnsi="Times New Roman" w:eastAsia="宋体"/>
      <w:sz w:val="24"/>
    </w:rPr>
  </w:style>
  <w:style w:type="character" w:customStyle="1" w:styleId="34">
    <w:name w:val="批注框文本 字符"/>
    <w:link w:val="13"/>
    <w:semiHidden/>
    <w:qFormat/>
    <w:locked/>
    <w:uiPriority w:val="0"/>
    <w:rPr>
      <w:rFonts w:ascii="Times New Roman" w:hAnsi="Times New Roman" w:eastAsia="宋体"/>
      <w:sz w:val="18"/>
    </w:rPr>
  </w:style>
  <w:style w:type="character" w:customStyle="1" w:styleId="35">
    <w:name w:val="批注主题 字符"/>
    <w:link w:val="17"/>
    <w:qFormat/>
    <w:locked/>
    <w:uiPriority w:val="99"/>
    <w:rPr>
      <w:rFonts w:ascii="Times New Roman" w:hAnsi="Times New Roman" w:eastAsia="宋体"/>
      <w:b/>
      <w:kern w:val="2"/>
      <w:sz w:val="24"/>
    </w:rPr>
  </w:style>
  <w:style w:type="character" w:customStyle="1" w:styleId="36">
    <w:name w:val="页眉 字符"/>
    <w:link w:val="15"/>
    <w:qFormat/>
    <w:locked/>
    <w:uiPriority w:val="99"/>
    <w:rPr>
      <w:sz w:val="18"/>
    </w:rPr>
  </w:style>
  <w:style w:type="character" w:customStyle="1" w:styleId="37">
    <w:name w:val="批注文字 字符1"/>
    <w:semiHidden/>
    <w:qFormat/>
    <w:uiPriority w:val="0"/>
    <w:rPr>
      <w:rFonts w:ascii="Times New Roman" w:hAnsi="Times New Roman" w:eastAsia="宋体"/>
      <w:sz w:val="24"/>
    </w:rPr>
  </w:style>
  <w:style w:type="character" w:customStyle="1" w:styleId="38">
    <w:name w:val="正文文本缩进 字符"/>
    <w:link w:val="10"/>
    <w:semiHidden/>
    <w:qFormat/>
    <w:locked/>
    <w:uiPriority w:val="0"/>
    <w:rPr>
      <w:rFonts w:ascii="Times New Roman" w:hAnsi="Times New Roman" w:eastAsia="宋体"/>
      <w:sz w:val="24"/>
    </w:rPr>
  </w:style>
  <w:style w:type="paragraph" w:customStyle="1" w:styleId="39">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40">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41">
    <w:name w:val="鸿达表格文字"/>
    <w:basedOn w:val="1"/>
    <w:link w:val="42"/>
    <w:qFormat/>
    <w:uiPriority w:val="0"/>
    <w:pPr>
      <w:contextualSpacing/>
      <w:jc w:val="center"/>
      <w:textAlignment w:val="baseline"/>
    </w:pPr>
    <w:rPr>
      <w:kern w:val="0"/>
      <w:szCs w:val="21"/>
      <w:lang w:val="zh-CN"/>
    </w:rPr>
  </w:style>
  <w:style w:type="character" w:customStyle="1" w:styleId="42">
    <w:name w:val="鸿达表格文字 Char"/>
    <w:link w:val="41"/>
    <w:qFormat/>
    <w:uiPriority w:val="0"/>
    <w:rPr>
      <w:sz w:val="21"/>
      <w:szCs w:val="21"/>
    </w:rPr>
  </w:style>
  <w:style w:type="paragraph" w:customStyle="1" w:styleId="43">
    <w:name w:val="鸿达表格段落"/>
    <w:basedOn w:val="1"/>
    <w:qFormat/>
    <w:uiPriority w:val="0"/>
    <w:pPr>
      <w:adjustRightInd w:val="0"/>
      <w:snapToGrid w:val="0"/>
      <w:ind w:firstLine="200" w:firstLineChars="200"/>
      <w:jc w:val="left"/>
    </w:pPr>
    <w:rPr>
      <w:snapToGrid w:val="0"/>
      <w:kern w:val="0"/>
    </w:rPr>
  </w:style>
  <w:style w:type="paragraph" w:customStyle="1" w:styleId="44">
    <w:name w:val="鸿达表头"/>
    <w:basedOn w:val="1"/>
    <w:link w:val="45"/>
    <w:qFormat/>
    <w:uiPriority w:val="0"/>
    <w:pPr>
      <w:spacing w:beforeLines="100" w:afterLines="50"/>
      <w:ind w:firstLine="100" w:firstLineChars="100"/>
    </w:pPr>
    <w:rPr>
      <w:b/>
      <w:sz w:val="24"/>
      <w:lang w:val="zh-CN"/>
    </w:rPr>
  </w:style>
  <w:style w:type="character" w:customStyle="1" w:styleId="45">
    <w:name w:val="鸿达表头 Char"/>
    <w:link w:val="44"/>
    <w:qFormat/>
    <w:uiPriority w:val="0"/>
    <w:rPr>
      <w:b/>
      <w:kern w:val="2"/>
      <w:sz w:val="24"/>
      <w:szCs w:val="24"/>
    </w:rPr>
  </w:style>
  <w:style w:type="paragraph" w:customStyle="1" w:styleId="46">
    <w:name w:val="鸿达表加粗"/>
    <w:basedOn w:val="1"/>
    <w:link w:val="56"/>
    <w:qFormat/>
    <w:uiPriority w:val="0"/>
    <w:pPr>
      <w:jc w:val="center"/>
    </w:pPr>
    <w:rPr>
      <w:rFonts w:cs="宋体"/>
      <w:b/>
      <w:color w:val="000000"/>
      <w:szCs w:val="20"/>
    </w:rPr>
  </w:style>
  <w:style w:type="character" w:customStyle="1" w:styleId="47">
    <w:name w:val="段落 Char"/>
    <w:link w:val="48"/>
    <w:qFormat/>
    <w:uiPriority w:val="99"/>
    <w:rPr>
      <w:rFonts w:cs="Courier New"/>
      <w:kern w:val="2"/>
      <w:sz w:val="28"/>
      <w:szCs w:val="24"/>
    </w:rPr>
  </w:style>
  <w:style w:type="paragraph" w:customStyle="1" w:styleId="48">
    <w:name w:val="段落"/>
    <w:basedOn w:val="11"/>
    <w:link w:val="47"/>
    <w:qFormat/>
    <w:uiPriority w:val="99"/>
    <w:pPr>
      <w:spacing w:line="500" w:lineRule="exact"/>
      <w:ind w:firstLine="578"/>
    </w:pPr>
    <w:rPr>
      <w:rFonts w:ascii="Times New Roman" w:hAnsi="Times New Roman"/>
      <w:sz w:val="28"/>
      <w:szCs w:val="24"/>
    </w:rPr>
  </w:style>
  <w:style w:type="character" w:customStyle="1" w:styleId="49">
    <w:name w:val="纯文本 字符1"/>
    <w:link w:val="11"/>
    <w:qFormat/>
    <w:uiPriority w:val="0"/>
    <w:rPr>
      <w:rFonts w:ascii="宋体" w:hAnsi="Courier New" w:cs="Courier New"/>
      <w:kern w:val="2"/>
      <w:sz w:val="21"/>
      <w:szCs w:val="21"/>
    </w:rPr>
  </w:style>
  <w:style w:type="paragraph" w:customStyle="1" w:styleId="50">
    <w:name w:val="报告表表格文字"/>
    <w:basedOn w:val="1"/>
    <w:qFormat/>
    <w:uiPriority w:val="0"/>
    <w:pPr>
      <w:autoSpaceDE w:val="0"/>
      <w:autoSpaceDN w:val="0"/>
      <w:adjustRightInd w:val="0"/>
      <w:snapToGrid w:val="0"/>
      <w:jc w:val="center"/>
    </w:pPr>
    <w:rPr>
      <w:color w:val="000000"/>
      <w:kern w:val="0"/>
      <w:szCs w:val="21"/>
    </w:rPr>
  </w:style>
  <w:style w:type="character" w:customStyle="1" w:styleId="51">
    <w:name w:val="文档结构图 字符"/>
    <w:link w:val="7"/>
    <w:qFormat/>
    <w:uiPriority w:val="0"/>
    <w:rPr>
      <w:rFonts w:ascii="宋体"/>
      <w:kern w:val="2"/>
      <w:sz w:val="18"/>
      <w:szCs w:val="18"/>
    </w:rPr>
  </w:style>
  <w:style w:type="paragraph" w:customStyle="1" w:styleId="52">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53">
    <w:name w:val="纯文本 字符"/>
    <w:semiHidden/>
    <w:qFormat/>
    <w:uiPriority w:val="99"/>
    <w:rPr>
      <w:rFonts w:ascii="宋体" w:hAnsi="宋体" w:cs="宋体"/>
      <w:sz w:val="24"/>
    </w:rPr>
  </w:style>
  <w:style w:type="paragraph" w:customStyle="1" w:styleId="54">
    <w:name w:val="普通(网站)1"/>
    <w:basedOn w:val="1"/>
    <w:qFormat/>
    <w:uiPriority w:val="0"/>
    <w:pPr>
      <w:widowControl/>
      <w:spacing w:before="100" w:beforeAutospacing="1" w:after="100" w:afterAutospacing="1"/>
      <w:jc w:val="left"/>
    </w:pPr>
    <w:rPr>
      <w:rFonts w:ascii="宋体" w:hAnsi="宋体"/>
      <w:sz w:val="24"/>
      <w:szCs w:val="20"/>
    </w:rPr>
  </w:style>
  <w:style w:type="character" w:customStyle="1" w:styleId="55">
    <w:name w:val="普通(网站) 字符"/>
    <w:qFormat/>
    <w:locked/>
    <w:uiPriority w:val="0"/>
    <w:rPr>
      <w:rFonts w:ascii="宋体" w:hAnsi="宋体"/>
      <w:sz w:val="24"/>
      <w:lang w:val="zh-CN" w:eastAsia="zh-CN"/>
    </w:rPr>
  </w:style>
  <w:style w:type="character" w:customStyle="1" w:styleId="56">
    <w:name w:val="鸿达表加粗 字符"/>
    <w:link w:val="46"/>
    <w:qFormat/>
    <w:uiPriority w:val="0"/>
    <w:rPr>
      <w:rFonts w:cs="宋体"/>
      <w:b/>
      <w:color w:val="000000"/>
      <w:kern w:val="2"/>
      <w:sz w:val="21"/>
    </w:rPr>
  </w:style>
  <w:style w:type="character" w:customStyle="1" w:styleId="57">
    <w:name w:val="题注 字符"/>
    <w:link w:val="6"/>
    <w:qFormat/>
    <w:uiPriority w:val="0"/>
    <w:rPr>
      <w:b/>
      <w:sz w:val="21"/>
    </w:rPr>
  </w:style>
  <w:style w:type="character" w:customStyle="1" w:styleId="58">
    <w:name w:val="批注文字 字符2"/>
    <w:qFormat/>
    <w:locked/>
    <w:uiPriority w:val="0"/>
    <w:rPr>
      <w:rFonts w:ascii="Times New Roman" w:hAnsi="Times New Roman" w:eastAsia="宋体"/>
      <w:sz w:val="24"/>
    </w:rPr>
  </w:style>
  <w:style w:type="paragraph" w:customStyle="1" w:styleId="59">
    <w:name w:val="鸿达公式"/>
    <w:basedOn w:val="1"/>
    <w:autoRedefine/>
    <w:unhideWhenUsed/>
    <w:qFormat/>
    <w:uiPriority w:val="0"/>
    <w:pPr>
      <w:jc w:val="center"/>
    </w:pPr>
    <w:rPr>
      <w:sz w:val="24"/>
      <w:szCs w:val="28"/>
    </w:rPr>
  </w:style>
  <w:style w:type="character" w:customStyle="1" w:styleId="60">
    <w:name w:val="标题 8 字符"/>
    <w:basedOn w:val="20"/>
    <w:link w:val="5"/>
    <w:semiHidden/>
    <w:qFormat/>
    <w:uiPriority w:val="0"/>
    <w:rPr>
      <w:rFonts w:asciiTheme="majorHAnsi" w:hAnsiTheme="majorHAnsi" w:eastAsiaTheme="majorEastAsia" w:cstheme="majorBidi"/>
      <w:kern w:val="2"/>
      <w:sz w:val="24"/>
      <w:szCs w:val="24"/>
    </w:rPr>
  </w:style>
  <w:style w:type="character" w:customStyle="1" w:styleId="61">
    <w:name w:val="正文1 Char"/>
    <w:link w:val="62"/>
    <w:qFormat/>
    <w:uiPriority w:val="0"/>
    <w:rPr>
      <w:rFonts w:ascii="楷体_GB2312" w:eastAsia="楷体_GB2312"/>
      <w:b/>
      <w:kern w:val="2"/>
      <w:sz w:val="28"/>
    </w:rPr>
  </w:style>
  <w:style w:type="paragraph" w:customStyle="1" w:styleId="62">
    <w:name w:val="正文1"/>
    <w:basedOn w:val="1"/>
    <w:link w:val="61"/>
    <w:qFormat/>
    <w:uiPriority w:val="0"/>
    <w:pPr>
      <w:ind w:firstLine="552"/>
    </w:pPr>
    <w:rPr>
      <w:rFonts w:ascii="楷体_GB2312" w:eastAsia="楷体_GB2312"/>
      <w:b/>
      <w:sz w:val="28"/>
      <w:szCs w:val="20"/>
    </w:rPr>
  </w:style>
  <w:style w:type="paragraph" w:styleId="63">
    <w:name w:val="List Paragraph"/>
    <w:basedOn w:val="1"/>
    <w:qFormat/>
    <w:uiPriority w:val="34"/>
    <w:pPr>
      <w:ind w:firstLine="420" w:firstLineChars="200"/>
    </w:pPr>
  </w:style>
  <w:style w:type="character" w:styleId="64">
    <w:name w:val="Placeholder Text"/>
    <w:basedOn w:val="20"/>
    <w:semiHidden/>
    <w:qFormat/>
    <w:uiPriority w:val="99"/>
    <w:rPr>
      <w:color w:val="666666"/>
    </w:rPr>
  </w:style>
  <w:style w:type="character" w:customStyle="1" w:styleId="65">
    <w:name w:val="标题 4 字符"/>
    <w:basedOn w:val="20"/>
    <w:link w:val="4"/>
    <w:semiHidden/>
    <w:qFormat/>
    <w:uiPriority w:val="0"/>
    <w:rPr>
      <w:rFonts w:asciiTheme="majorHAnsi" w:hAnsiTheme="majorHAnsi" w:eastAsiaTheme="majorEastAsia" w:cstheme="majorBidi"/>
      <w:b/>
      <w:bCs/>
      <w:kern w:val="2"/>
      <w:sz w:val="28"/>
      <w:szCs w:val="28"/>
    </w:rPr>
  </w:style>
  <w:style w:type="paragraph" w:styleId="66">
    <w:name w:val="Intense Quote"/>
    <w:basedOn w:val="1"/>
    <w:next w:val="1"/>
    <w:link w:val="67"/>
    <w:qFormat/>
    <w:uiPriority w:val="30"/>
    <w:pPr>
      <w:pBdr>
        <w:top w:val="single" w:color="2F5496" w:themeColor="accent1" w:themeShade="BF" w:sz="4" w:space="10"/>
        <w:bottom w:val="single" w:color="2F5496" w:themeColor="accent1" w:themeShade="BF" w:sz="4" w:space="10"/>
      </w:pBdr>
      <w:spacing w:before="360" w:after="360" w:line="278" w:lineRule="auto"/>
      <w:ind w:left="864" w:right="864"/>
      <w:jc w:val="center"/>
    </w:pPr>
    <w:rPr>
      <w:rFonts w:asciiTheme="minorHAnsi" w:hAnsiTheme="minorHAnsi" w:eastAsiaTheme="minorEastAsia" w:cstheme="minorBidi"/>
      <w:i/>
      <w:iCs/>
      <w:color w:val="2F5597" w:themeColor="accent1" w:themeShade="BF"/>
      <w:sz w:val="22"/>
      <w14:ligatures w14:val="standardContextual"/>
    </w:rPr>
  </w:style>
  <w:style w:type="character" w:customStyle="1" w:styleId="67">
    <w:name w:val="明显引用 字符"/>
    <w:basedOn w:val="20"/>
    <w:link w:val="66"/>
    <w:qFormat/>
    <w:uiPriority w:val="30"/>
    <w:rPr>
      <w:rFonts w:asciiTheme="minorHAnsi" w:hAnsiTheme="minorHAnsi" w:eastAsiaTheme="minorEastAsia" w:cstheme="minorBidi"/>
      <w:i/>
      <w:iCs/>
      <w:color w:val="2F5597" w:themeColor="accent1" w:themeShade="BF"/>
      <w:kern w:val="2"/>
      <w:sz w:val="22"/>
      <w:szCs w:val="24"/>
      <w14:ligatures w14:val="standardContextual"/>
    </w:rPr>
  </w:style>
  <w:style w:type="character" w:customStyle="1" w:styleId="68">
    <w:name w:val="未处理的提及1"/>
    <w:basedOn w:val="20"/>
    <w:semiHidden/>
    <w:unhideWhenUsed/>
    <w:qFormat/>
    <w:uiPriority w:val="99"/>
    <w:rPr>
      <w:color w:val="605E5C"/>
      <w:shd w:val="clear" w:color="auto" w:fill="E1DFDD"/>
    </w:rPr>
  </w:style>
  <w:style w:type="character" w:customStyle="1" w:styleId="69">
    <w:name w:val="标题 2 字符"/>
    <w:basedOn w:val="20"/>
    <w:link w:val="3"/>
    <w:semiHidden/>
    <w:qFormat/>
    <w:uiPriority w:val="0"/>
    <w:rPr>
      <w:rFonts w:asciiTheme="majorHAnsi" w:hAnsiTheme="majorHAnsi" w:eastAsiaTheme="majorEastAsia" w:cstheme="majorBidi"/>
      <w:b/>
      <w:bCs/>
      <w:kern w:val="2"/>
      <w:sz w:val="32"/>
      <w:szCs w:val="32"/>
    </w:rPr>
  </w:style>
  <w:style w:type="character" w:customStyle="1" w:styleId="70">
    <w:name w:val="Unresolved Mention"/>
    <w:basedOn w:val="20"/>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9" Type="http://schemas.openxmlformats.org/officeDocument/2006/relationships/fontTable" Target="fontTable.xml"/><Relationship Id="rId88" Type="http://schemas.openxmlformats.org/officeDocument/2006/relationships/customXml" Target="../customXml/item2.xml"/><Relationship Id="rId87" Type="http://schemas.openxmlformats.org/officeDocument/2006/relationships/numbering" Target="numbering.xml"/><Relationship Id="rId86" Type="http://schemas.openxmlformats.org/officeDocument/2006/relationships/customXml" Target="../customXml/item1.xml"/><Relationship Id="rId85" Type="http://schemas.openxmlformats.org/officeDocument/2006/relationships/image" Target="media/image77.jpeg"/><Relationship Id="rId84" Type="http://schemas.openxmlformats.org/officeDocument/2006/relationships/image" Target="media/image76.jpeg"/><Relationship Id="rId83" Type="http://schemas.openxmlformats.org/officeDocument/2006/relationships/image" Target="media/image75.jpeg"/><Relationship Id="rId82" Type="http://schemas.openxmlformats.org/officeDocument/2006/relationships/image" Target="media/image74.jpeg"/><Relationship Id="rId81" Type="http://schemas.openxmlformats.org/officeDocument/2006/relationships/image" Target="media/image73.jpeg"/><Relationship Id="rId80" Type="http://schemas.openxmlformats.org/officeDocument/2006/relationships/image" Target="media/image72.jpeg"/><Relationship Id="rId8" Type="http://schemas.openxmlformats.org/officeDocument/2006/relationships/image" Target="media/image3.jpeg"/><Relationship Id="rId79" Type="http://schemas.openxmlformats.org/officeDocument/2006/relationships/image" Target="media/image71.jpeg"/><Relationship Id="rId78" Type="http://schemas.openxmlformats.org/officeDocument/2006/relationships/image" Target="media/image70.jpeg"/><Relationship Id="rId77" Type="http://schemas.openxmlformats.org/officeDocument/2006/relationships/image" Target="media/image69.jpeg"/><Relationship Id="rId76" Type="http://schemas.openxmlformats.org/officeDocument/2006/relationships/image" Target="media/image68.jpeg"/><Relationship Id="rId75" Type="http://schemas.openxmlformats.org/officeDocument/2006/relationships/image" Target="media/image67.jpeg"/><Relationship Id="rId74" Type="http://schemas.openxmlformats.org/officeDocument/2006/relationships/image" Target="media/image66.jpeg"/><Relationship Id="rId73" Type="http://schemas.openxmlformats.org/officeDocument/2006/relationships/image" Target="media/image65.jpeg"/><Relationship Id="rId72" Type="http://schemas.openxmlformats.org/officeDocument/2006/relationships/image" Target="media/image64.jpeg"/><Relationship Id="rId71" Type="http://schemas.openxmlformats.org/officeDocument/2006/relationships/image" Target="media/image63.jpeg"/><Relationship Id="rId70" Type="http://schemas.openxmlformats.org/officeDocument/2006/relationships/image" Target="media/image62.jpeg"/><Relationship Id="rId7" Type="http://schemas.openxmlformats.org/officeDocument/2006/relationships/image" Target="media/image2.png"/><Relationship Id="rId69" Type="http://schemas.openxmlformats.org/officeDocument/2006/relationships/image" Target="media/image61.jpeg"/><Relationship Id="rId68" Type="http://schemas.openxmlformats.org/officeDocument/2006/relationships/image" Target="media/image60.jpeg"/><Relationship Id="rId67" Type="http://schemas.openxmlformats.org/officeDocument/2006/relationships/image" Target="media/image59.jpeg"/><Relationship Id="rId66" Type="http://schemas.openxmlformats.org/officeDocument/2006/relationships/image" Target="media/image58.jpeg"/><Relationship Id="rId65" Type="http://schemas.openxmlformats.org/officeDocument/2006/relationships/image" Target="media/image57.jpeg"/><Relationship Id="rId64" Type="http://schemas.openxmlformats.org/officeDocument/2006/relationships/image" Target="media/image56.jpeg"/><Relationship Id="rId63" Type="http://schemas.openxmlformats.org/officeDocument/2006/relationships/image" Target="media/image55.jpeg"/><Relationship Id="rId62" Type="http://schemas.openxmlformats.org/officeDocument/2006/relationships/image" Target="media/image54.jpeg"/><Relationship Id="rId61" Type="http://schemas.openxmlformats.org/officeDocument/2006/relationships/image" Target="media/image53.jpeg"/><Relationship Id="rId60" Type="http://schemas.openxmlformats.org/officeDocument/2006/relationships/image" Target="media/image52.jpeg"/><Relationship Id="rId6" Type="http://schemas.openxmlformats.org/officeDocument/2006/relationships/image" Target="media/image1.jpeg"/><Relationship Id="rId59" Type="http://schemas.openxmlformats.org/officeDocument/2006/relationships/image" Target="media/image51.jpeg"/><Relationship Id="rId58" Type="http://schemas.openxmlformats.org/officeDocument/2006/relationships/image" Target="media/image50.jpeg"/><Relationship Id="rId57" Type="http://schemas.openxmlformats.org/officeDocument/2006/relationships/image" Target="media/image49.jpeg"/><Relationship Id="rId56" Type="http://schemas.openxmlformats.org/officeDocument/2006/relationships/image" Target="media/image48.jpeg"/><Relationship Id="rId55" Type="http://schemas.openxmlformats.org/officeDocument/2006/relationships/image" Target="media/image47.jpeg"/><Relationship Id="rId54" Type="http://schemas.openxmlformats.org/officeDocument/2006/relationships/image" Target="media/image46.jpeg"/><Relationship Id="rId53" Type="http://schemas.openxmlformats.org/officeDocument/2006/relationships/image" Target="media/image45.jpeg"/><Relationship Id="rId52" Type="http://schemas.openxmlformats.org/officeDocument/2006/relationships/image" Target="media/image44.jpeg"/><Relationship Id="rId51" Type="http://schemas.openxmlformats.org/officeDocument/2006/relationships/image" Target="media/image43.jpeg"/><Relationship Id="rId50" Type="http://schemas.openxmlformats.org/officeDocument/2006/relationships/image" Target="media/image42.jpeg"/><Relationship Id="rId5" Type="http://schemas.openxmlformats.org/officeDocument/2006/relationships/theme" Target="theme/theme1.xml"/><Relationship Id="rId49" Type="http://schemas.openxmlformats.org/officeDocument/2006/relationships/image" Target="media/image41.jpeg"/><Relationship Id="rId48" Type="http://schemas.openxmlformats.org/officeDocument/2006/relationships/image" Target="media/image40.jpeg"/><Relationship Id="rId47" Type="http://schemas.openxmlformats.org/officeDocument/2006/relationships/image" Target="media/image39.jpeg"/><Relationship Id="rId46" Type="http://schemas.openxmlformats.org/officeDocument/2006/relationships/image" Target="media/image38.jpeg"/><Relationship Id="rId45" Type="http://schemas.openxmlformats.org/officeDocument/2006/relationships/image" Target="media/image37.jpeg"/><Relationship Id="rId44" Type="http://schemas.openxmlformats.org/officeDocument/2006/relationships/image" Target="media/image36.jpeg"/><Relationship Id="rId43" Type="http://schemas.openxmlformats.org/officeDocument/2006/relationships/image" Target="media/image35.png"/><Relationship Id="rId42" Type="http://schemas.openxmlformats.org/officeDocument/2006/relationships/package" Target="embeddings/Microsoft_Visio___3.vsdx"/><Relationship Id="rId41" Type="http://schemas.openxmlformats.org/officeDocument/2006/relationships/image" Target="media/image34.png"/><Relationship Id="rId40" Type="http://schemas.openxmlformats.org/officeDocument/2006/relationships/package" Target="embeddings/Microsoft_Visio___2.vsdx"/><Relationship Id="rId4" Type="http://schemas.openxmlformats.org/officeDocument/2006/relationships/footer" Target="footer2.xml"/><Relationship Id="rId39" Type="http://schemas.openxmlformats.org/officeDocument/2006/relationships/image" Target="media/image33.png"/><Relationship Id="rId38" Type="http://schemas.openxmlformats.org/officeDocument/2006/relationships/image" Target="media/image32.png"/><Relationship Id="rId37" Type="http://schemas.openxmlformats.org/officeDocument/2006/relationships/image" Target="media/image31.png"/><Relationship Id="rId36" Type="http://schemas.openxmlformats.org/officeDocument/2006/relationships/image" Target="media/image30.png"/><Relationship Id="rId35" Type="http://schemas.openxmlformats.org/officeDocument/2006/relationships/image" Target="media/image29.png"/><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footer" Target="footer1.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jpe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jpeg"/><Relationship Id="rId23" Type="http://schemas.openxmlformats.org/officeDocument/2006/relationships/image" Target="media/image17.png"/><Relationship Id="rId22" Type="http://schemas.openxmlformats.org/officeDocument/2006/relationships/oleObject" Target="embeddings/Microsoft_Visio_2003-2010___1.vsd"/><Relationship Id="rId21" Type="http://schemas.openxmlformats.org/officeDocument/2006/relationships/image" Target="media/image16.jpeg"/><Relationship Id="rId20" Type="http://schemas.openxmlformats.org/officeDocument/2006/relationships/image" Target="media/image15.jpeg"/><Relationship Id="rId2" Type="http://schemas.openxmlformats.org/officeDocument/2006/relationships/settings" Target="settings.xml"/><Relationship Id="rId19" Type="http://schemas.openxmlformats.org/officeDocument/2006/relationships/image" Target="media/image14.jpeg"/><Relationship Id="rId18" Type="http://schemas.openxmlformats.org/officeDocument/2006/relationships/image" Target="media/image13.jpeg"/><Relationship Id="rId17" Type="http://schemas.openxmlformats.org/officeDocument/2006/relationships/image" Target="media/image12.jpeg"/><Relationship Id="rId16" Type="http://schemas.openxmlformats.org/officeDocument/2006/relationships/image" Target="media/image11.jpeg"/><Relationship Id="rId15" Type="http://schemas.openxmlformats.org/officeDocument/2006/relationships/image" Target="media/image10.jpe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jpeg"/><Relationship Id="rId11" Type="http://schemas.openxmlformats.org/officeDocument/2006/relationships/image" Target="media/image6.jpeg"/><Relationship Id="rId10" Type="http://schemas.openxmlformats.org/officeDocument/2006/relationships/image" Target="media/image5.jpeg"/><Relationship Id="rId1"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78.wmf"/></Relationships>
</file>

<file path=word/_rels/settings.xml.rels><?xml version="1.0" encoding="UTF-8" standalone="yes"?>
<Relationships xmlns="http://schemas.openxmlformats.org/package/2006/relationships"><Relationship Id="rId1" Type="http://schemas.openxmlformats.org/officeDocument/2006/relationships/attachedTemplate" Target="file:///C:\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648A229-6E0F-45DF-B244-DFD727A02BA1}">
  <ds:schemaRefs/>
</ds:datastoreItem>
</file>

<file path=docProps/app.xml><?xml version="1.0" encoding="utf-8"?>
<Properties xmlns="http://schemas.openxmlformats.org/officeDocument/2006/extended-properties" xmlns:vt="http://schemas.openxmlformats.org/officeDocument/2006/docPropsVTypes">
  <Template>wdzx97.dot</Template>
  <Company>微软中国</Company>
  <Pages>190</Pages>
  <Words>16799</Words>
  <Characters>17702</Characters>
  <Lines>982</Lines>
  <Paragraphs>276</Paragraphs>
  <TotalTime>1</TotalTime>
  <ScaleCrop>false</ScaleCrop>
  <LinksUpToDate>false</LinksUpToDate>
  <CharactersWithSpaces>17898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2022-06-10T01:40:00Z</dcterms:created>
  <dc:creator>lhj</dc:creator>
  <cp:lastModifiedBy>弦卷心</cp:lastModifiedBy>
  <cp:lastPrinted>2025-08-11T09:13:00Z</cp:lastPrinted>
  <dcterms:modified xsi:type="dcterms:W3CDTF">2025-09-17T10:03:46Z</dcterms:modified>
  <dc:title>附件2</dc:title>
  <cp:revision>2557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eyJoZGlkIjoiZGMxNjYxMWRhYTdkNmE1MjNjNWY2ZjdjMjBhZDczMzUiLCJ1c2VySWQiOiIyNDgyNzg3MCJ9</vt:lpwstr>
  </property>
  <property fmtid="{D5CDD505-2E9C-101B-9397-08002B2CF9AE}" pid="4" name="ICV">
    <vt:lpwstr>5B69ABC081F140C58D7D6CED76BF8921_12</vt:lpwstr>
  </property>
</Properties>
</file>