
<file path=[Content_Types].xml><?xml version="1.0" encoding="utf-8"?>
<Types xmlns="http://schemas.openxmlformats.org/package/2006/content-types">
  <Default Extension="xlsx" ContentType="application/vnd.openxmlformats-officedocument.spreadsheetml.shee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/>
        </w:rPr>
        <w:t>2025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年</w:t>
      </w:r>
      <w:r>
        <w:rPr>
          <w:rFonts w:ascii="Times New Roman" w:hAnsi="Times New Roman" w:eastAsia="方正小标宋简体" w:cs="Times New Roman"/>
          <w:sz w:val="44"/>
          <w:szCs w:val="44"/>
        </w:rPr>
        <w:t>牧野区1-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12</w:t>
      </w:r>
      <w:r>
        <w:rPr>
          <w:rFonts w:ascii="Times New Roman" w:hAnsi="Times New Roman" w:eastAsia="方正小标宋简体" w:cs="Times New Roman"/>
          <w:sz w:val="44"/>
          <w:szCs w:val="44"/>
        </w:rPr>
        <w:t>月份主要经济指</w:t>
      </w:r>
      <w:bookmarkStart w:id="2" w:name="_GoBack"/>
      <w:bookmarkEnd w:id="2"/>
      <w:r>
        <w:rPr>
          <w:rFonts w:ascii="Times New Roman" w:hAnsi="Times New Roman" w:eastAsia="方正小标宋简体" w:cs="Times New Roman"/>
          <w:sz w:val="44"/>
          <w:szCs w:val="44"/>
        </w:rPr>
        <w:t>标</w:t>
      </w: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运行情况</w:t>
      </w:r>
    </w:p>
    <w:p>
      <w:pPr>
        <w:spacing w:line="560" w:lineRule="exact"/>
        <w:ind w:firstLine="640" w:firstLineChars="200"/>
        <w:rPr>
          <w:rFonts w:ascii="Times New Roman" w:hAnsi="Times New Roman" w:eastAsia="楷体_GB2312" w:cs="Times New Roman"/>
          <w:bCs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2025年，全区聚焦“1+2+4+N”目标任务体系，主动融入服务全国统一大市场，坚持抓扭提用力、逆跨顺用策、准实效用心，逐季召开经济工作部署会、出台一系列政策举措，拼抢一季度、奋战二季度，接续打好夏秋季发展战役、冬春季攻保战役，着力稳就业、稳企业、稳市场、稳预期，推动经济运行呈现稳中向好、趋新向优、韧性增强的良好态势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一</w:t>
      </w:r>
      <w:r>
        <w:rPr>
          <w:rFonts w:ascii="Times New Roman" w:hAnsi="Times New Roman" w:eastAsia="黑体" w:cs="Times New Roman"/>
          <w:sz w:val="32"/>
          <w:szCs w:val="32"/>
        </w:rPr>
        <w:t>、</w:t>
      </w:r>
      <w:r>
        <w:rPr>
          <w:rFonts w:ascii="Times New Roman" w:hAnsi="Times New Roman" w:eastAsia="黑体" w:cs="Times New Roman"/>
          <w:bCs/>
          <w:sz w:val="32"/>
          <w:szCs w:val="32"/>
        </w:rPr>
        <w:t>1-</w:t>
      </w:r>
      <w:r>
        <w:rPr>
          <w:rFonts w:hint="eastAsia" w:ascii="Times New Roman" w:hAnsi="Times New Roman" w:eastAsia="黑体" w:cs="Times New Roman"/>
          <w:bCs/>
          <w:sz w:val="32"/>
          <w:szCs w:val="32"/>
        </w:rPr>
        <w:t>12</w:t>
      </w:r>
      <w:r>
        <w:rPr>
          <w:rFonts w:ascii="Times New Roman" w:hAnsi="Times New Roman" w:eastAsia="黑体" w:cs="Times New Roman"/>
          <w:bCs/>
          <w:sz w:val="32"/>
          <w:szCs w:val="32"/>
        </w:rPr>
        <w:t>月份主要经济指标完成情况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全区地区生产总值（GDP）实现200.3亿元，居全市第10位；按可比价计算，同比增长4.6%，居全市第11位。三次产业结构比：0.89:37.00:62.11。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全区规模以上工业增加值同比增长4.5%，居全市第13位。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全区固定资产投资同比增长14.6%，居全市第1位。商品房</w:t>
      </w:r>
      <w:r>
        <w:rPr>
          <w:rFonts w:ascii="Times New Roman" w:hAnsi="Times New Roman" w:eastAsia="仿宋_GB2312" w:cs="Times New Roman"/>
          <w:sz w:val="32"/>
          <w:szCs w:val="32"/>
        </w:rPr>
        <w:t>销售面积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同比增长</w:t>
      </w:r>
      <w:r>
        <w:rPr>
          <w:rFonts w:ascii="Times New Roman" w:hAnsi="Times New Roman" w:eastAsia="仿宋_GB2312" w:cs="Times New Roman"/>
          <w:sz w:val="32"/>
          <w:szCs w:val="32"/>
        </w:rPr>
        <w:t>34.1%，居全市第1位。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全区社会消费品零售额累计完成54.8亿元，居全市第12位，同比增长4.1%，居全市第9位。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0" w:name="OLE_LINK2"/>
      <w:r>
        <w:rPr>
          <w:rFonts w:hint="eastAsia" w:ascii="Times New Roman" w:hAnsi="Times New Roman" w:eastAsia="仿宋_GB2312" w:cs="Times New Roman"/>
          <w:sz w:val="32"/>
          <w:szCs w:val="32"/>
        </w:rPr>
        <w:t>全区居民人均可支配收入45072.2元，居全市第1位，同比增长3.5%，居全市第12位。其中，城镇居民人均可支配收入46244.5元，居全市第1位，同比增长3.5%，居全市第12位；农村居民人均可支配收入27812.2元，居全市第3位，同比增长4.3%，居全市第9位。</w:t>
      </w:r>
      <w:bookmarkEnd w:id="0"/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bCs/>
          <w:sz w:val="32"/>
          <w:szCs w:val="32"/>
        </w:rPr>
        <w:t>经济运行稳中有进</w:t>
      </w:r>
      <w:r>
        <w:rPr>
          <w:rFonts w:ascii="Times New Roman" w:hAnsi="Times New Roman" w:eastAsia="黑体" w:cs="Times New Roman"/>
          <w:bCs/>
          <w:sz w:val="32"/>
          <w:szCs w:val="32"/>
        </w:rPr>
        <w:t xml:space="preserve"> 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bookmarkStart w:id="1" w:name="OLE_LINK1"/>
      <w:r>
        <w:rPr>
          <w:rFonts w:hint="eastAsia" w:ascii="Times New Roman" w:hAnsi="Times New Roman" w:eastAsia="仿宋_GB2312" w:cs="Times New Roman"/>
          <w:sz w:val="32"/>
          <w:szCs w:val="32"/>
        </w:rPr>
        <w:t>1-12月份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全</w:t>
      </w:r>
      <w:r>
        <w:rPr>
          <w:rFonts w:ascii="Times New Roman" w:hAnsi="Times New Roman" w:eastAsia="仿宋_GB2312" w:cs="Times New Roman"/>
          <w:sz w:val="32"/>
          <w:szCs w:val="32"/>
        </w:rPr>
        <w:t>区地区生产总值（GDP）实现200.3亿元，居全市第10位，同比增长4.6%，居全市第11位。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分产业看，第一产业增加值完成1.78亿元，总量居全市第10位；同比增长3.5%，增速居全市第8位。第二产业增加值完成74.12亿元，总量居全市第10位；同比增长5.0%，增速居全市第9位。第三产业增加值完成124.41亿元，总量居全市第5位；同比增长4.3%，增速居全市第10位。三次产业结构比：0.89:37.00:62.11。</w:t>
      </w:r>
      <w:bookmarkEnd w:id="1"/>
    </w:p>
    <w:p>
      <w:pPr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（一）第一产业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第一产业稳定增长。今年以来，区委、区政府继续加大对农业生产的支持力度，保证农业生产对资金的需求，农村经济总量稳步提高，全年实现农林牧渔业增加值1.79亿元，同比增长3.6%，对GDP贡献率为1.63%，拉动GDP增长0.04个百分点。</w:t>
      </w:r>
    </w:p>
    <w:p>
      <w:pPr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（二）</w:t>
      </w:r>
      <w:r>
        <w:rPr>
          <w:rFonts w:ascii="楷体_GB2312" w:hAnsi="Times New Roman" w:eastAsia="楷体_GB2312" w:cs="Times New Roman"/>
          <w:b/>
          <w:sz w:val="32"/>
          <w:szCs w:val="32"/>
        </w:rPr>
        <w:t>第二产业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第二产业有力支撑。全区工业增加值完成61.66亿元，增速4.6%，对GDP贡献率为30.88%，拉动GDP增长1.41个百分点，其中：电热水增加值34.55亿元，增速5.5%，高于全区GDP增速0.9个百分点，对GDP贡献率为20.64%，拉动GDP增长0.94个百分点。制造业增加值27.12亿元，增速3.5%，低于全区GDP增速1.1个百分点，对GDP贡献率为10.25%，拉动GDP增长0.47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建筑业增加值完成12.47亿元，增速6.8%，对GDP贡献率为10.77%，拉动GDP增长0.49个百分点。 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二产基础指标中，规上电热水行业增加值增速5.86%，规下工业增加值增速6.12%，建筑业总产值增速8.0%，均高于GDP增速，二产合计拉动GDP增长1.90个百分点。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规上工业增加值增速仅为4.5%，如果增速达到7%，将多拉动GDP增长0.5个百分点。</w:t>
      </w:r>
    </w:p>
    <w:p>
      <w:pPr>
        <w:spacing w:line="560" w:lineRule="exact"/>
        <w:ind w:left="319" w:leftChars="152" w:firstLine="321" w:firstLineChars="1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（三）第三产业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第三产业持续恢复。</w:t>
      </w:r>
      <w:r>
        <w:rPr>
          <w:rFonts w:ascii="Times New Roman" w:hAnsi="Times New Roman" w:eastAsia="仿宋_GB2312" w:cs="Times New Roman"/>
          <w:b/>
          <w:sz w:val="32"/>
          <w:szCs w:val="32"/>
        </w:rPr>
        <w:t>高于GDP增速的行业有：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交通运输、仓储和邮政业增加值15.74亿元，增速18.1%，占GDP的比重为7.86%，贡献率为29.46%，拉动GDP增长1.34个百分点，其中邮政业增加值12.96亿元，增速21.8%，占GDP的比重为6.47%，贡献率为28.80%，拉动GDP增长1.31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零售业增加值4.70亿元，增速5.6%，占GDP的比重为2.34%，贡献率为2.72%，拉动GDP增长0.12个百分点。餐饮业增加值2.04亿元，增速4.9%，占GDP的比重为1.02%，贡献率为1.01%，拉动GDP增长0.05个百分点。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房地产业增加值17.45亿元，增速6.6%，占GDP的比重为8.72%，贡献率为12.92%，拉动GDP增长0.59个百分点。其中，房地产业(K门类)增加值4.50亿元，增速16.6%，占GDP的比重为2.25%，贡献率为8.56%，拉动GDP增长0.39个百分点。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租赁和商务服务业增加值3.50亿元，增速5.6%，占GDP的比重为1.75%，贡献率为2.31%，拉动GDP增长0.11个百分点。居民服务、修理和其他服务业增加值4.63亿元，增速7.4%，占GDP的比重为2.31%，贡献率为3.10%，拉动GDP增长0.14个百分点。</w:t>
      </w:r>
    </w:p>
    <w:p>
      <w:pPr>
        <w:spacing w:line="560" w:lineRule="exact"/>
        <w:ind w:firstLine="642" w:firstLineChars="200"/>
        <w:rPr>
          <w:rFonts w:ascii="Times New Roman" w:hAnsi="Times New Roman" w:eastAsia="黑体" w:cs="Times New Roman"/>
          <w:b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以上行业合计拉动GDP增长2.34个百分点。</w:t>
      </w:r>
    </w:p>
    <w:p>
      <w:pPr>
        <w:spacing w:line="560" w:lineRule="exact"/>
        <w:ind w:firstLine="642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>低于GDP增速的行业有：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批发业增加值21.36亿元，增速3.5%，占GDP的比重为10.66%，贡献率为7.54%，拉动GDP增长0.34个百分点。住宿业增加值0.27亿元，增速4.4%，占GDP的比重为0.13%，贡献率为0.12%，拉动GDP增长0.01个百分点。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教育增加值15.80亿元，增速0.9%，占GDP的比重为7.88%，贡献率为1.55%，拉动GDP增长0.07个百分点。公共管理社会保障组织增加值8.65亿元，增速2.1%，占GDP的比重为4.32%，贡献率为2.16%，拉动GDP增长0.10个百分点。卫生增加值8.34亿元，增速-1.1%，占GDP的比重为4.17%，贡献率为-1.13%，下拉GDP增长0.05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文化体育和娱乐业增加值1.35亿元，增速1.0%，占GDP的比重为0.67%，贡献率为0.17%，拉动GDP增长0.01个百分点。信息传输、软件和信息技术服务业增加值2.00亿元，增速3.8%，占GDP的比重为1.00%，贡献率为0.77%，拉动GDP增长0.04个百分点。科学研究和技术服务业增加值1.96亿元，增速-9.2%，占GDP的比重为0.98%，贡献率为-2.21%，下拉GDP增长0.10个百分点。水利、环境和公共设施管理业增加值1.43亿元，增速-3.0%，占GDP的比重为0.71%，贡献率为-0.48%，下拉GDP增长0.02个百分点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kern w:val="44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金融业增加值15.16亿元，增速-1.6%，占GDP的比重为7.57%，贡献率为-2.50%，下拉GDP增长0.11个百分点。</w:t>
      </w:r>
    </w:p>
    <w:p>
      <w:pPr>
        <w:spacing w:line="560" w:lineRule="exact"/>
        <w:ind w:firstLine="640" w:firstLineChars="200"/>
        <w:rPr>
          <w:rFonts w:ascii="黑体" w:hAnsi="黑体" w:eastAsia="黑体" w:cs="Times New Roman"/>
          <w:kern w:val="0"/>
          <w:sz w:val="32"/>
          <w:szCs w:val="32"/>
        </w:rPr>
      </w:pPr>
      <w:r>
        <w:rPr>
          <w:rFonts w:ascii="黑体" w:hAnsi="黑体" w:eastAsia="黑体" w:cs="Times New Roman"/>
          <w:kern w:val="0"/>
          <w:sz w:val="32"/>
          <w:szCs w:val="32"/>
        </w:rPr>
        <w:t>三、</w:t>
      </w:r>
      <w:r>
        <w:rPr>
          <w:rFonts w:hint="eastAsia" w:ascii="黑体" w:hAnsi="黑体" w:eastAsia="黑体" w:cs="Times New Roman"/>
          <w:sz w:val="32"/>
          <w:szCs w:val="32"/>
        </w:rPr>
        <w:t>农业生产总体稳定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-12月份，全区实现农林牧渔业总产值34043万元，同比增长3.6%。其中，农业产值30838万元，同比增长4.5%；林业产值422万元，同比增长-1.6%；牧业产值72万元，同比增长-30.5%；农林牧渔服务业总产值2710万元，同比增长9.3%。蔬菜播种面积29138亩，同比增长0.63%，产量83762吨，同比增长3.56%。全区菜农积极调整蔬菜产业种植结构，蔬菜种植品种正向多样化、规模化发展，确保“菜篮子”充足、丰富、健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2025年全区粮食生产迈上新台阶，为推动全区经济社会高质量发展提供了基础支撑，全区始终把粮食安全摆在首位，严守耕地红线，持续深入推进“藏粮于地、藏粮于技”战略，攻坚克难稳面积，千方百计提单产，全年粮食种植面积30297亩，产量13536吨，与去年基本持平。其中，夏粮播种面积14909亩，比去年同期减少23亩，产量达到6876吨，同比增长0.02%；秋粮播种面积15387亩，比去年同期增加316亩，产量达到6649吨，同比增长0.62%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四、</w:t>
      </w:r>
      <w:r>
        <w:rPr>
          <w:rFonts w:hint="eastAsia" w:ascii="Times New Roman" w:hAnsi="Times New Roman" w:eastAsia="黑体" w:cs="Times New Roman"/>
          <w:kern w:val="0"/>
          <w:sz w:val="32"/>
          <w:szCs w:val="32"/>
        </w:rPr>
        <w:t>工业经济稳健运行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12月当月，规模以上工业增加值增长-7.8%，低于全市13.9个百分点，居全市第14位。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1-12月份，规模以上工业增加值增长4.5%，低于全市3个百分点，居全市第13位，较2024年提高5.2个百分点，增速创三年新高。规模以上工业企业产品销售率为98.33%。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74295</wp:posOffset>
            </wp:positionH>
            <wp:positionV relativeFrom="paragraph">
              <wp:posOffset>861695</wp:posOffset>
            </wp:positionV>
            <wp:extent cx="5200650" cy="2543175"/>
            <wp:effectExtent l="0" t="0" r="19050" b="9525"/>
            <wp:wrapThrough wrapText="bothSides">
              <wp:wrapPolygon>
                <wp:start x="0" y="0"/>
                <wp:lineTo x="0" y="21519"/>
                <wp:lineTo x="21600" y="21519"/>
                <wp:lineTo x="21600" y="0"/>
                <wp:lineTo x="0" y="0"/>
              </wp:wrapPolygon>
            </wp:wrapThrough>
            <wp:docPr id="2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anchor>
        </w:drawing>
      </w:r>
      <w:r>
        <w:rPr>
          <w:rFonts w:hint="eastAsia" w:ascii="Times New Roman" w:hAnsi="Times New Roman" w:eastAsia="仿宋_GB2312" w:cs="Times New Roman"/>
          <w:sz w:val="32"/>
          <w:szCs w:val="32"/>
        </w:rPr>
        <w:t>1-12月份，全区规模以上工业企业营业收入同比增长8.8%，营业利润同比上涨较多，税金总额同比增长10.7%。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从全年经济运行曲线看，全区与全市大盘呈现显著不同的走势特征：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全市总体态势呈现“前高后缓”格局。上半年增速较快，但进入下半年后，增长动能逐步减弱，增速呈现回落趋势。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全区则表现为“前稳后升，年末微调”的鲜明特点。上半年，我区增速相对平稳，处于蓄力培元阶段。进入下半年，特别是第三季度以来，全区工业经济增长动能强劲释放，增速连续多月逆势上行，成为区域经济发展中一道亮丽的风景线。尽管12月份受短期因素、基数效应等影响增速有所下滑，但全年整体向上态势明确，增长基础得到实质性巩固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2025年，面对复杂严峻的宏观经济环境和多重挑战，全区工业经济总体呈现“总体平稳、稳中有进”的运行态势。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从总量规模看：全区规模以上工业企业达到93家，较上年末净增7家。全年规上工业总产值实现213.59亿元，同比增长5.1%。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从行业结构看：全区21个行业大类中有10个行业增加值同比增长，增长面达47.6%。其中，规模以上制造业增加值增长1.9%，电力、热力、燃气及水生产和供应业增加值增长5.9%。主导产业工业增加值增长3.9%，高技术制造业同比增长3.6%，战略性新兴产业增加值同比增长3.7%，增速均快于规上制造业平均水平，新动能培育壮大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五、</w:t>
      </w:r>
      <w:r>
        <w:rPr>
          <w:rFonts w:hint="eastAsia" w:ascii="黑体" w:hAnsi="黑体" w:eastAsia="黑体" w:cs="Times New Roman"/>
          <w:sz w:val="32"/>
          <w:szCs w:val="32"/>
        </w:rPr>
        <w:t>固投增速较快增长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1-12月份，全区固定资产投资同比增长14.6%，高于全市13.4个百分点，居全市第1位。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分领域看，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房地产开发投资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同比增长61.5%，高于全市  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70.7</w:t>
      </w:r>
      <w:r>
        <w:rPr>
          <w:rFonts w:ascii="Times New Roman" w:hAnsi="Times New Roman" w:eastAsia="仿宋_GB2312" w:cs="Times New Roman"/>
          <w:sz w:val="32"/>
          <w:szCs w:val="32"/>
        </w:rPr>
        <w:t>个百分点，居全市第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位。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商品房销售面积</w:t>
      </w:r>
      <w:r>
        <w:rPr>
          <w:rFonts w:ascii="Times New Roman" w:hAnsi="Times New Roman" w:eastAsia="仿宋_GB2312" w:cs="Times New Roman"/>
          <w:sz w:val="32"/>
          <w:szCs w:val="32"/>
        </w:rPr>
        <w:t>同比增长34.1%，高于全市36.4个百分点，居全市第1位；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工业投资</w:t>
      </w:r>
      <w:r>
        <w:rPr>
          <w:rFonts w:ascii="Times New Roman" w:hAnsi="Times New Roman" w:eastAsia="仿宋_GB2312" w:cs="Times New Roman"/>
          <w:sz w:val="32"/>
          <w:szCs w:val="32"/>
        </w:rPr>
        <w:t>增速呈下降态势，同比增长-24.4%，占全部投资比重17.9%，占比较去年同期减少9.2个百分点；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建安工程投资</w:t>
      </w:r>
      <w:r>
        <w:rPr>
          <w:rFonts w:ascii="Times New Roman" w:hAnsi="Times New Roman" w:eastAsia="仿宋_GB2312" w:cs="Times New Roman"/>
          <w:sz w:val="32"/>
          <w:szCs w:val="32"/>
        </w:rPr>
        <w:t>增速本月由负转正，同比增长3.6%，占全部投资比重73.4%，占比较去年同期减少7.8个百分点；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民间投资</w:t>
      </w:r>
      <w:r>
        <w:rPr>
          <w:rFonts w:ascii="Times New Roman" w:hAnsi="Times New Roman" w:eastAsia="仿宋_GB2312" w:cs="Times New Roman"/>
          <w:sz w:val="32"/>
          <w:szCs w:val="32"/>
        </w:rPr>
        <w:t>增速呈两位数增长，同比增长55.9%，占全部投资比重77.5%，占比较去年同期增加20.5个百分点；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基础设施投资</w:t>
      </w:r>
      <w:r>
        <w:rPr>
          <w:rFonts w:ascii="Times New Roman" w:hAnsi="Times New Roman" w:eastAsia="仿宋_GB2312" w:cs="Times New Roman"/>
          <w:sz w:val="32"/>
          <w:szCs w:val="32"/>
        </w:rPr>
        <w:t>增速呈下降态势，同比增长-24.8%，占全部投资比重17.5%，占比较去年同期减少9.1个百分点。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分产业看，第二产业投资同比增长-24.4%，占全部投资比重的17.9%，占比较去年减少9.2个百分点；第三产业投资同比增长29.2%，占全部投资比重的82.1%，占比较去年增长9.2个百分点。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楷体_GB2312" w:hAnsi="Times New Roman" w:eastAsia="楷体_GB2312" w:cs="Times New Roman"/>
          <w:b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sz w:val="32"/>
          <w:szCs w:val="32"/>
        </w:rPr>
        <w:t>主要亮点：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1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.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固定资产投资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两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大主要指标增速位居全市第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1位</w:t>
      </w:r>
    </w:p>
    <w:p>
      <w:pPr>
        <w:widowControl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1-12月份，全区固定资产投资增速居全市第1位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商品房销售面积增速居全市第1位，房地产开发投资增速居全市第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位，强势领跑。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2.商品房销售面积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高速增长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全区在库房地产项目14个，在库在售的5个房地产开发项目商品房销售面积共完成销售17.3万平方米。其中，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牧野镇泰和府项目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占全区房地产销售面积比重35.1%；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卫北办事处翡翠公馆项目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占全区房地产销售面积比重23.8%；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和平路办事处迎宾府项目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占全区房地产销售面积比重19.2%。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三个房地产开发项目共完成销售13.5万平方米，占全部房地产销售面积比重78%，有效拉动全区商品房销售面积增速保持高速增长，确立了牧野区商品房销售面积增速在全市的领先地位。</w:t>
      </w:r>
    </w:p>
    <w:p>
      <w:pPr>
        <w:adjustRightInd w:val="0"/>
        <w:snapToGrid w:val="0"/>
        <w:spacing w:line="560" w:lineRule="exact"/>
        <w:ind w:firstLine="642" w:firstLineChars="200"/>
        <w:rPr>
          <w:rFonts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3.房地产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开发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投资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</w:rPr>
        <w:t>拉动有力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全区在库房地产项目14个，在库在建的12个房地产开发项目共完成投资16.2亿元。其中，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翡翠公馆项目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占全区房地产投资比重35.3%；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泰和府项目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占全区房地产投资比重14.7%；</w:t>
      </w:r>
      <w:r>
        <w:rPr>
          <w:rFonts w:ascii="Times New Roman" w:hAnsi="Times New Roman" w:eastAsia="仿宋_GB2312" w:cs="Times New Roman"/>
          <w:b/>
          <w:bCs/>
          <w:sz w:val="32"/>
          <w:szCs w:val="32"/>
        </w:rPr>
        <w:t>迎宾府项目</w:t>
      </w:r>
      <w:r>
        <w:rPr>
          <w:rFonts w:ascii="Times New Roman" w:hAnsi="Times New Roman" w:eastAsia="仿宋_GB2312" w:cs="Times New Roman"/>
          <w:sz w:val="32"/>
          <w:szCs w:val="32"/>
        </w:rPr>
        <w:t>占全区房地产投资比重12.4%。三个房地产开发项目共完成投资10.13亿元，占全部房地产投资比重62.3%，有力推进全区房地产开发投资增速全市领先优势。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六、</w:t>
      </w:r>
      <w:r>
        <w:rPr>
          <w:rFonts w:hint="eastAsia" w:ascii="Times New Roman" w:hAnsi="Times New Roman" w:eastAsia="黑体" w:cs="Times New Roman"/>
          <w:kern w:val="0"/>
          <w:sz w:val="32"/>
          <w:szCs w:val="32"/>
        </w:rPr>
        <w:t>消费市场持续增长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1-12</w:t>
      </w:r>
      <w:r>
        <w:rPr>
          <w:rFonts w:ascii="Times New Roman" w:hAnsi="Times New Roman" w:eastAsia="仿宋_GB2312" w:cs="Times New Roman"/>
          <w:sz w:val="32"/>
          <w:szCs w:val="32"/>
        </w:rPr>
        <w:t>月份，全区社会消费品零售额累计完成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54.8</w:t>
      </w:r>
      <w:r>
        <w:rPr>
          <w:rFonts w:ascii="Times New Roman" w:hAnsi="Times New Roman" w:eastAsia="仿宋_GB2312" w:cs="Times New Roman"/>
          <w:sz w:val="32"/>
          <w:szCs w:val="32"/>
        </w:rPr>
        <w:t>亿元，居全市第1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位，同比增长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sz w:val="32"/>
          <w:szCs w:val="32"/>
        </w:rPr>
        <w:t>%，居全市第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9</w:t>
      </w:r>
      <w:r>
        <w:rPr>
          <w:rFonts w:ascii="Times New Roman" w:hAnsi="Times New Roman" w:eastAsia="仿宋_GB2312" w:cs="Times New Roman"/>
          <w:sz w:val="32"/>
          <w:szCs w:val="32"/>
        </w:rPr>
        <w:t>位。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1-12</w:t>
      </w:r>
      <w:r>
        <w:rPr>
          <w:rFonts w:ascii="Times New Roman" w:hAnsi="Times New Roman" w:eastAsia="仿宋_GB2312" w:cs="Times New Roman"/>
          <w:sz w:val="32"/>
          <w:szCs w:val="32"/>
        </w:rPr>
        <w:t>月份，限上企业零售总额累计完成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23.8</w:t>
      </w:r>
      <w:r>
        <w:rPr>
          <w:rFonts w:ascii="Times New Roman" w:hAnsi="Times New Roman" w:eastAsia="仿宋_GB2312" w:cs="Times New Roman"/>
          <w:sz w:val="32"/>
          <w:szCs w:val="32"/>
        </w:rPr>
        <w:t>亿元，同比增长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3.3</w:t>
      </w:r>
      <w:r>
        <w:rPr>
          <w:rFonts w:ascii="Times New Roman" w:hAnsi="Times New Roman" w:eastAsia="仿宋_GB2312" w:cs="Times New Roman"/>
          <w:sz w:val="32"/>
          <w:szCs w:val="32"/>
        </w:rPr>
        <w:t>%；限上企业销售额累计完成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89.9</w:t>
      </w:r>
      <w:r>
        <w:rPr>
          <w:rFonts w:ascii="Times New Roman" w:hAnsi="Times New Roman" w:eastAsia="仿宋_GB2312" w:cs="Times New Roman"/>
          <w:sz w:val="32"/>
          <w:szCs w:val="32"/>
        </w:rPr>
        <w:t>亿元，同比增长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0.1</w:t>
      </w:r>
      <w:r>
        <w:rPr>
          <w:rFonts w:ascii="Times New Roman" w:hAnsi="Times New Roman" w:eastAsia="仿宋_GB2312" w:cs="Times New Roman"/>
          <w:sz w:val="32"/>
          <w:szCs w:val="32"/>
        </w:rPr>
        <w:t>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限上零售额当月增速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12.6</w:t>
      </w:r>
      <w:r>
        <w:rPr>
          <w:rFonts w:ascii="Times New Roman" w:hAnsi="Times New Roman" w:eastAsia="仿宋_GB2312" w:cs="Times New Roman"/>
          <w:sz w:val="32"/>
          <w:szCs w:val="32"/>
        </w:rPr>
        <w:t>%，居全市第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位。重点零售企业中，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中石油零售额增速-7.8%；烟草销售额增速2.6%；申众汽车零售额增速14.8%；威佳兴通汽车零售额增速17.7%；威佳广兴汽车零售额增速17.1%；威佳宏兴汽车零售额增速12.2%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受家电补贴影响，家电类的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合胜欣科技零售额完成1635万元，增速较高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美悦兴零售额完成1401万元，增速129.2%。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吃穿用类厚添商业管理有限公司零售额完成1783万元，增速较高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沿黄供销零售额完成8165万元，增速16.7%。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重点零售商品类值中，占全区限上消费品零售总额比重37%以上的石油及制品类累计增速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-6.8</w:t>
      </w:r>
      <w:r>
        <w:rPr>
          <w:rFonts w:ascii="Times New Roman" w:hAnsi="Times New Roman" w:eastAsia="仿宋_GB2312" w:cs="Times New Roman"/>
          <w:sz w:val="32"/>
          <w:szCs w:val="32"/>
        </w:rPr>
        <w:t>%；占全区限上消费品零售总额比重46.5%以上汽车类累计增速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4.4</w:t>
      </w:r>
      <w:r>
        <w:rPr>
          <w:rFonts w:ascii="Times New Roman" w:hAnsi="Times New Roman" w:eastAsia="仿宋_GB2312" w:cs="Times New Roman"/>
          <w:sz w:val="32"/>
          <w:szCs w:val="32"/>
        </w:rPr>
        <w:t>%，起到重要支撑作用；占全区限上消费品零售总额比重3.5%家用电器类，累计增速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4.9</w:t>
      </w:r>
      <w:r>
        <w:rPr>
          <w:rFonts w:ascii="Times New Roman" w:hAnsi="Times New Roman" w:eastAsia="仿宋_GB2312" w:cs="Times New Roman"/>
          <w:sz w:val="32"/>
          <w:szCs w:val="32"/>
        </w:rPr>
        <w:t>%。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六、其他</w:t>
      </w:r>
      <w:r>
        <w:rPr>
          <w:rFonts w:hint="eastAsia" w:ascii="Times New Roman" w:hAnsi="Times New Roman" w:eastAsia="黑体" w:cs="Times New Roman"/>
          <w:sz w:val="32"/>
          <w:szCs w:val="32"/>
        </w:rPr>
        <w:t>服务业增速放缓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-12月份，全区规模以上服务业实现营业收入24.7亿元，同比增长-6.9%，较上月下降1.4个百分点；其他营利性服务业实现营业收入1.7亿元，同比增长11.2%。其他运输业实现营业收入1704万元，同比增长-10.2%；房地产业实现营业收入25742万元，同比增长19.4%；水利、环境和公共设施管理业实现营业收入2.64亿元，同比增长-4.7%；租赁和商务服务业实现营业收入1.55亿元，同比增长10.7%；科学研究和技术服务业实现营业收入1254万元，同比增长17.9%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1-12月份，全区仅有6家服务业企业入库，申报的服务业企业属于商务服务、交通运输、房地产3个行业，仍未填补互联网、居民服务、文体娱空白行业。要加大政策扶持和摸排企业力度，推动互联网、居民服务、文体娱企业尽早入库。</w:t>
      </w: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七</w:t>
      </w:r>
      <w:r>
        <w:rPr>
          <w:rFonts w:ascii="Times New Roman" w:hAnsi="Times New Roman" w:eastAsia="黑体" w:cs="Times New Roman"/>
          <w:sz w:val="32"/>
          <w:szCs w:val="32"/>
        </w:rPr>
        <w:t>、“四上”企业入库工作</w:t>
      </w:r>
      <w:r>
        <w:rPr>
          <w:rFonts w:hint="eastAsia" w:ascii="Times New Roman" w:hAnsi="Times New Roman" w:eastAsia="黑体" w:cs="Times New Roman"/>
          <w:sz w:val="32"/>
          <w:szCs w:val="32"/>
        </w:rPr>
        <w:t>成效显著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shd w:val="clear" w:color="auto" w:fill="FFFFFF"/>
        </w:rPr>
        <w:t>1-12月份，全区“四上”企业入库53家，其中：工业7家，建筑业1家，房地产3家，零售业15家，批发业15家，住宿业3家，餐饮业3家，服务业6家，入库数量居历年之最。此外，新乡市万达广场已正式完成提交城市商业综合体入库，填补全市商业综合体空白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总的来看，2025年牧野区经济运行稳中有进，高质量发展取得新成效，这是在国际形势深刻复杂变化、不稳定不确定性因素显著增多的背景下实现的，是在周期性、结构性经济问题叠加的挑战中取得的，成绩来之不易、弥足珍贵，为“十五五”新征程奠定了更坚实的基础、积攒了更充足的底气。但也要看到，当前全区经济发展中的老问题、新挑战仍然不少，经济持续向好的基础仍需进一步巩固。下一阶段，要落实更加积极有为的宏观政策，纵深推进融入和服务全国统一大市场，推动经济实现质的有效提升和量的合理增长，保持社会和谐稳定，实现“十五五”良好开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kMzlkMGNjOTFlZWMzYTQ4NjNkNzM0N2E1MWQyNjMifQ=="/>
  </w:docVars>
  <w:rsids>
    <w:rsidRoot w:val="00377332"/>
    <w:rsid w:val="0002783A"/>
    <w:rsid w:val="0003351D"/>
    <w:rsid w:val="000473F5"/>
    <w:rsid w:val="00066911"/>
    <w:rsid w:val="0007332D"/>
    <w:rsid w:val="000A4825"/>
    <w:rsid w:val="000E46FF"/>
    <w:rsid w:val="00142856"/>
    <w:rsid w:val="0014398B"/>
    <w:rsid w:val="002A11CB"/>
    <w:rsid w:val="002B0697"/>
    <w:rsid w:val="002F55FC"/>
    <w:rsid w:val="003029B1"/>
    <w:rsid w:val="00371BD2"/>
    <w:rsid w:val="00377332"/>
    <w:rsid w:val="003859CE"/>
    <w:rsid w:val="004F6D57"/>
    <w:rsid w:val="0055468A"/>
    <w:rsid w:val="006D0E26"/>
    <w:rsid w:val="006E2035"/>
    <w:rsid w:val="006E341F"/>
    <w:rsid w:val="006F5452"/>
    <w:rsid w:val="007905AF"/>
    <w:rsid w:val="007961B8"/>
    <w:rsid w:val="007E4D7D"/>
    <w:rsid w:val="00810170"/>
    <w:rsid w:val="008B5428"/>
    <w:rsid w:val="008B659D"/>
    <w:rsid w:val="008F4B54"/>
    <w:rsid w:val="008F5E11"/>
    <w:rsid w:val="00992AAC"/>
    <w:rsid w:val="009A7685"/>
    <w:rsid w:val="009E5A07"/>
    <w:rsid w:val="00AB5C8A"/>
    <w:rsid w:val="00AC3072"/>
    <w:rsid w:val="00B31EDD"/>
    <w:rsid w:val="00B438BF"/>
    <w:rsid w:val="00BB6A51"/>
    <w:rsid w:val="00BD1D5B"/>
    <w:rsid w:val="00BF3898"/>
    <w:rsid w:val="00C47C10"/>
    <w:rsid w:val="00C73871"/>
    <w:rsid w:val="00C923AA"/>
    <w:rsid w:val="00D33692"/>
    <w:rsid w:val="00D412D9"/>
    <w:rsid w:val="00D56034"/>
    <w:rsid w:val="00D85342"/>
    <w:rsid w:val="00EB0E53"/>
    <w:rsid w:val="00EB1EE9"/>
    <w:rsid w:val="00EB6CCF"/>
    <w:rsid w:val="00F00F87"/>
    <w:rsid w:val="00F00FF3"/>
    <w:rsid w:val="00F26F8C"/>
    <w:rsid w:val="00F65385"/>
    <w:rsid w:val="00F81E67"/>
    <w:rsid w:val="00F83D68"/>
    <w:rsid w:val="00F92410"/>
    <w:rsid w:val="00F94D4A"/>
    <w:rsid w:val="00FE40B0"/>
    <w:rsid w:val="0D051A00"/>
    <w:rsid w:val="46557A79"/>
    <w:rsid w:val="465970EE"/>
    <w:rsid w:val="D57D6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cs="Times New Roman"/>
      <w:b/>
      <w:bCs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8"/>
    <w:qFormat/>
    <w:uiPriority w:val="99"/>
    <w:pPr>
      <w:ind w:left="100" w:leftChars="2500"/>
    </w:p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日期 Char"/>
    <w:basedOn w:val="7"/>
    <w:link w:val="3"/>
    <w:qFormat/>
    <w:uiPriority w:val="99"/>
  </w:style>
  <w:style w:type="character" w:customStyle="1" w:styleId="9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标题 1 Char"/>
    <w:basedOn w:val="7"/>
    <w:link w:val="2"/>
    <w:qFormat/>
    <w:uiPriority w:val="9"/>
    <w:rPr>
      <w:rFonts w:ascii="宋体" w:hAnsi="宋体" w:eastAsia="宋体" w:cs="Times New Roman"/>
      <w:b/>
      <w:bCs/>
      <w:kern w:val="44"/>
      <w:sz w:val="48"/>
      <w:szCs w:val="48"/>
    </w:rPr>
  </w:style>
  <w:style w:type="paragraph" w:customStyle="1" w:styleId="12">
    <w:name w:val="_Style 4"/>
    <w:basedOn w:val="1"/>
    <w:semiHidden/>
    <w:uiPriority w:val="0"/>
    <w:pPr>
      <w:spacing w:line="360" w:lineRule="auto"/>
    </w:pPr>
    <w:rPr>
      <w:rFonts w:ascii="宋体" w:hAnsi="Times New Roman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 </a:t>
            </a:r>
            <a:r>
              <a:rPr lang="en-US" altLang="zh-CN">
                <a:latin typeface="仿宋_GB2312" panose="02010609030101010101" pitchFamily="3" charset="-122"/>
                <a:ea typeface="仿宋_GB2312" panose="02010609030101010101" pitchFamily="3" charset="-122"/>
              </a:rPr>
              <a:t>2025</a:t>
            </a:r>
            <a:r>
              <a:rPr lang="zh-CN" altLang="en-US">
                <a:latin typeface="仿宋_GB2312" panose="02010609030101010101" pitchFamily="3" charset="-122"/>
                <a:ea typeface="仿宋_GB2312" panose="02010609030101010101" pitchFamily="3" charset="-122"/>
              </a:rPr>
              <a:t>年规模以上工业增加值累计增速（</a:t>
            </a:r>
            <a:r>
              <a:rPr lang="en-US" altLang="zh-CN">
                <a:latin typeface="仿宋_GB2312" panose="02010609030101010101" pitchFamily="3" charset="-122"/>
                <a:ea typeface="仿宋_GB2312" panose="02010609030101010101" pitchFamily="3" charset="-122"/>
              </a:rPr>
              <a:t>%</a:t>
            </a:r>
            <a:r>
              <a:rPr lang="zh-CN" altLang="en-US">
                <a:latin typeface="仿宋_GB2312" panose="02010609030101010101" pitchFamily="3" charset="-122"/>
                <a:ea typeface="仿宋_GB2312" panose="02010609030101010101" pitchFamily="3" charset="-122"/>
              </a:rPr>
              <a:t>）</a:t>
            </a:r>
            <a:endParaRPr lang="zh-CN" altLang="en-US">
              <a:latin typeface="仿宋_GB2312" panose="02010609030101010101" pitchFamily="3" charset="-122"/>
              <a:ea typeface="仿宋_GB2312" panose="02010609030101010101" pitchFamily="3" charset="-122"/>
            </a:endParaRP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新乡市</c:v>
                </c:pt>
              </c:strCache>
            </c:strRef>
          </c:tx>
          <c:spPr>
            <a:ln w="31750" cap="rnd" cmpd="sng" algn="ctr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 cap="flat" cmpd="sng" algn="ctr">
                <a:solidFill>
                  <a:schemeClr val="accent1"/>
                </a:solidFill>
                <a:prstDash val="solid"/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6195" tIns="0" rIns="38100" bIns="21590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Sheet1!$A$2:$A$12</c:f>
              <c:strCache>
                <c:ptCount val="11"/>
                <c:pt idx="0">
                  <c:v>1-2月</c:v>
                </c:pt>
                <c:pt idx="1">
                  <c:v>1-3月</c:v>
                </c:pt>
                <c:pt idx="2">
                  <c:v>1-4月</c:v>
                </c:pt>
                <c:pt idx="3">
                  <c:v>1-5月</c:v>
                </c:pt>
                <c:pt idx="4">
                  <c:v>1-6月</c:v>
                </c:pt>
                <c:pt idx="5">
                  <c:v>1-7月</c:v>
                </c:pt>
                <c:pt idx="6">
                  <c:v>1-8月</c:v>
                </c:pt>
                <c:pt idx="7">
                  <c:v>1-9月</c:v>
                </c:pt>
                <c:pt idx="8">
                  <c:v>1-10月</c:v>
                </c:pt>
                <c:pt idx="9">
                  <c:v>1-11月</c:v>
                </c:pt>
                <c:pt idx="10">
                  <c:v>1-12月</c:v>
                </c:pt>
              </c:strCache>
            </c:strRef>
          </c:cat>
          <c:val>
            <c:numRef>
              <c:f>Sheet1!$B$2:$B$12</c:f>
              <c:numCache>
                <c:formatCode>0.0_ </c:formatCode>
                <c:ptCount val="11"/>
                <c:pt idx="0">
                  <c:v>8.8</c:v>
                </c:pt>
                <c:pt idx="1">
                  <c:v>8.6</c:v>
                </c:pt>
                <c:pt idx="2">
                  <c:v>8.6</c:v>
                </c:pt>
                <c:pt idx="3">
                  <c:v>8.4</c:v>
                </c:pt>
                <c:pt idx="4">
                  <c:v>7.7</c:v>
                </c:pt>
                <c:pt idx="5">
                  <c:v>7.9</c:v>
                </c:pt>
                <c:pt idx="6">
                  <c:v>8</c:v>
                </c:pt>
                <c:pt idx="7">
                  <c:v>7.5</c:v>
                </c:pt>
                <c:pt idx="8">
                  <c:v>7.5</c:v>
                </c:pt>
                <c:pt idx="9">
                  <c:v>7.6</c:v>
                </c:pt>
                <c:pt idx="10">
                  <c:v>7.5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牧野区</c:v>
                </c:pt>
              </c:strCache>
            </c:strRef>
          </c:tx>
          <c:spPr>
            <a:ln w="28575" cap="rnd" cmpd="sng" algn="ctr">
              <a:solidFill>
                <a:schemeClr val="accent2"/>
              </a:solidFill>
              <a:prstDash val="solid"/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 cap="flat" cmpd="sng" algn="ctr">
                <a:solidFill>
                  <a:schemeClr val="accent2"/>
                </a:solidFill>
                <a:prstDash val="solid"/>
                <a:round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6195" tIns="179705" rIns="36195" bIns="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Sheet1!$A$2:$A$12</c:f>
              <c:strCache>
                <c:ptCount val="11"/>
                <c:pt idx="0">
                  <c:v>1-2月</c:v>
                </c:pt>
                <c:pt idx="1">
                  <c:v>1-3月</c:v>
                </c:pt>
                <c:pt idx="2">
                  <c:v>1-4月</c:v>
                </c:pt>
                <c:pt idx="3">
                  <c:v>1-5月</c:v>
                </c:pt>
                <c:pt idx="4">
                  <c:v>1-6月</c:v>
                </c:pt>
                <c:pt idx="5">
                  <c:v>1-7月</c:v>
                </c:pt>
                <c:pt idx="6">
                  <c:v>1-8月</c:v>
                </c:pt>
                <c:pt idx="7">
                  <c:v>1-9月</c:v>
                </c:pt>
                <c:pt idx="8">
                  <c:v>1-10月</c:v>
                </c:pt>
                <c:pt idx="9">
                  <c:v>1-11月</c:v>
                </c:pt>
                <c:pt idx="10">
                  <c:v>1-12月</c:v>
                </c:pt>
              </c:strCache>
            </c:strRef>
          </c:cat>
          <c:val>
            <c:numRef>
              <c:f>Sheet1!$C$2:$C$12</c:f>
              <c:numCache>
                <c:formatCode>0.0_ </c:formatCode>
                <c:ptCount val="11"/>
                <c:pt idx="0">
                  <c:v>4.1</c:v>
                </c:pt>
                <c:pt idx="1">
                  <c:v>3.8</c:v>
                </c:pt>
                <c:pt idx="2">
                  <c:v>4.7</c:v>
                </c:pt>
                <c:pt idx="3">
                  <c:v>3.7</c:v>
                </c:pt>
                <c:pt idx="4">
                  <c:v>3.9</c:v>
                </c:pt>
                <c:pt idx="5">
                  <c:v>5.3</c:v>
                </c:pt>
                <c:pt idx="6">
                  <c:v>6</c:v>
                </c:pt>
                <c:pt idx="7">
                  <c:v>5.2</c:v>
                </c:pt>
                <c:pt idx="8">
                  <c:v>5.9</c:v>
                </c:pt>
                <c:pt idx="9">
                  <c:v>6</c:v>
                </c:pt>
                <c:pt idx="10">
                  <c:v>4.5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315147776"/>
        <c:axId val="315149312"/>
      </c:lineChart>
      <c:catAx>
        <c:axId val="315147776"/>
        <c:scaling>
          <c:orientation val="minMax"/>
        </c:scaling>
        <c:delete val="0"/>
        <c:axPos val="b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15149312"/>
        <c:crosses val="autoZero"/>
        <c:auto val="1"/>
        <c:lblAlgn val="ctr"/>
        <c:lblOffset val="100"/>
        <c:noMultiLvlLbl val="0"/>
      </c:catAx>
      <c:valAx>
        <c:axId val="3151493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0.0_ " sourceLinked="1"/>
        <c:majorTickMark val="out"/>
        <c:minorTickMark val="none"/>
        <c:tickLblPos val="nextTo"/>
        <c:spPr>
          <a:noFill/>
          <a:ln w="9525" cap="flat" cmpd="sng" algn="ctr">
            <a:noFill/>
            <a:prstDash val="solid"/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15147776"/>
        <c:crosses val="autoZero"/>
        <c:crossBetween val="between"/>
      </c:valAx>
      <c:dTable>
        <c:showHorzBorder val="1"/>
        <c:showVertBorder val="1"/>
        <c:showOutline val="1"/>
        <c:showKeys val="0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</c:dTable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883</Words>
  <Characters>5037</Characters>
  <Lines>41</Lines>
  <Paragraphs>11</Paragraphs>
  <TotalTime>167</TotalTime>
  <ScaleCrop>false</ScaleCrop>
  <LinksUpToDate>false</LinksUpToDate>
  <CharactersWithSpaces>5909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2023-03-22T17:47:00Z</dcterms:created>
  <dc:creator>Lenovo</dc:creator>
  <cp:lastModifiedBy>administrator</cp:lastModifiedBy>
  <cp:lastPrinted>2023-06-30T16:33:00Z</cp:lastPrinted>
  <dcterms:modified xsi:type="dcterms:W3CDTF">2026-03-03T14:57:59Z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4A31BA4C3A334639A3BE9C3DB254A3C3_13</vt:lpwstr>
  </property>
  <property fmtid="{D5CDD505-2E9C-101B-9397-08002B2CF9AE}" pid="4" name="KSOTemplateDocerSaveRecord">
    <vt:lpwstr>eyJoZGlkIjoiYTNkMzlkMGNjOTFlZWMzYTQ4NjNkNzM0N2E1MWQyNjMifQ==</vt:lpwstr>
  </property>
</Properties>
</file>