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Times New Roman" w:hAnsi="Times New Roman" w:eastAsia="方正小标宋简体" w:cs="Times New Roman"/>
          <w:w w:val="90"/>
          <w:sz w:val="44"/>
          <w:szCs w:val="44"/>
        </w:rPr>
      </w:pPr>
      <w:bookmarkStart w:id="2" w:name="_GoBack"/>
      <w:r>
        <w:rPr>
          <w:rFonts w:hint="eastAsia" w:ascii="Times New Roman" w:hAnsi="Times New Roman" w:eastAsia="方正小标宋简体" w:cs="Times New Roman"/>
          <w:w w:val="90"/>
          <w:sz w:val="44"/>
          <w:szCs w:val="44"/>
          <w:lang w:val="en-US" w:eastAsia="zh-CN"/>
        </w:rPr>
        <w:t>2026年</w:t>
      </w:r>
      <w:r>
        <w:rPr>
          <w:rFonts w:ascii="Times New Roman" w:hAnsi="Times New Roman" w:eastAsia="方正小标宋简体" w:cs="Times New Roman"/>
          <w:w w:val="90"/>
          <w:sz w:val="44"/>
          <w:szCs w:val="44"/>
        </w:rPr>
        <w:t>牧野区1-</w:t>
      </w:r>
      <w:r>
        <w:rPr>
          <w:rFonts w:hint="eastAsia" w:ascii="Times New Roman" w:hAnsi="Times New Roman" w:eastAsia="方正小标宋简体" w:cs="Times New Roman"/>
          <w:w w:val="90"/>
          <w:sz w:val="44"/>
          <w:szCs w:val="44"/>
        </w:rPr>
        <w:t>3</w:t>
      </w:r>
      <w:r>
        <w:rPr>
          <w:rFonts w:ascii="Times New Roman" w:hAnsi="Times New Roman" w:eastAsia="方正小标宋简体" w:cs="Times New Roman"/>
          <w:w w:val="90"/>
          <w:sz w:val="44"/>
          <w:szCs w:val="44"/>
        </w:rPr>
        <w:t>月份主要经济指标运行情况</w:t>
      </w:r>
    </w:p>
    <w:bookmarkEnd w:id="2"/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bCs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今年以来，全区聚焦“1+2+4+N”目标任务体系，纵深推进融入服务全国统一大市场建设，着力稳就业、稳企业、稳市场、稳预期，生产供给较快增长，有效需求不断释放，质量效益持续改善，一季度经济开局良好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一</w:t>
      </w:r>
      <w:r>
        <w:rPr>
          <w:rFonts w:ascii="Times New Roman" w:hAnsi="Times New Roman" w:eastAsia="黑体" w:cs="Times New Roman"/>
          <w:sz w:val="32"/>
          <w:szCs w:val="32"/>
        </w:rPr>
        <w:t>、</w:t>
      </w:r>
      <w:r>
        <w:rPr>
          <w:rFonts w:ascii="Times New Roman" w:hAnsi="Times New Roman" w:eastAsia="黑体" w:cs="Times New Roman"/>
          <w:bCs/>
          <w:sz w:val="32"/>
          <w:szCs w:val="32"/>
        </w:rPr>
        <w:t>1-</w:t>
      </w:r>
      <w:r>
        <w:rPr>
          <w:rFonts w:hint="eastAsia" w:ascii="Times New Roman" w:hAnsi="Times New Roman" w:eastAsia="黑体" w:cs="Times New Roman"/>
          <w:bCs/>
          <w:sz w:val="32"/>
          <w:szCs w:val="32"/>
        </w:rPr>
        <w:t>3</w:t>
      </w:r>
      <w:r>
        <w:rPr>
          <w:rFonts w:ascii="Times New Roman" w:hAnsi="Times New Roman" w:eastAsia="黑体" w:cs="Times New Roman"/>
          <w:bCs/>
          <w:sz w:val="32"/>
          <w:szCs w:val="32"/>
        </w:rPr>
        <w:t>月份主要经济指标完成情况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全区地区生产总值（GDP）实现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47.99</w:t>
      </w:r>
      <w:r>
        <w:rPr>
          <w:rFonts w:ascii="Times New Roman" w:hAnsi="Times New Roman" w:eastAsia="仿宋_GB2312" w:cs="Times New Roman"/>
          <w:sz w:val="32"/>
          <w:szCs w:val="32"/>
        </w:rPr>
        <w:t>亿元，居全市第10位；按可比价计算，同比增长4.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%。三次产业结构比：0.48:34.07:65.45。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规模以上工业增加值同比增长1.7%。固定资产投资同比增长14.3%，居全市第2位。商品房</w:t>
      </w:r>
      <w:r>
        <w:rPr>
          <w:rFonts w:ascii="Times New Roman" w:hAnsi="Times New Roman" w:eastAsia="仿宋_GB2312" w:cs="Times New Roman"/>
          <w:sz w:val="32"/>
          <w:szCs w:val="32"/>
        </w:rPr>
        <w:t>销售面积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同比增长11.4</w:t>
      </w:r>
      <w:r>
        <w:rPr>
          <w:rFonts w:ascii="Times New Roman" w:hAnsi="Times New Roman" w:eastAsia="仿宋_GB2312" w:cs="Times New Roman"/>
          <w:sz w:val="32"/>
          <w:szCs w:val="32"/>
        </w:rPr>
        <w:t>%，居全市第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位。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社会消费品零售额累计完成14.2亿元，居全市第12位，同比增长3.7%，居全市第5位。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bookmarkStart w:id="0" w:name="OLE_LINK2"/>
      <w:r>
        <w:rPr>
          <w:rFonts w:hint="eastAsia" w:ascii="Times New Roman" w:hAnsi="Times New Roman" w:eastAsia="仿宋_GB2312" w:cs="Times New Roman"/>
          <w:sz w:val="32"/>
          <w:szCs w:val="32"/>
        </w:rPr>
        <w:t>全区居民人均可支配收入13231.2元，居全市第1位，同比增长2.8%，居全市第13位。其中，城镇居民人均可支配收入13535.1元，居全市第2位，同比增长2.6%，居全市第14位；农村居民人均可支配收入7724.2元，居全市第2位，同比增长5.3%，居全市第12位。</w:t>
      </w:r>
      <w:bookmarkEnd w:id="0"/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bCs/>
          <w:sz w:val="32"/>
          <w:szCs w:val="32"/>
        </w:rPr>
        <w:t>经济运行平稳开局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bookmarkStart w:id="1" w:name="OLE_LINK1"/>
      <w:r>
        <w:rPr>
          <w:rFonts w:hint="eastAsia" w:ascii="Times New Roman" w:hAnsi="Times New Roman" w:eastAsia="仿宋_GB2312" w:cs="Times New Roman"/>
          <w:sz w:val="32"/>
          <w:szCs w:val="32"/>
        </w:rPr>
        <w:t>1-3月份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bookmarkEnd w:id="1"/>
      <w:r>
        <w:rPr>
          <w:rFonts w:hint="eastAsia" w:ascii="Times New Roman" w:hAnsi="Times New Roman" w:eastAsia="仿宋_GB2312" w:cs="Times New Roman"/>
          <w:sz w:val="32"/>
          <w:szCs w:val="32"/>
        </w:rPr>
        <w:t>全区</w:t>
      </w:r>
      <w:r>
        <w:rPr>
          <w:rFonts w:ascii="Times New Roman" w:hAnsi="Times New Roman" w:eastAsia="仿宋_GB2312" w:cs="Times New Roman"/>
          <w:sz w:val="32"/>
          <w:szCs w:val="32"/>
        </w:rPr>
        <w:t>地区生产总值（GDP）实现4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7.99</w:t>
      </w:r>
      <w:r>
        <w:rPr>
          <w:rFonts w:ascii="Times New Roman" w:hAnsi="Times New Roman" w:eastAsia="仿宋_GB2312" w:cs="Times New Roman"/>
          <w:sz w:val="32"/>
          <w:szCs w:val="32"/>
        </w:rPr>
        <w:t>亿元，居全市第10位，同比增长4.5%。</w:t>
      </w:r>
    </w:p>
    <w:p>
      <w:pPr>
        <w:spacing w:line="560" w:lineRule="exact"/>
        <w:ind w:firstLine="642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分产业看，第一产业</w:t>
      </w:r>
      <w:r>
        <w:rPr>
          <w:rFonts w:ascii="Times New Roman" w:hAnsi="Times New Roman" w:eastAsia="仿宋_GB2312" w:cs="Times New Roman"/>
          <w:sz w:val="32"/>
          <w:szCs w:val="32"/>
        </w:rPr>
        <w:t>增加值完成0.23亿元，居全市第11位，同比增长2.5%，居全市第10位。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第二产业</w:t>
      </w:r>
      <w:r>
        <w:rPr>
          <w:rFonts w:ascii="Times New Roman" w:hAnsi="Times New Roman" w:eastAsia="仿宋_GB2312" w:cs="Times New Roman"/>
          <w:sz w:val="32"/>
          <w:szCs w:val="32"/>
        </w:rPr>
        <w:t>增加值完成16.35亿元，居全市第11位；同比增长2.9%，居全市第12位。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第三产业</w:t>
      </w:r>
      <w:r>
        <w:rPr>
          <w:rFonts w:ascii="Times New Roman" w:hAnsi="Times New Roman" w:eastAsia="仿宋_GB2312" w:cs="Times New Roman"/>
          <w:sz w:val="32"/>
          <w:szCs w:val="32"/>
        </w:rPr>
        <w:t>增加值完成31.41亿元，居全市第6位；同比增长5.3%。三次产业结构比：0.48:34.07:65.45。</w:t>
      </w:r>
    </w:p>
    <w:p>
      <w:pPr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（一）第一产业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1-3月份，全区</w:t>
      </w:r>
      <w:r>
        <w:rPr>
          <w:rFonts w:ascii="Times New Roman" w:hAnsi="Times New Roman" w:eastAsia="仿宋_GB2312" w:cs="Times New Roman"/>
          <w:sz w:val="32"/>
          <w:szCs w:val="32"/>
        </w:rPr>
        <w:t>实现农林牧渔业增加值0.23亿元，同比增长2.5%，对GDP贡献率为0.27%，拉动GDP增长0.01个百分点。</w:t>
      </w:r>
    </w:p>
    <w:p>
      <w:pPr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（二）</w:t>
      </w:r>
      <w:r>
        <w:rPr>
          <w:rFonts w:ascii="楷体_GB2312" w:hAnsi="Times New Roman" w:eastAsia="楷体_GB2312" w:cs="Times New Roman"/>
          <w:b/>
          <w:sz w:val="32"/>
          <w:szCs w:val="32"/>
        </w:rPr>
        <w:t>第二产业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</w:t>
      </w:r>
      <w:r>
        <w:rPr>
          <w:rFonts w:ascii="Times New Roman" w:hAnsi="Times New Roman" w:eastAsia="仿宋_GB2312" w:cs="Times New Roman"/>
          <w:sz w:val="32"/>
          <w:szCs w:val="32"/>
        </w:rPr>
        <w:t>全区工业增加值（含规下）完成13.38亿元，增速4.6%（规上增速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1.7%，规下增速6.4%</w:t>
      </w:r>
      <w:r>
        <w:rPr>
          <w:rFonts w:ascii="Times New Roman" w:hAnsi="Times New Roman" w:eastAsia="仿宋_GB2312" w:cs="Times New Roman"/>
          <w:sz w:val="32"/>
          <w:szCs w:val="32"/>
        </w:rPr>
        <w:t>），对GDP贡献率为28.92%，拉动GDP增长1.29个百分点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其中：电热水增加值7.09亿元，占GDP的比重为14.77%，增速4.2%，低于全区GDP增速0.3个百分点，对GDP贡献率为13.86%，拉动GDP增长0.62个百分点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；</w:t>
      </w:r>
      <w:r>
        <w:rPr>
          <w:rFonts w:ascii="Times New Roman" w:hAnsi="Times New Roman" w:eastAsia="仿宋_GB2312" w:cs="Times New Roman"/>
          <w:sz w:val="32"/>
          <w:szCs w:val="32"/>
        </w:rPr>
        <w:t>制造业增加值6.29亿元，占GDP的比重为13.01%，增速5.1%，高于全区GDP增速0.6个百分点，对GDP贡献率为15.06%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拉动GDP增长0.67个百分点。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</w:t>
      </w:r>
      <w:r>
        <w:rPr>
          <w:rFonts w:ascii="Times New Roman" w:hAnsi="Times New Roman" w:eastAsia="仿宋_GB2312" w:cs="Times New Roman"/>
          <w:sz w:val="32"/>
          <w:szCs w:val="32"/>
        </w:rPr>
        <w:t>建筑业增加值完成2.98亿元，占GDP的比重为6.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19</w:t>
      </w:r>
      <w:r>
        <w:rPr>
          <w:rFonts w:ascii="Times New Roman" w:hAnsi="Times New Roman" w:eastAsia="仿宋_GB2312" w:cs="Times New Roman"/>
          <w:sz w:val="32"/>
          <w:szCs w:val="32"/>
        </w:rPr>
        <w:t>%，增速-4.2%，对GDP贡献率为-6.38%，下拉GDP0.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个百分点。</w:t>
      </w:r>
    </w:p>
    <w:p>
      <w:pPr>
        <w:spacing w:line="560" w:lineRule="exact"/>
        <w:ind w:left="319" w:leftChars="152" w:firstLine="321" w:firstLineChars="1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（三）第三产业</w:t>
      </w:r>
    </w:p>
    <w:p>
      <w:pPr>
        <w:spacing w:line="560" w:lineRule="exact"/>
        <w:ind w:firstLine="642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高于全区GDP增速的行业有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9个，分别是</w:t>
      </w:r>
      <w:r>
        <w:rPr>
          <w:rFonts w:ascii="Times New Roman" w:hAnsi="Times New Roman" w:eastAsia="仿宋_GB2312" w:cs="Times New Roman"/>
          <w:b/>
          <w:sz w:val="32"/>
          <w:szCs w:val="32"/>
        </w:rPr>
        <w:t>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</w:t>
      </w:r>
      <w:r>
        <w:rPr>
          <w:rFonts w:ascii="Times New Roman" w:hAnsi="Times New Roman" w:eastAsia="仿宋_GB2312" w:cs="Times New Roman"/>
          <w:sz w:val="32"/>
          <w:szCs w:val="32"/>
        </w:rPr>
        <w:t>交通运输、仓储和邮政业增加值4.02亿元，增速9.9%，占GDP的比重为8.37%，贡献率为17.87%，拉动GDP增长0.8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个百分点，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特别是</w:t>
      </w:r>
      <w:r>
        <w:rPr>
          <w:rFonts w:ascii="Times New Roman" w:hAnsi="Times New Roman" w:eastAsia="仿宋_GB2312" w:cs="Times New Roman"/>
          <w:sz w:val="32"/>
          <w:szCs w:val="32"/>
        </w:rPr>
        <w:t>邮政业增加值3.07亿元，增速12.7%，占GDP的比重为6.40%，贡献率为17.29%，拉动GDP增长0.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81</w:t>
      </w:r>
      <w:r>
        <w:rPr>
          <w:rFonts w:ascii="Times New Roman" w:hAnsi="Times New Roman" w:eastAsia="仿宋_GB2312" w:cs="Times New Roman"/>
          <w:sz w:val="32"/>
          <w:szCs w:val="32"/>
        </w:rPr>
        <w:t>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房地产业增加值3.79亿元，增速6.5%，占GDP的比重为7.89%，贡献率为24.73%，拉动GDP增长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0.51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卫生和社会工作增加值2.41亿元，增速6.2%，占GDP的比重为5.02%，贡献率为6.66%，拉动GDP增长0.3个百分点。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4.</w:t>
      </w:r>
      <w:r>
        <w:rPr>
          <w:rFonts w:ascii="Times New Roman" w:hAnsi="Times New Roman" w:eastAsia="仿宋_GB2312" w:cs="Times New Roman"/>
          <w:sz w:val="32"/>
          <w:szCs w:val="32"/>
        </w:rPr>
        <w:t>零售业增加值1.08亿元，增速7.1%，占GDP的比重为2.25%，贡献率为3.46%，拉动GDP增长0.1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6</w:t>
      </w:r>
      <w:r>
        <w:rPr>
          <w:rFonts w:ascii="Times New Roman" w:hAnsi="Times New Roman" w:eastAsia="仿宋_GB2312" w:cs="Times New Roman"/>
          <w:sz w:val="32"/>
          <w:szCs w:val="32"/>
        </w:rPr>
        <w:t>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5.</w:t>
      </w:r>
      <w:r>
        <w:rPr>
          <w:rFonts w:ascii="Times New Roman" w:hAnsi="Times New Roman" w:eastAsia="仿宋_GB2312" w:cs="Times New Roman"/>
          <w:sz w:val="32"/>
          <w:szCs w:val="32"/>
        </w:rPr>
        <w:t>餐饮业增加值0.52亿元，增速4.9%，占GDP的比重为1.08%，贡献率为1.16%，拉动GDP增长0.05个百分点。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6.</w:t>
      </w:r>
      <w:r>
        <w:rPr>
          <w:rFonts w:ascii="Times New Roman" w:hAnsi="Times New Roman" w:eastAsia="仿宋_GB2312" w:cs="Times New Roman"/>
          <w:sz w:val="32"/>
          <w:szCs w:val="32"/>
        </w:rPr>
        <w:t>信息传输、软件和信息技术服务业增加值0.56亿元，增速40.4%，占GDP的比重为1.16%，贡献率为11.15%，拉动GDP增长0.50个百分点。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highlight w:val="green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7.</w:t>
      </w:r>
      <w:r>
        <w:rPr>
          <w:rFonts w:ascii="Times New Roman" w:hAnsi="Times New Roman" w:eastAsia="仿宋_GB2312" w:cs="Times New Roman"/>
          <w:sz w:val="32"/>
          <w:szCs w:val="32"/>
        </w:rPr>
        <w:t>科学研究和技术服务业增加值0.76亿元，增速7.5%，占GDP的比重为1.58%，贡献率为2.50%，拉动GDP增长0.1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8.</w:t>
      </w:r>
      <w:r>
        <w:rPr>
          <w:rFonts w:ascii="Times New Roman" w:hAnsi="Times New Roman" w:eastAsia="仿宋_GB2312" w:cs="Times New Roman"/>
          <w:sz w:val="32"/>
          <w:szCs w:val="32"/>
        </w:rPr>
        <w:t>租赁和商务服务业增加值0.83亿元，增速6.0%，占GDP的比重为1.74%，贡献率为2.32%，拉动GDP增长0.1个百分点。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9.</w:t>
      </w:r>
      <w:r>
        <w:rPr>
          <w:rFonts w:ascii="Times New Roman" w:hAnsi="Times New Roman" w:eastAsia="仿宋_GB2312" w:cs="Times New Roman"/>
          <w:sz w:val="32"/>
          <w:szCs w:val="32"/>
        </w:rPr>
        <w:t>居民服务、修理和其他服务业增加值1.22亿元，增速19.7%，占GDP的比重为2.55%，贡献率为9.57%，拉动GDP增长0.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个百分点。</w:t>
      </w:r>
    </w:p>
    <w:p>
      <w:pPr>
        <w:spacing w:line="560" w:lineRule="exact"/>
        <w:ind w:firstLine="642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低于全区GDP增速的行业有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7个，分别是</w:t>
      </w:r>
      <w:r>
        <w:rPr>
          <w:rFonts w:ascii="Times New Roman" w:hAnsi="Times New Roman" w:eastAsia="仿宋_GB2312" w:cs="Times New Roman"/>
          <w:b/>
          <w:sz w:val="32"/>
          <w:szCs w:val="32"/>
        </w:rPr>
        <w:t>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</w:t>
      </w:r>
      <w:r>
        <w:rPr>
          <w:rFonts w:ascii="Times New Roman" w:hAnsi="Times New Roman" w:eastAsia="仿宋_GB2312" w:cs="Times New Roman"/>
          <w:sz w:val="32"/>
          <w:szCs w:val="32"/>
        </w:rPr>
        <w:t>批发业增加值4.30亿元，增速0.6%，占GDP的比重为8.9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7</w:t>
      </w:r>
      <w:r>
        <w:rPr>
          <w:rFonts w:ascii="Times New Roman" w:hAnsi="Times New Roman" w:eastAsia="仿宋_GB2312" w:cs="Times New Roman"/>
          <w:sz w:val="32"/>
          <w:szCs w:val="32"/>
        </w:rPr>
        <w:t>%，贡献率为1.26%，拉动GDP增长0.06个百分点。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</w:t>
      </w:r>
      <w:r>
        <w:rPr>
          <w:rFonts w:ascii="Times New Roman" w:hAnsi="Times New Roman" w:eastAsia="仿宋_GB2312" w:cs="Times New Roman"/>
          <w:sz w:val="32"/>
          <w:szCs w:val="32"/>
        </w:rPr>
        <w:t>住宿业增加值0.05亿元，增速4.1%，占GDP的比重为0.10%，贡献率为0.09%，拉动GDP增长0.004个百分点。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3.</w:t>
      </w:r>
      <w:r>
        <w:rPr>
          <w:rFonts w:ascii="Times New Roman" w:hAnsi="Times New Roman" w:eastAsia="仿宋_GB2312" w:cs="Times New Roman"/>
          <w:sz w:val="32"/>
          <w:szCs w:val="32"/>
        </w:rPr>
        <w:t>教育增加值4.82亿元，增速2.4%，占GDP的比重为10.05%，贡献率为5.34%，拉动GDP增长0.24个百分点。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4.</w:t>
      </w:r>
      <w:r>
        <w:rPr>
          <w:rFonts w:ascii="Times New Roman" w:hAnsi="Times New Roman" w:eastAsia="仿宋_GB2312" w:cs="Times New Roman"/>
          <w:sz w:val="32"/>
          <w:szCs w:val="32"/>
        </w:rPr>
        <w:t>公共管理社会保障组织增加值2.26亿元，增速2.1%，占GDP的比重为4.7%，贡献率为2.22%，拉动GDP增长0.1个百分点。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5.</w:t>
      </w:r>
      <w:r>
        <w:rPr>
          <w:rFonts w:ascii="Times New Roman" w:hAnsi="Times New Roman" w:eastAsia="仿宋_GB2312" w:cs="Times New Roman"/>
          <w:sz w:val="32"/>
          <w:szCs w:val="32"/>
        </w:rPr>
        <w:t>文化体育和娱乐业增加值0.36亿元，增速-4.4%，占GDP的比重为0.75%，贡献率为-0.79%，下拉GDP增长0.04个百分点。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6.</w:t>
      </w:r>
      <w:r>
        <w:rPr>
          <w:rFonts w:ascii="Times New Roman" w:hAnsi="Times New Roman" w:eastAsia="仿宋_GB2312" w:cs="Times New Roman"/>
          <w:sz w:val="32"/>
          <w:szCs w:val="32"/>
        </w:rPr>
        <w:t>水利、环境和公共设施管理业增加值0.39亿元，增速4.3%，占GDP的比重为0.82%，贡献率为0.79%，拉动GDP增长0.04个百分点。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7.</w:t>
      </w:r>
      <w:r>
        <w:rPr>
          <w:rFonts w:ascii="Times New Roman" w:hAnsi="Times New Roman" w:eastAsia="仿宋_GB2312" w:cs="Times New Roman"/>
          <w:sz w:val="32"/>
          <w:szCs w:val="32"/>
        </w:rPr>
        <w:t>金融业增加值4.03亿元，增速0.8%，占GDP的比重为8.39%，贡献率为1.53%，拉动GDP增长0.07个百分点。</w:t>
      </w:r>
    </w:p>
    <w:p>
      <w:pPr>
        <w:spacing w:line="560" w:lineRule="exact"/>
        <w:ind w:firstLine="640" w:firstLineChars="200"/>
        <w:rPr>
          <w:rFonts w:ascii="黑体" w:hAnsi="黑体" w:eastAsia="黑体" w:cs="Times New Roman"/>
          <w:kern w:val="0"/>
          <w:sz w:val="32"/>
          <w:szCs w:val="32"/>
        </w:rPr>
      </w:pPr>
      <w:r>
        <w:rPr>
          <w:rFonts w:ascii="黑体" w:hAnsi="黑体" w:eastAsia="黑体" w:cs="Times New Roman"/>
          <w:kern w:val="0"/>
          <w:sz w:val="32"/>
          <w:szCs w:val="32"/>
        </w:rPr>
        <w:t>三、</w:t>
      </w:r>
      <w:r>
        <w:rPr>
          <w:rFonts w:hint="eastAsia" w:ascii="黑体" w:hAnsi="黑体" w:eastAsia="黑体" w:cs="Times New Roman"/>
          <w:sz w:val="32"/>
          <w:szCs w:val="32"/>
        </w:rPr>
        <w:t>农业生产总体稳定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全区继续加大对农业生产支持力度，扎实做好粮食、蔬菜等农产品安全供给，保证市场供应充足，抓紧抓实春耕生产，为夏粮丰收打下基础，重点抓好稳预期、稳产能和降风险等工作，确保全区农业生产运行在合理区间。一季度，全区实现农林牧渔业增加值0.39亿元，同比增长3.0%，居全市第7位。其中，农业产值3569万元，同比增长4.9%；林业产值8万元，同比下降-3.6%；服务业总产值422万元，同比增长8.5%；蔬菜播种面积262公顷，同比增长3.4%，产量8627吨，同比增长4.8%。全区农业生产实现了质的有效提升和量的合理增长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t>四、</w:t>
      </w:r>
      <w:r>
        <w:rPr>
          <w:rFonts w:hint="eastAsia" w:ascii="Times New Roman" w:hAnsi="Times New Roman" w:eastAsia="黑体" w:cs="Times New Roman"/>
          <w:kern w:val="0"/>
          <w:sz w:val="32"/>
          <w:szCs w:val="32"/>
        </w:rPr>
        <w:t>工业生产增速回落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3月份，规模以上工业增加值增长-3.0%，低于全市11.1个百分点，居全市第15位。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1-3月份，规模以上工业增加值增长1.7%，低于全市6.3个百分点，居全市第15位。规模以上工业产销率为88.5%。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1-3月份，规模以上工业企业营业收入同比增长2.6%，营业利润同比减亏，税金总额同比增长2.1%。（数据不包含国网河南省电力公司新乡供电公司）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（一）运行情况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1.分门类看，制造业增加值占全区比重30.6%，同比增长-0.5%；电力、热力、燃气及水生产和供应业增加值占全区比重69.4%，同比增长2.7%。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分行业看，全区规模以上工业生产的20个行业大类中有8个行业增加值保持同比增长，行业增长面40%。重点行业中电力、热力生产和供应业增长2.7%，拉动规模以上工业增加值增长1.9百分点。计算机、通信和其他电子设备制造业同比增长7.0%，拉动规模以上工业增加值增长1.1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3.从高质量发展方面看，高技术产业增加值增长1.4%，拉动规模以上工业增加值增长0.2个百分点。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4.从主导产业方面看，规模以上工业主导产业工业增加值增长0.7%，拉动规模以上工业增加值增长0.1个百分点。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（二）下一步工作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1. 全力破解企业融资难题，助推产能快速释放。持续强化政企联动，主动对接金融部门，全力协助资金短缺的重点工业企业对接银行贷款资源，积极搭建银企合作平台，协助企业完善融资手续、争取信贷额度，加快解决企业流动资金短缺问题。待企业资金困境缓解后，紧盯企业产能释放，推动企业产值实现增长，尽快扭转全区工业经济下滑态势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 优化工业产业结构，培育经济增长新动能。针对当前产业结构单一问题，一方面持续做好国电、科隆、天力等存量重点企业运行监测，精准掌握生产经营态势，挖掘稳定增长潜力；另一方面加大中小工业企业培育力度，积极摸排辖区内具备升规潜力的企业，建立梯度培育清单，强化政策帮扶指导，推动更多优质企业纳入规上工业统计范围，逐步构建多元支撑的工业经济格局，增强全区工业经济增长韧性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五、有效</w:t>
      </w:r>
      <w:r>
        <w:rPr>
          <w:rFonts w:hint="eastAsia" w:ascii="黑体" w:hAnsi="黑体" w:eastAsia="黑体" w:cs="Times New Roman"/>
          <w:sz w:val="32"/>
          <w:szCs w:val="32"/>
        </w:rPr>
        <w:t>投资持续扩大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-3</w:t>
      </w:r>
      <w:r>
        <w:rPr>
          <w:rFonts w:ascii="Times New Roman" w:hAnsi="Times New Roman" w:eastAsia="仿宋_GB2312" w:cs="Times New Roman"/>
          <w:sz w:val="32"/>
          <w:szCs w:val="32"/>
        </w:rPr>
        <w:t>月份，全区固定资产投资同比增长14.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%，高于全市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14.3</w:t>
      </w:r>
      <w:r>
        <w:rPr>
          <w:rFonts w:ascii="Times New Roman" w:hAnsi="Times New Roman" w:eastAsia="仿宋_GB2312" w:cs="Times New Roman"/>
          <w:sz w:val="32"/>
          <w:szCs w:val="32"/>
        </w:rPr>
        <w:t>个百分点，居全市第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分领域看，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房地产开发投资</w:t>
      </w:r>
      <w:r>
        <w:rPr>
          <w:rFonts w:ascii="Times New Roman" w:hAnsi="Times New Roman" w:eastAsia="仿宋_GB2312" w:cs="Times New Roman"/>
          <w:sz w:val="32"/>
          <w:szCs w:val="32"/>
        </w:rPr>
        <w:t>同比增长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18.7</w:t>
      </w:r>
      <w:r>
        <w:rPr>
          <w:rFonts w:ascii="Times New Roman" w:hAnsi="Times New Roman" w:eastAsia="仿宋_GB2312" w:cs="Times New Roman"/>
          <w:sz w:val="32"/>
          <w:szCs w:val="32"/>
        </w:rPr>
        <w:t>%，高于全市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8</w:t>
      </w:r>
      <w:r>
        <w:rPr>
          <w:rFonts w:ascii="Times New Roman" w:hAnsi="Times New Roman" w:eastAsia="仿宋_GB2312" w:cs="Times New Roman"/>
          <w:sz w:val="32"/>
          <w:szCs w:val="32"/>
        </w:rPr>
        <w:t>个百分点，居全市第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6</w:t>
      </w:r>
      <w:r>
        <w:rPr>
          <w:rFonts w:ascii="Times New Roman" w:hAnsi="Times New Roman" w:eastAsia="仿宋_GB2312" w:cs="Times New Roman"/>
          <w:sz w:val="32"/>
          <w:szCs w:val="32"/>
        </w:rPr>
        <w:t>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商品房销售面积</w:t>
      </w:r>
      <w:r>
        <w:rPr>
          <w:rFonts w:ascii="Times New Roman" w:hAnsi="Times New Roman" w:eastAsia="仿宋_GB2312" w:cs="Times New Roman"/>
          <w:sz w:val="32"/>
          <w:szCs w:val="32"/>
        </w:rPr>
        <w:t>同比增长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11.4</w:t>
      </w:r>
      <w:r>
        <w:rPr>
          <w:rFonts w:ascii="Times New Roman" w:hAnsi="Times New Roman" w:eastAsia="仿宋_GB2312" w:cs="Times New Roman"/>
          <w:sz w:val="32"/>
          <w:szCs w:val="32"/>
        </w:rPr>
        <w:t>%，高于全市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13.6</w:t>
      </w:r>
      <w:r>
        <w:rPr>
          <w:rFonts w:ascii="Times New Roman" w:hAnsi="Times New Roman" w:eastAsia="仿宋_GB2312" w:cs="Times New Roman"/>
          <w:sz w:val="32"/>
          <w:szCs w:val="32"/>
        </w:rPr>
        <w:t>个百分点，居全市第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位；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工业投资</w:t>
      </w:r>
      <w:r>
        <w:rPr>
          <w:rFonts w:ascii="Times New Roman" w:hAnsi="Times New Roman" w:eastAsia="仿宋_GB2312" w:cs="Times New Roman"/>
          <w:sz w:val="32"/>
          <w:szCs w:val="32"/>
        </w:rPr>
        <w:t>增速呈下降态势，同比增长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-61.7</w:t>
      </w:r>
      <w:r>
        <w:rPr>
          <w:rFonts w:ascii="Times New Roman" w:hAnsi="Times New Roman" w:eastAsia="仿宋_GB2312" w:cs="Times New Roman"/>
          <w:sz w:val="32"/>
          <w:szCs w:val="32"/>
        </w:rPr>
        <w:t>%，占全部投资比重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的7.4</w:t>
      </w:r>
      <w:r>
        <w:rPr>
          <w:rFonts w:ascii="Times New Roman" w:hAnsi="Times New Roman" w:eastAsia="仿宋_GB2312" w:cs="Times New Roman"/>
          <w:sz w:val="32"/>
          <w:szCs w:val="32"/>
        </w:rPr>
        <w:t>%，占比较去年同期减少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14.5</w:t>
      </w:r>
      <w:r>
        <w:rPr>
          <w:rFonts w:ascii="Times New Roman" w:hAnsi="Times New Roman" w:eastAsia="仿宋_GB2312" w:cs="Times New Roman"/>
          <w:sz w:val="32"/>
          <w:szCs w:val="32"/>
        </w:rPr>
        <w:t>个百分点；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基础设施投资</w:t>
      </w:r>
      <w:r>
        <w:rPr>
          <w:rFonts w:ascii="Times New Roman" w:hAnsi="Times New Roman" w:eastAsia="仿宋_GB2312" w:cs="Times New Roman"/>
          <w:sz w:val="32"/>
          <w:szCs w:val="32"/>
        </w:rPr>
        <w:t>同比增长-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62.8</w:t>
      </w:r>
      <w:r>
        <w:rPr>
          <w:rFonts w:ascii="Times New Roman" w:hAnsi="Times New Roman" w:eastAsia="仿宋_GB2312" w:cs="Times New Roman"/>
          <w:sz w:val="32"/>
          <w:szCs w:val="32"/>
        </w:rPr>
        <w:t>%，占全部投资比重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的6.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占比较去年同期减少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14.3</w:t>
      </w:r>
      <w:r>
        <w:rPr>
          <w:rFonts w:ascii="Times New Roman" w:hAnsi="Times New Roman" w:eastAsia="仿宋_GB2312" w:cs="Times New Roman"/>
          <w:sz w:val="32"/>
          <w:szCs w:val="32"/>
        </w:rPr>
        <w:t>个百分点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建安工程投资</w:t>
      </w:r>
      <w:r>
        <w:rPr>
          <w:rFonts w:ascii="Times New Roman" w:hAnsi="Times New Roman" w:eastAsia="仿宋_GB2312" w:cs="Times New Roman"/>
          <w:sz w:val="32"/>
          <w:szCs w:val="32"/>
        </w:rPr>
        <w:t>同比增长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-2.1</w:t>
      </w:r>
      <w:r>
        <w:rPr>
          <w:rFonts w:ascii="Times New Roman" w:hAnsi="Times New Roman" w:eastAsia="仿宋_GB2312" w:cs="Times New Roman"/>
          <w:sz w:val="32"/>
          <w:szCs w:val="32"/>
        </w:rPr>
        <w:t>%，占全部投资比重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的62.5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占比较去年同期减少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10.5</w:t>
      </w:r>
      <w:r>
        <w:rPr>
          <w:rFonts w:ascii="Times New Roman" w:hAnsi="Times New Roman" w:eastAsia="仿宋_GB2312" w:cs="Times New Roman"/>
          <w:sz w:val="32"/>
          <w:szCs w:val="32"/>
        </w:rPr>
        <w:t>个百分点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民间投资</w:t>
      </w:r>
      <w:r>
        <w:rPr>
          <w:rFonts w:ascii="Times New Roman" w:hAnsi="Times New Roman" w:eastAsia="仿宋_GB2312" w:cs="Times New Roman"/>
          <w:sz w:val="32"/>
          <w:szCs w:val="32"/>
        </w:rPr>
        <w:t>增速呈两位数增长，同比增长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45.7</w:t>
      </w:r>
      <w:r>
        <w:rPr>
          <w:rFonts w:ascii="Times New Roman" w:hAnsi="Times New Roman" w:eastAsia="仿宋_GB2312" w:cs="Times New Roman"/>
          <w:sz w:val="32"/>
          <w:szCs w:val="32"/>
        </w:rPr>
        <w:t>%，占全部投资比重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的87.1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占比较去年同期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增长18.8</w:t>
      </w:r>
      <w:r>
        <w:rPr>
          <w:rFonts w:ascii="Times New Roman" w:hAnsi="Times New Roman" w:eastAsia="仿宋_GB2312" w:cs="Times New Roman"/>
          <w:sz w:val="32"/>
          <w:szCs w:val="32"/>
        </w:rPr>
        <w:t>个百分点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分产业看，</w:t>
      </w:r>
      <w:r>
        <w:rPr>
          <w:rFonts w:ascii="Times New Roman" w:hAnsi="Times New Roman" w:eastAsia="仿宋_GB2312" w:cs="Times New Roman"/>
          <w:b/>
          <w:bCs/>
          <w:color w:val="262626"/>
          <w:sz w:val="32"/>
          <w:szCs w:val="32"/>
          <w:shd w:val="clear" w:color="auto" w:fill="FFFFFF"/>
        </w:rPr>
        <w:t>第二产业投资</w:t>
      </w:r>
      <w:r>
        <w:rPr>
          <w:rFonts w:ascii="Times New Roman" w:hAnsi="Times New Roman" w:eastAsia="仿宋_GB2312" w:cs="Times New Roman"/>
          <w:color w:val="262626"/>
          <w:sz w:val="32"/>
          <w:szCs w:val="32"/>
          <w:shd w:val="clear" w:color="auto" w:fill="FFFFFF"/>
        </w:rPr>
        <w:t>同比增长</w:t>
      </w:r>
      <w:r>
        <w:rPr>
          <w:rFonts w:hint="eastAsia" w:ascii="Times New Roman" w:hAnsi="Times New Roman" w:eastAsia="仿宋_GB2312" w:cs="Times New Roman"/>
          <w:color w:val="262626"/>
          <w:sz w:val="32"/>
          <w:szCs w:val="32"/>
          <w:shd w:val="clear" w:color="auto" w:fill="FFFFFF"/>
        </w:rPr>
        <w:t>-61.7</w:t>
      </w:r>
      <w:r>
        <w:rPr>
          <w:rFonts w:ascii="Times New Roman" w:hAnsi="Times New Roman" w:eastAsia="仿宋_GB2312" w:cs="Times New Roman"/>
          <w:color w:val="262626"/>
          <w:sz w:val="32"/>
          <w:szCs w:val="32"/>
          <w:shd w:val="clear" w:color="auto" w:fill="FFFFFF"/>
        </w:rPr>
        <w:t>%；</w:t>
      </w:r>
      <w:r>
        <w:rPr>
          <w:rFonts w:ascii="Times New Roman" w:hAnsi="Times New Roman" w:eastAsia="仿宋_GB2312" w:cs="Times New Roman"/>
          <w:b/>
          <w:bCs/>
          <w:color w:val="262626"/>
          <w:sz w:val="32"/>
          <w:szCs w:val="32"/>
          <w:shd w:val="clear" w:color="auto" w:fill="FFFFFF"/>
        </w:rPr>
        <w:t>第三产业投资</w:t>
      </w:r>
      <w:r>
        <w:rPr>
          <w:rFonts w:ascii="Times New Roman" w:hAnsi="Times New Roman" w:eastAsia="仿宋_GB2312" w:cs="Times New Roman"/>
          <w:color w:val="262626"/>
          <w:sz w:val="32"/>
          <w:szCs w:val="32"/>
          <w:shd w:val="clear" w:color="auto" w:fill="FFFFFF"/>
        </w:rPr>
        <w:t>同比增长</w:t>
      </w:r>
      <w:r>
        <w:rPr>
          <w:rFonts w:hint="eastAsia" w:ascii="Times New Roman" w:hAnsi="Times New Roman" w:eastAsia="仿宋_GB2312" w:cs="Times New Roman"/>
          <w:color w:val="262626"/>
          <w:sz w:val="32"/>
          <w:szCs w:val="32"/>
          <w:shd w:val="clear" w:color="auto" w:fill="FFFFFF"/>
        </w:rPr>
        <w:t>35.6%。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（一）主要亮点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 xml:space="preserve"> </w:t>
      </w:r>
    </w:p>
    <w:p>
      <w:pPr>
        <w:widowControl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1-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月份，全区固定资产投资增速居全市第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商品房销售面积增速居全市第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位，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位次均居全市第一方阵。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1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.商品房销售面积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高速增长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全区在库房地产项目14个，在库在售的5个房地产开发项目商品房销售面积共完成销售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4.73</w:t>
      </w:r>
      <w:r>
        <w:rPr>
          <w:rFonts w:ascii="Times New Roman" w:hAnsi="Times New Roman" w:eastAsia="仿宋_GB2312" w:cs="Times New Roman"/>
          <w:sz w:val="32"/>
          <w:szCs w:val="32"/>
        </w:rPr>
        <w:t>万平方米。其中，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和平路办事处迎宾府项目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占全区房地产销售面积比重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25.8</w:t>
      </w:r>
      <w:r>
        <w:rPr>
          <w:rFonts w:ascii="Times New Roman" w:hAnsi="Times New Roman" w:eastAsia="仿宋_GB2312" w:cs="Times New Roman"/>
          <w:sz w:val="32"/>
          <w:szCs w:val="32"/>
        </w:rPr>
        <w:t>%，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牧野镇泰和府项目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占全区房地产销售面积比重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24.5</w:t>
      </w:r>
      <w:r>
        <w:rPr>
          <w:rFonts w:ascii="Times New Roman" w:hAnsi="Times New Roman" w:eastAsia="仿宋_GB2312" w:cs="Times New Roman"/>
          <w:sz w:val="32"/>
          <w:szCs w:val="32"/>
        </w:rPr>
        <w:t>%；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荣校路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的褐石公园四期项目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占全区房地产销售面积比重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22.6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三个房地产开发项目共完成销售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3.45</w:t>
      </w:r>
      <w:r>
        <w:rPr>
          <w:rFonts w:ascii="Times New Roman" w:hAnsi="Times New Roman" w:eastAsia="仿宋_GB2312" w:cs="Times New Roman"/>
          <w:sz w:val="32"/>
          <w:szCs w:val="32"/>
        </w:rPr>
        <w:t>万平方米，占全部房地产销售面积比重7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%，有效拉动全区商品房销售面积保持高速增长，确立了牧野区商品房销售面积增速在全市的领先地位。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3.房地产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开发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投资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拉动有力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全区房地产开发项目共完成投资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7.73</w:t>
      </w:r>
      <w:r>
        <w:rPr>
          <w:rFonts w:ascii="Times New Roman" w:hAnsi="Times New Roman" w:eastAsia="仿宋_GB2312" w:cs="Times New Roman"/>
          <w:sz w:val="32"/>
          <w:szCs w:val="32"/>
        </w:rPr>
        <w:t>亿元，占全部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固定资产</w:t>
      </w:r>
      <w:r>
        <w:rPr>
          <w:rFonts w:ascii="Times New Roman" w:hAnsi="Times New Roman" w:eastAsia="仿宋_GB2312" w:cs="Times New Roman"/>
          <w:sz w:val="32"/>
          <w:szCs w:val="32"/>
        </w:rPr>
        <w:t>投资比重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78.7</w:t>
      </w:r>
      <w:r>
        <w:rPr>
          <w:rFonts w:ascii="Times New Roman" w:hAnsi="Times New Roman" w:eastAsia="仿宋_GB2312" w:cs="Times New Roman"/>
          <w:sz w:val="32"/>
          <w:szCs w:val="32"/>
        </w:rPr>
        <w:t>%，有力推进全区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固投</w:t>
      </w:r>
      <w:r>
        <w:rPr>
          <w:rFonts w:ascii="Times New Roman" w:hAnsi="Times New Roman" w:eastAsia="仿宋_GB2312" w:cs="Times New Roman"/>
          <w:sz w:val="32"/>
          <w:szCs w:val="32"/>
        </w:rPr>
        <w:t>增速在全市的领先优势。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（二）下一步工作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高度重视重大项目的推进和实施，确保能够按时、按质、按量完成，为固定资产投资增长提供坚实的支撑。要强化重大建设项目牵引，充分发挥政府主导的基础设施投资“压舱石”作用，破解问题瓶颈、加快项目建设。通过政策引导、资金扶持等措施，鼓励更多项目落地生根、入库纳统，为固定资产投资增长增添新的动力。进一步激发民间投资新活力，注重企业技术改造投资，从而提升全区固定资产投资的有效性和持续性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t>六、</w:t>
      </w:r>
      <w:r>
        <w:rPr>
          <w:rFonts w:hint="eastAsia" w:ascii="Times New Roman" w:hAnsi="Times New Roman" w:eastAsia="黑体" w:cs="Times New Roman"/>
          <w:kern w:val="0"/>
          <w:sz w:val="32"/>
          <w:szCs w:val="32"/>
        </w:rPr>
        <w:t>消费市场平稳增长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1-3月份，全区社会消费品零售额累计完成14.2亿元，居全市第12位，同比增长3.7%，居全市第5位。其中，限上企业零售总额完成6.4亿元，同比增长15%。</w:t>
      </w:r>
    </w:p>
    <w:p>
      <w:pPr>
        <w:spacing w:line="560" w:lineRule="exact"/>
        <w:ind w:firstLine="642" w:firstLineChars="200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楷体_GB2312" w:cs="Times New Roman"/>
          <w:b/>
          <w:sz w:val="32"/>
          <w:szCs w:val="32"/>
        </w:rPr>
        <w:t>（一）重点行业经济指标运行情况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限上零售额3月当月增速10.7%，居全市第9位。重点零售企业中，中石油零售额增速9.0%，烟草销售额增速3.9%，威佳兴通汽车零售额增速14.2%，威佳广兴汽车零售额增速14.3%，威佳宏兴汽车零售额增速14.4%相对较好。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受家电补贴影响，家电类的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合胜欣科技零售额增速754%，新乡市康桥商贸有限公司零售额增速157.9%。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吃穿用类新乡沿黄供销有限公司零售额增速93.9%，厚添商业管理有限公司零售额增速较高，惠丰玛特超市零售额增速116.3%。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综合商业体新乡市万达广场当月总增速-5.3%。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重点零售商品类值中，占全区限上消费品零售总额比重37%以上的石油及制品类累计增速8.4%；占全区限上消费品零售总额比重46.5%以上汽车类累计增速11.7%，起到重要支撑作用；占全区限上消费品零售总额比重3.5%家用电器类，累计增速32.7%。</w:t>
      </w:r>
    </w:p>
    <w:p>
      <w:pPr>
        <w:spacing w:line="560" w:lineRule="exact"/>
        <w:ind w:firstLine="642" w:firstLineChars="200"/>
        <w:rPr>
          <w:rFonts w:ascii="Times New Roman" w:hAnsi="Times New Roman" w:eastAsia="楷体_GB2312" w:cs="Times New Roman"/>
          <w:b/>
          <w:sz w:val="32"/>
          <w:szCs w:val="32"/>
        </w:rPr>
      </w:pPr>
      <w:r>
        <w:rPr>
          <w:rFonts w:ascii="Times New Roman" w:hAnsi="Times New Roman" w:eastAsia="楷体_GB2312" w:cs="Times New Roman"/>
          <w:b/>
          <w:sz w:val="32"/>
          <w:szCs w:val="32"/>
        </w:rPr>
        <w:t>（</w:t>
      </w:r>
      <w:r>
        <w:rPr>
          <w:rFonts w:hint="eastAsia" w:ascii="Times New Roman" w:hAnsi="Times New Roman" w:eastAsia="楷体_GB2312" w:cs="Times New Roman"/>
          <w:b/>
          <w:sz w:val="32"/>
          <w:szCs w:val="32"/>
        </w:rPr>
        <w:t>二</w:t>
      </w:r>
      <w:r>
        <w:rPr>
          <w:rFonts w:ascii="Times New Roman" w:hAnsi="Times New Roman" w:eastAsia="楷体_GB2312" w:cs="Times New Roman"/>
          <w:b/>
          <w:sz w:val="32"/>
          <w:szCs w:val="32"/>
        </w:rPr>
        <w:t>）下一步工作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密切关注重点行业、重点企业经营态势，精准把握消费市场变化趋势。积极挖掘新增纳统潜力，对达标贸易企业做好跟踪培育，推动及时入统。落实各项促消费政策，引导企业丰富业态、拓展市场，全力稳定商贸经济增长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六、其他</w:t>
      </w:r>
      <w:r>
        <w:rPr>
          <w:rFonts w:hint="eastAsia" w:ascii="Times New Roman" w:hAnsi="Times New Roman" w:eastAsia="黑体" w:cs="Times New Roman"/>
          <w:sz w:val="32"/>
          <w:szCs w:val="32"/>
        </w:rPr>
        <w:t>服务业增速放缓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-3月份，全区规模以上服务业实现营业收入7.2亿元，同比增长-3.4%；其他营利性服务业实现营业收入1.3亿元，同比增长7.7%。其他运输业实现营业收入558万元，同比增长-9%；房地产业实现营业收入1545万元，同比增长17.6%；水利、环境和公共设施管理业实现营业收入6166万元，同比增长4.5%；租赁和商务服务业实现营业收入4602万元，同比增长9.7%；科学研究和技术服务业实现营业收入370万元，同比增长18.2%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七、建筑业平稳增长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1-3月份，全区建筑业总产值同比增长-5.2%。其中，建筑工程产值完成19.68亿元，同比下降8.9%；安装工程产值完成2.45亿元，同比下降18.33%。竣工产值完成6.35亿元，同比下降22.18%。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全区21家建筑业企业中，资质较强、规模较大的企业共4家。这4家建筑业企业占全部建筑业总产值的98.28%，成为拉动全区建筑业增加值增长、第二产业GDP核算贡献较大的建筑业龙头企业。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其中，河南省第二建设集团有限公司总产值增速4.6%；河南省第二建筑工程发展有限公司总产值增速-27.25%；新乡华源电力集团有限公司总产值增速18.33%；河南达成建设有限公司总产值增速-94.62%（该企业一季度项目处于停工状态，导致产值增速大幅下降）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进一步优化建筑业企业的经营环境，本地区项目在承接方面向注册在我区的建筑企业倾斜。进一步降低建设单位承接项目成本，积极协助企业在融资等方面与金融行业对接，</w:t>
      </w:r>
      <w:r>
        <w:rPr>
          <w:rFonts w:ascii="Times New Roman" w:hAnsi="Times New Roman" w:eastAsia="仿宋_GB2312" w:cs="Times New Roman"/>
          <w:sz w:val="32"/>
          <w:szCs w:val="32"/>
        </w:rPr>
        <w:t>协调企业解决用工、融资、原材料供应等困难，帮助企业实现增产和扩产。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综合来看，在上年同期较高基数的基础上，一季度全区经济稳中有进、进中向好。但也要看到，外部形势更加复杂多变，国内供强需弱矛盾仍然突出，工业经济向好基础仍需巩固。下阶段，要牢固树立和践行正确政绩观，聚焦“1+2+4+N”目标任务体系，以纵深推进融入服务全国统一大市场建设为牵引，着力稳就业、稳企业、稳市场、稳预期，加力增优势、增动能、增活力、增效益，不断巩固拓展经济运行稳中向好态势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kMzlkMGNjOTFlZWMzYTQ4NjNkNzM0N2E1MWQyNjMifQ=="/>
  </w:docVars>
  <w:rsids>
    <w:rsidRoot w:val="00377332"/>
    <w:rsid w:val="00003241"/>
    <w:rsid w:val="0002783A"/>
    <w:rsid w:val="0003351D"/>
    <w:rsid w:val="000473F5"/>
    <w:rsid w:val="00066911"/>
    <w:rsid w:val="0007332D"/>
    <w:rsid w:val="000A4825"/>
    <w:rsid w:val="000C0886"/>
    <w:rsid w:val="000E46FF"/>
    <w:rsid w:val="0012427B"/>
    <w:rsid w:val="00142856"/>
    <w:rsid w:val="0014398B"/>
    <w:rsid w:val="00284354"/>
    <w:rsid w:val="002A11CB"/>
    <w:rsid w:val="002B0697"/>
    <w:rsid w:val="002B50C3"/>
    <w:rsid w:val="002B561C"/>
    <w:rsid w:val="002F55FC"/>
    <w:rsid w:val="003029B1"/>
    <w:rsid w:val="003104D5"/>
    <w:rsid w:val="00336FCC"/>
    <w:rsid w:val="00371BD2"/>
    <w:rsid w:val="00377332"/>
    <w:rsid w:val="003859CE"/>
    <w:rsid w:val="003C69CF"/>
    <w:rsid w:val="00495BA6"/>
    <w:rsid w:val="004F6D57"/>
    <w:rsid w:val="0055468A"/>
    <w:rsid w:val="006D0E26"/>
    <w:rsid w:val="006E2035"/>
    <w:rsid w:val="006E341F"/>
    <w:rsid w:val="006E4A41"/>
    <w:rsid w:val="006F5452"/>
    <w:rsid w:val="007961B8"/>
    <w:rsid w:val="007E4D7D"/>
    <w:rsid w:val="00810170"/>
    <w:rsid w:val="00831087"/>
    <w:rsid w:val="00845744"/>
    <w:rsid w:val="008860F4"/>
    <w:rsid w:val="008B5428"/>
    <w:rsid w:val="008B659D"/>
    <w:rsid w:val="008F4B54"/>
    <w:rsid w:val="00992AAC"/>
    <w:rsid w:val="009A7685"/>
    <w:rsid w:val="009E5A07"/>
    <w:rsid w:val="00A00A63"/>
    <w:rsid w:val="00A17BF8"/>
    <w:rsid w:val="00AA1DD8"/>
    <w:rsid w:val="00AB5C8A"/>
    <w:rsid w:val="00AC3072"/>
    <w:rsid w:val="00B26619"/>
    <w:rsid w:val="00B31EDD"/>
    <w:rsid w:val="00B438BF"/>
    <w:rsid w:val="00B84D35"/>
    <w:rsid w:val="00BB5FD9"/>
    <w:rsid w:val="00BB6A51"/>
    <w:rsid w:val="00BD1D5B"/>
    <w:rsid w:val="00BF3898"/>
    <w:rsid w:val="00C47C10"/>
    <w:rsid w:val="00C73871"/>
    <w:rsid w:val="00C923AA"/>
    <w:rsid w:val="00D33692"/>
    <w:rsid w:val="00D412D9"/>
    <w:rsid w:val="00D56034"/>
    <w:rsid w:val="00D85342"/>
    <w:rsid w:val="00DA5D18"/>
    <w:rsid w:val="00DE370C"/>
    <w:rsid w:val="00EB0E53"/>
    <w:rsid w:val="00EB1EE9"/>
    <w:rsid w:val="00EB6CCF"/>
    <w:rsid w:val="00F00F87"/>
    <w:rsid w:val="00F00FF3"/>
    <w:rsid w:val="00F26F8C"/>
    <w:rsid w:val="00F65385"/>
    <w:rsid w:val="00F81E67"/>
    <w:rsid w:val="00F83D68"/>
    <w:rsid w:val="00F92410"/>
    <w:rsid w:val="00F94D4A"/>
    <w:rsid w:val="00FE40B0"/>
    <w:rsid w:val="0D051A00"/>
    <w:rsid w:val="3FC4DE38"/>
    <w:rsid w:val="46557A79"/>
    <w:rsid w:val="465970EE"/>
    <w:rsid w:val="7BFF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 w:cs="Times New Roman"/>
      <w:b/>
      <w:bCs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8"/>
    <w:qFormat/>
    <w:uiPriority w:val="99"/>
    <w:pPr>
      <w:ind w:left="100" w:leftChars="2500"/>
    </w:p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日期 Char"/>
    <w:basedOn w:val="7"/>
    <w:link w:val="3"/>
    <w:qFormat/>
    <w:uiPriority w:val="99"/>
  </w:style>
  <w:style w:type="character" w:customStyle="1" w:styleId="9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标题 1 Char"/>
    <w:basedOn w:val="7"/>
    <w:link w:val="2"/>
    <w:qFormat/>
    <w:uiPriority w:val="9"/>
    <w:rPr>
      <w:rFonts w:ascii="宋体" w:hAnsi="宋体" w:eastAsia="宋体" w:cs="Times New Roman"/>
      <w:b/>
      <w:bCs/>
      <w:kern w:val="44"/>
      <w:sz w:val="48"/>
      <w:szCs w:val="48"/>
    </w:rPr>
  </w:style>
  <w:style w:type="paragraph" w:customStyle="1" w:styleId="12">
    <w:name w:val="_Style 4"/>
    <w:basedOn w:val="1"/>
    <w:semiHidden/>
    <w:qFormat/>
    <w:uiPriority w:val="0"/>
    <w:pPr>
      <w:spacing w:line="360" w:lineRule="auto"/>
    </w:pPr>
    <w:rPr>
      <w:rFonts w:ascii="宋体" w:hAnsi="Times New Roman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861</Words>
  <Characters>4912</Characters>
  <Lines>40</Lines>
  <Paragraphs>11</Paragraphs>
  <TotalTime>445</TotalTime>
  <ScaleCrop>false</ScaleCrop>
  <LinksUpToDate>false</LinksUpToDate>
  <CharactersWithSpaces>5762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2023-03-22T17:47:00Z</dcterms:created>
  <dc:creator>Lenovo</dc:creator>
  <cp:lastModifiedBy>administrator</cp:lastModifiedBy>
  <cp:lastPrinted>2023-06-30T16:33:00Z</cp:lastPrinted>
  <dcterms:modified xsi:type="dcterms:W3CDTF">2026-05-11T17:22:53Z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4A31BA4C3A334639A3BE9C3DB254A3C3_13</vt:lpwstr>
  </property>
  <property fmtid="{D5CDD505-2E9C-101B-9397-08002B2CF9AE}" pid="4" name="KSOTemplateDocerSaveRecord">
    <vt:lpwstr>eyJoZGlkIjoiYTNkMzlkMGNjOTFlZWMzYTQ4NjNkNzM0N2E1MWQyNjMifQ==</vt:lpwstr>
  </property>
</Properties>
</file>